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D610E">
      <w:pPr>
        <w:adjustRightInd w:val="0"/>
        <w:snapToGrid w:val="0"/>
        <w:jc w:val="center"/>
        <w:outlineLvl w:val="0"/>
        <w:rPr>
          <w:rFonts w:ascii="方正小标宋_GBK" w:hAnsi="Calibri" w:eastAsia="方正小标宋_GBK"/>
          <w:bCs/>
          <w:color w:val="auto"/>
          <w:sz w:val="72"/>
          <w:szCs w:val="72"/>
          <w:highlight w:val="none"/>
        </w:rPr>
      </w:pPr>
      <w:bookmarkStart w:id="0" w:name="_Toc28311"/>
      <w:r>
        <w:rPr>
          <w:rFonts w:hint="eastAsia" w:ascii="方正小标宋_GBK" w:hAnsi="Calibri" w:eastAsia="方正小标宋_GBK"/>
          <w:bCs/>
          <w:color w:val="auto"/>
          <w:sz w:val="72"/>
          <w:szCs w:val="72"/>
          <w:highlight w:val="none"/>
        </w:rPr>
        <w:t xml:space="preserve"> 建设项目环境影响报告表</w:t>
      </w:r>
      <w:bookmarkEnd w:id="0"/>
    </w:p>
    <w:p w14:paraId="62ED173E">
      <w:pPr>
        <w:rPr>
          <w:color w:val="auto"/>
          <w:highlight w:val="none"/>
        </w:rPr>
      </w:pPr>
    </w:p>
    <w:p w14:paraId="02A003B7">
      <w:pPr>
        <w:adjustRightInd w:val="0"/>
        <w:snapToGrid w:val="0"/>
        <w:spacing w:before="192" w:beforeLines="80"/>
        <w:jc w:val="center"/>
        <w:rPr>
          <w:rFonts w:ascii="楷体_GB2312" w:hAnsi="Calibri" w:eastAsia="楷体_GB2312"/>
          <w:bCs/>
          <w:color w:val="auto"/>
          <w:sz w:val="48"/>
          <w:szCs w:val="48"/>
          <w:highlight w:val="none"/>
        </w:rPr>
      </w:pPr>
      <w:r>
        <w:rPr>
          <w:rFonts w:hint="eastAsia" w:ascii="楷体_GB2312" w:hAnsi="Calibri" w:eastAsia="楷体_GB2312"/>
          <w:bCs/>
          <w:color w:val="auto"/>
          <w:sz w:val="48"/>
          <w:szCs w:val="48"/>
          <w:highlight w:val="none"/>
        </w:rPr>
        <w:t>(污染影响类)</w:t>
      </w:r>
    </w:p>
    <w:p w14:paraId="6EEDF26F">
      <w:pPr>
        <w:adjustRightInd w:val="0"/>
        <w:jc w:val="center"/>
        <w:textAlignment w:val="baseline"/>
        <w:rPr>
          <w:color w:val="auto"/>
          <w:highlight w:val="none"/>
        </w:rPr>
      </w:pPr>
    </w:p>
    <w:p w14:paraId="1094BA70">
      <w:pPr>
        <w:adjustRightInd w:val="0"/>
        <w:textAlignment w:val="baseline"/>
        <w:rPr>
          <w:color w:val="auto"/>
          <w:highlight w:val="none"/>
        </w:rPr>
      </w:pPr>
    </w:p>
    <w:p w14:paraId="760EFB4C">
      <w:pPr>
        <w:adjustRightInd w:val="0"/>
        <w:textAlignment w:val="baseline"/>
        <w:rPr>
          <w:color w:val="auto"/>
          <w:highlight w:val="none"/>
        </w:rPr>
      </w:pPr>
    </w:p>
    <w:p w14:paraId="1486BE16">
      <w:pPr>
        <w:adjustRightInd w:val="0"/>
        <w:textAlignment w:val="baseline"/>
        <w:rPr>
          <w:color w:val="auto"/>
          <w:highlight w:val="none"/>
        </w:rPr>
      </w:pPr>
    </w:p>
    <w:p w14:paraId="17719739">
      <w:pPr>
        <w:adjustRightInd w:val="0"/>
        <w:textAlignment w:val="baseline"/>
        <w:rPr>
          <w:b/>
          <w:bCs/>
          <w:color w:val="auto"/>
          <w:sz w:val="32"/>
          <w:highlight w:val="none"/>
        </w:rPr>
      </w:pPr>
    </w:p>
    <w:p w14:paraId="64CB1687">
      <w:pPr>
        <w:adjustRightInd w:val="0"/>
        <w:jc w:val="center"/>
        <w:textAlignment w:val="baseline"/>
        <w:rPr>
          <w:b/>
          <w:bCs/>
          <w:color w:val="auto"/>
          <w:sz w:val="32"/>
          <w:highlight w:val="none"/>
        </w:rPr>
      </w:pPr>
    </w:p>
    <w:p w14:paraId="08633FA2">
      <w:pPr>
        <w:adjustRightInd w:val="0"/>
        <w:jc w:val="center"/>
        <w:textAlignment w:val="baseline"/>
        <w:rPr>
          <w:b/>
          <w:bCs/>
          <w:color w:val="auto"/>
          <w:sz w:val="32"/>
          <w:highlight w:val="none"/>
        </w:rPr>
      </w:pPr>
    </w:p>
    <w:p w14:paraId="14089E38">
      <w:pPr>
        <w:adjustRightInd w:val="0"/>
        <w:jc w:val="center"/>
        <w:textAlignment w:val="baseline"/>
        <w:rPr>
          <w:b/>
          <w:bCs/>
          <w:color w:val="auto"/>
          <w:sz w:val="32"/>
          <w:highlight w:val="none"/>
        </w:rPr>
      </w:pPr>
    </w:p>
    <w:p w14:paraId="2C5FBB46">
      <w:pPr>
        <w:adjustRightInd w:val="0"/>
        <w:textAlignment w:val="baseline"/>
        <w:rPr>
          <w:rFonts w:ascii="仿宋_GB2312" w:hAnsi="仿宋_GB2312" w:eastAsia="仿宋_GB2312" w:cs="仿宋_GB2312"/>
          <w:color w:val="auto"/>
          <w:sz w:val="36"/>
          <w:szCs w:val="36"/>
          <w:highlight w:val="none"/>
        </w:rPr>
      </w:pPr>
    </w:p>
    <w:p w14:paraId="2DD3729A">
      <w:pPr>
        <w:adjustRightInd w:val="0"/>
        <w:ind w:firstLine="1080" w:firstLineChars="300"/>
        <w:textAlignment w:val="baseline"/>
        <w:rPr>
          <w:rFonts w:ascii="仿宋_GB2312" w:hAnsi="仿宋_GB2312" w:eastAsia="仿宋_GB2312" w:cs="仿宋_GB2312"/>
          <w:color w:val="auto"/>
          <w:sz w:val="36"/>
          <w:szCs w:val="36"/>
          <w:highlight w:val="none"/>
          <w:u w:val="thick"/>
        </w:rPr>
      </w:pPr>
      <w:r>
        <w:rPr>
          <w:rFonts w:hint="eastAsia" w:ascii="仿宋_GB2312" w:hAnsi="仿宋_GB2312" w:eastAsia="仿宋_GB2312" w:cs="仿宋_GB2312"/>
          <w:color w:val="auto"/>
          <w:sz w:val="36"/>
          <w:szCs w:val="36"/>
          <w:highlight w:val="none"/>
        </w:rPr>
        <w:t>项目名称：</w:t>
      </w:r>
      <w:bookmarkStart w:id="1" w:name="_Hlk161927774"/>
      <w:r>
        <w:rPr>
          <w:rFonts w:hint="eastAsia" w:ascii="仿宋_GB2312" w:hAnsi="仿宋_GB2312" w:eastAsia="仿宋_GB2312" w:cs="仿宋_GB2312"/>
          <w:color w:val="auto"/>
          <w:sz w:val="36"/>
          <w:szCs w:val="36"/>
          <w:highlight w:val="none"/>
          <w:u w:val="single"/>
          <w:lang w:val="en-US" w:eastAsia="zh-CN"/>
        </w:rPr>
        <w:t xml:space="preserve"> </w:t>
      </w:r>
      <w:bookmarkEnd w:id="1"/>
      <w:r>
        <w:rPr>
          <w:rFonts w:hint="eastAsia" w:ascii="仿宋_GB2312" w:hAnsi="仿宋_GB2312" w:eastAsia="仿宋_GB2312" w:cs="仿宋_GB2312"/>
          <w:color w:val="auto"/>
          <w:sz w:val="36"/>
          <w:szCs w:val="36"/>
          <w:highlight w:val="none"/>
          <w:u w:val="single"/>
          <w:lang w:eastAsia="zh-CN"/>
        </w:rPr>
        <w:t>生物质供热钧澄公司项目</w:t>
      </w:r>
      <w:r>
        <w:rPr>
          <w:rFonts w:hint="eastAsia" w:ascii="仿宋_GB2312" w:hAnsi="仿宋_GB2312" w:eastAsia="仿宋_GB2312" w:cs="仿宋_GB2312"/>
          <w:color w:val="auto"/>
          <w:sz w:val="36"/>
          <w:szCs w:val="36"/>
          <w:highlight w:val="none"/>
          <w:u w:val="single"/>
        </w:rPr>
        <w:t xml:space="preserve">    </w:t>
      </w:r>
    </w:p>
    <w:p w14:paraId="732A6E78">
      <w:pPr>
        <w:adjustRightInd w:val="0"/>
        <w:jc w:val="center"/>
        <w:textAlignment w:val="baseline"/>
        <w:rPr>
          <w:rFonts w:ascii="仿宋_GB2312" w:hAnsi="仿宋_GB2312" w:eastAsia="仿宋_GB2312" w:cs="仿宋_GB2312"/>
          <w:color w:val="auto"/>
          <w:sz w:val="36"/>
          <w:szCs w:val="36"/>
          <w:highlight w:val="none"/>
        </w:rPr>
      </w:pPr>
    </w:p>
    <w:p w14:paraId="54B28DF5">
      <w:pPr>
        <w:adjustRightInd w:val="0"/>
        <w:jc w:val="center"/>
        <w:textAlignment w:val="baseline"/>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rPr>
        <w:t>建设单位(盖章)：</w:t>
      </w:r>
      <w:r>
        <w:rPr>
          <w:rFonts w:hint="eastAsia" w:ascii="仿宋_GB2312" w:hAnsi="仿宋_GB2312" w:eastAsia="仿宋_GB2312" w:cs="仿宋_GB2312"/>
          <w:color w:val="auto"/>
          <w:sz w:val="36"/>
          <w:szCs w:val="36"/>
          <w:highlight w:val="none"/>
          <w:u w:val="single"/>
        </w:rPr>
        <w:t xml:space="preserve"> </w:t>
      </w:r>
      <w:bookmarkStart w:id="2" w:name="_Hlk161927765"/>
      <w:r>
        <w:rPr>
          <w:rFonts w:hint="eastAsia" w:ascii="仿宋_GB2312" w:hAnsi="仿宋_GB2312" w:eastAsia="仿宋_GB2312" w:cs="仿宋_GB2312"/>
          <w:color w:val="auto"/>
          <w:sz w:val="36"/>
          <w:szCs w:val="36"/>
          <w:highlight w:val="none"/>
          <w:u w:val="single"/>
        </w:rPr>
        <w:t>玉溪合原能源有限公司</w:t>
      </w:r>
      <w:bookmarkEnd w:id="2"/>
      <w:r>
        <w:rPr>
          <w:rFonts w:hint="eastAsia" w:ascii="仿宋_GB2312" w:hAnsi="仿宋_GB2312" w:eastAsia="仿宋_GB2312" w:cs="仿宋_GB2312"/>
          <w:color w:val="auto"/>
          <w:sz w:val="36"/>
          <w:szCs w:val="36"/>
          <w:highlight w:val="none"/>
          <w:u w:val="single"/>
        </w:rPr>
        <w:t xml:space="preserve">  </w:t>
      </w:r>
    </w:p>
    <w:p w14:paraId="7CCEBFC2">
      <w:pPr>
        <w:pStyle w:val="13"/>
        <w:adjustRightInd w:val="0"/>
        <w:snapToGrid/>
        <w:ind w:firstLine="1080" w:firstLineChars="300"/>
        <w:textAlignment w:val="baseline"/>
        <w:rPr>
          <w:rFonts w:ascii="仿宋_GB2312" w:hAnsi="仿宋_GB2312" w:eastAsia="仿宋_GB2312" w:cs="仿宋_GB2312"/>
          <w:color w:val="auto"/>
          <w:sz w:val="36"/>
          <w:szCs w:val="36"/>
          <w:highlight w:val="none"/>
        </w:rPr>
      </w:pPr>
    </w:p>
    <w:p w14:paraId="00E492C7">
      <w:pPr>
        <w:pStyle w:val="13"/>
        <w:adjustRightInd w:val="0"/>
        <w:snapToGrid/>
        <w:ind w:firstLine="1080" w:firstLineChars="300"/>
        <w:textAlignment w:val="baseline"/>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编制日期：</w:t>
      </w:r>
      <w:r>
        <w:rPr>
          <w:rFonts w:hint="eastAsia" w:ascii="仿宋_GB2312" w:hAnsi="仿宋_GB2312" w:eastAsia="仿宋_GB2312" w:cs="仿宋_GB2312"/>
          <w:color w:val="auto"/>
          <w:sz w:val="36"/>
          <w:szCs w:val="36"/>
          <w:highlight w:val="none"/>
          <w:u w:val="single"/>
        </w:rPr>
        <w:t xml:space="preserve">         202</w:t>
      </w:r>
      <w:r>
        <w:rPr>
          <w:rFonts w:hint="eastAsia" w:ascii="仿宋_GB2312" w:hAnsi="仿宋_GB2312" w:eastAsia="仿宋_GB2312" w:cs="仿宋_GB2312"/>
          <w:color w:val="auto"/>
          <w:sz w:val="36"/>
          <w:szCs w:val="36"/>
          <w:highlight w:val="none"/>
          <w:u w:val="single"/>
          <w:lang w:val="en-US" w:eastAsia="zh-CN"/>
        </w:rPr>
        <w:t>5</w:t>
      </w:r>
      <w:r>
        <w:rPr>
          <w:rFonts w:hint="eastAsia" w:ascii="仿宋_GB2312" w:hAnsi="仿宋_GB2312" w:eastAsia="仿宋_GB2312" w:cs="仿宋_GB2312"/>
          <w:color w:val="auto"/>
          <w:sz w:val="36"/>
          <w:szCs w:val="36"/>
          <w:highlight w:val="none"/>
          <w:u w:val="single"/>
        </w:rPr>
        <w:t>年</w:t>
      </w:r>
      <w:r>
        <w:rPr>
          <w:rFonts w:hint="eastAsia" w:ascii="仿宋_GB2312" w:hAnsi="仿宋_GB2312" w:eastAsia="仿宋_GB2312" w:cs="仿宋_GB2312"/>
          <w:color w:val="auto"/>
          <w:sz w:val="36"/>
          <w:szCs w:val="36"/>
          <w:highlight w:val="none"/>
          <w:u w:val="single"/>
          <w:lang w:val="en-US" w:eastAsia="zh-CN"/>
        </w:rPr>
        <w:t>12</w:t>
      </w:r>
      <w:r>
        <w:rPr>
          <w:rFonts w:hint="eastAsia" w:ascii="仿宋_GB2312" w:hAnsi="仿宋_GB2312" w:eastAsia="仿宋_GB2312" w:cs="仿宋_GB2312"/>
          <w:color w:val="auto"/>
          <w:sz w:val="36"/>
          <w:szCs w:val="36"/>
          <w:highlight w:val="none"/>
          <w:u w:val="single"/>
        </w:rPr>
        <w:t xml:space="preserve">月          </w:t>
      </w:r>
    </w:p>
    <w:p w14:paraId="3816BEB1">
      <w:pPr>
        <w:adjustRightInd w:val="0"/>
        <w:ind w:firstLine="1080" w:firstLineChars="300"/>
        <w:textAlignment w:val="baseline"/>
        <w:rPr>
          <w:rFonts w:ascii="仿宋_GB2312" w:hAnsi="仿宋_GB2312" w:eastAsia="仿宋_GB2312" w:cs="仿宋_GB2312"/>
          <w:color w:val="auto"/>
          <w:sz w:val="36"/>
          <w:szCs w:val="36"/>
          <w:highlight w:val="none"/>
          <w:u w:val="single"/>
        </w:rPr>
      </w:pPr>
    </w:p>
    <w:p w14:paraId="7B01C0B8">
      <w:pPr>
        <w:adjustRightInd w:val="0"/>
        <w:spacing w:line="600" w:lineRule="atLeast"/>
        <w:jc w:val="center"/>
        <w:textAlignment w:val="baseline"/>
        <w:rPr>
          <w:rFonts w:ascii="仿宋_GB2312" w:hAnsi="仿宋_GB2312" w:eastAsia="仿宋_GB2312" w:cs="仿宋_GB2312"/>
          <w:color w:val="auto"/>
          <w:sz w:val="36"/>
          <w:szCs w:val="36"/>
          <w:highlight w:val="none"/>
        </w:rPr>
      </w:pPr>
    </w:p>
    <w:p w14:paraId="2E3C08DC">
      <w:pPr>
        <w:adjustRightInd w:val="0"/>
        <w:spacing w:line="600" w:lineRule="atLeast"/>
        <w:textAlignment w:val="baseline"/>
        <w:rPr>
          <w:rFonts w:ascii="仿宋_GB2312" w:hAnsi="仿宋_GB2312" w:eastAsia="仿宋_GB2312" w:cs="仿宋_GB2312"/>
          <w:color w:val="auto"/>
          <w:sz w:val="36"/>
          <w:szCs w:val="36"/>
          <w:highlight w:val="none"/>
        </w:rPr>
      </w:pPr>
    </w:p>
    <w:p w14:paraId="0EC7BA5B">
      <w:pPr>
        <w:pStyle w:val="25"/>
        <w:adjustRightInd w:val="0"/>
        <w:ind w:firstLine="720"/>
        <w:textAlignment w:val="baseline"/>
        <w:rPr>
          <w:rFonts w:ascii="仿宋_GB2312" w:hAnsi="仿宋_GB2312" w:eastAsia="仿宋_GB2312" w:cs="仿宋_GB2312"/>
          <w:color w:val="auto"/>
          <w:sz w:val="36"/>
          <w:szCs w:val="36"/>
          <w:highlight w:val="none"/>
        </w:rPr>
      </w:pPr>
    </w:p>
    <w:p w14:paraId="77434680">
      <w:pPr>
        <w:pStyle w:val="24"/>
        <w:adjustRightInd w:val="0"/>
        <w:ind w:firstLine="360"/>
        <w:textAlignment w:val="baseline"/>
        <w:rPr>
          <w:rFonts w:ascii="仿宋_GB2312" w:hAnsi="仿宋_GB2312" w:eastAsia="仿宋_GB2312" w:cs="仿宋_GB2312"/>
          <w:color w:val="auto"/>
          <w:sz w:val="36"/>
          <w:szCs w:val="36"/>
          <w:highlight w:val="none"/>
        </w:rPr>
      </w:pPr>
    </w:p>
    <w:p w14:paraId="740332A8">
      <w:pPr>
        <w:adjustRightInd w:val="0"/>
        <w:textAlignment w:val="baseline"/>
        <w:rPr>
          <w:rFonts w:ascii="仿宋_GB2312" w:hAnsi="仿宋_GB2312" w:eastAsia="仿宋_GB2312" w:cs="仿宋_GB2312"/>
          <w:color w:val="auto"/>
          <w:sz w:val="36"/>
          <w:szCs w:val="36"/>
          <w:highlight w:val="none"/>
        </w:rPr>
      </w:pPr>
    </w:p>
    <w:p w14:paraId="45338752">
      <w:pPr>
        <w:adjustRightInd w:val="0"/>
        <w:jc w:val="center"/>
        <w:textAlignment w:val="baseline"/>
        <w:rPr>
          <w:rFonts w:ascii="仿宋_GB2312" w:hAnsi="仿宋_GB2312" w:eastAsia="仿宋_GB2312" w:cs="仿宋_GB2312"/>
          <w:color w:val="auto"/>
          <w:sz w:val="36"/>
          <w:szCs w:val="36"/>
          <w:highlight w:val="none"/>
        </w:rPr>
      </w:pPr>
    </w:p>
    <w:p w14:paraId="080AE128">
      <w:pPr>
        <w:adjustRightInd w:val="0"/>
        <w:jc w:val="center"/>
        <w:textAlignment w:val="baseline"/>
        <w:rPr>
          <w:rFonts w:ascii="仿宋_GB2312" w:hAnsi="仿宋_GB2312" w:eastAsia="仿宋_GB2312" w:cs="仿宋_GB2312"/>
          <w:color w:val="auto"/>
          <w:sz w:val="36"/>
          <w:szCs w:val="36"/>
          <w:highlight w:val="none"/>
        </w:rPr>
      </w:pPr>
    </w:p>
    <w:p w14:paraId="15C74A18">
      <w:pPr>
        <w:adjustRightInd w:val="0"/>
        <w:jc w:val="center"/>
        <w:textAlignment w:val="baseline"/>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中华人民共和国生态环境部制</w:t>
      </w:r>
    </w:p>
    <w:p w14:paraId="4D0B0540">
      <w:pPr>
        <w:pStyle w:val="33"/>
        <w:rPr>
          <w:rFonts w:ascii="仿宋_GB2312" w:hAnsi="仿宋_GB2312" w:eastAsia="仿宋_GB2312" w:cs="仿宋_GB2312"/>
          <w:color w:val="auto"/>
          <w:sz w:val="36"/>
          <w:szCs w:val="36"/>
          <w:highlight w:val="none"/>
        </w:rPr>
      </w:pPr>
    </w:p>
    <w:p w14:paraId="3A4AAB15">
      <w:pPr>
        <w:rPr>
          <w:rFonts w:ascii="仿宋_GB2312" w:hAnsi="仿宋_GB2312" w:eastAsia="仿宋_GB2312" w:cs="仿宋_GB2312"/>
          <w:color w:val="auto"/>
          <w:sz w:val="36"/>
          <w:szCs w:val="36"/>
          <w:highlight w:val="none"/>
        </w:rPr>
      </w:pPr>
    </w:p>
    <w:sdt>
      <w:sdtPr>
        <w:rPr>
          <w:rFonts w:ascii="宋体" w:hAnsi="宋体"/>
          <w:i/>
          <w:color w:val="auto"/>
          <w:kern w:val="0"/>
          <w:sz w:val="44"/>
          <w:szCs w:val="44"/>
          <w:highlight w:val="none"/>
        </w:rPr>
        <w:id w:val="147453736"/>
        <w:docPartObj>
          <w:docPartGallery w:val="Table of Contents"/>
          <w:docPartUnique/>
        </w:docPartObj>
      </w:sdtPr>
      <w:sdtEndPr>
        <w:rPr>
          <w:rFonts w:hint="eastAsia" w:ascii="Times New Roman" w:hAnsi="Calibri"/>
          <w:bCs/>
          <w:i/>
          <w:color w:val="auto"/>
          <w:kern w:val="0"/>
          <w:sz w:val="21"/>
          <w:szCs w:val="30"/>
          <w:highlight w:val="none"/>
        </w:rPr>
      </w:sdtEndPr>
      <w:sdtContent>
        <w:p w14:paraId="728AE81E">
          <w:pPr>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目录</w:t>
          </w:r>
        </w:p>
        <w:p w14:paraId="2757A09A">
          <w:pPr>
            <w:pStyle w:val="92"/>
            <w:tabs>
              <w:tab w:val="right" w:leader="dot" w:pos="8844"/>
            </w:tabs>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TOC \o "1-1" \h \u </w:instrText>
          </w:r>
          <w:r>
            <w:rPr>
              <w:rFonts w:hint="eastAsia" w:asciiTheme="minorEastAsia" w:hAnsiTheme="minorEastAsia" w:eastAsiaTheme="minorEastAsia" w:cstheme="minorEastAsia"/>
              <w:color w:val="auto"/>
              <w:sz w:val="30"/>
              <w:szCs w:val="30"/>
              <w:highlight w:val="none"/>
            </w:rPr>
            <w:fldChar w:fldCharType="separate"/>
          </w:r>
        </w:p>
        <w:p w14:paraId="68A9CD22">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"_Toc21857" </w:instrText>
          </w:r>
          <w:r>
            <w:rPr>
              <w:color w:val="auto"/>
              <w:highlight w:val="none"/>
            </w:rPr>
            <w:fldChar w:fldCharType="separate"/>
          </w:r>
          <w:r>
            <w:rPr>
              <w:rFonts w:eastAsiaTheme="minorEastAsia"/>
              <w:snapToGrid w:val="0"/>
              <w:color w:val="auto"/>
              <w:sz w:val="28"/>
              <w:szCs w:val="28"/>
              <w:highlight w:val="none"/>
            </w:rPr>
            <w:t>一、建设项目基本情况</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_Toc21857 \h </w:instrText>
          </w:r>
          <w:r>
            <w:rPr>
              <w:rFonts w:eastAsiaTheme="minorEastAsia"/>
              <w:color w:val="auto"/>
              <w:sz w:val="28"/>
              <w:szCs w:val="28"/>
              <w:highlight w:val="none"/>
            </w:rPr>
            <w:fldChar w:fldCharType="separate"/>
          </w:r>
          <w:r>
            <w:rPr>
              <w:rFonts w:eastAsiaTheme="minorEastAsia"/>
              <w:color w:val="auto"/>
              <w:sz w:val="28"/>
              <w:szCs w:val="28"/>
              <w:highlight w:val="none"/>
            </w:rPr>
            <w:t>1</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24896103">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"_Toc17251" </w:instrText>
          </w:r>
          <w:r>
            <w:rPr>
              <w:color w:val="auto"/>
              <w:highlight w:val="none"/>
            </w:rPr>
            <w:fldChar w:fldCharType="separate"/>
          </w:r>
          <w:r>
            <w:rPr>
              <w:rFonts w:eastAsiaTheme="minorEastAsia"/>
              <w:snapToGrid w:val="0"/>
              <w:color w:val="auto"/>
              <w:sz w:val="28"/>
              <w:szCs w:val="28"/>
              <w:highlight w:val="none"/>
            </w:rPr>
            <w:t>二、建设项目工程分析</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_Toc17251 \h </w:instrText>
          </w:r>
          <w:r>
            <w:rPr>
              <w:rFonts w:eastAsiaTheme="minorEastAsia"/>
              <w:color w:val="auto"/>
              <w:sz w:val="28"/>
              <w:szCs w:val="28"/>
              <w:highlight w:val="none"/>
            </w:rPr>
            <w:fldChar w:fldCharType="separate"/>
          </w:r>
          <w:r>
            <w:rPr>
              <w:rFonts w:eastAsiaTheme="minorEastAsia"/>
              <w:color w:val="auto"/>
              <w:sz w:val="28"/>
              <w:szCs w:val="28"/>
              <w:highlight w:val="none"/>
            </w:rPr>
            <w:t>31</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2097E93A">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"_Toc7342" </w:instrText>
          </w:r>
          <w:r>
            <w:rPr>
              <w:color w:val="auto"/>
              <w:highlight w:val="none"/>
            </w:rPr>
            <w:fldChar w:fldCharType="separate"/>
          </w:r>
          <w:r>
            <w:rPr>
              <w:rFonts w:eastAsiaTheme="minorEastAsia"/>
              <w:snapToGrid w:val="0"/>
              <w:color w:val="auto"/>
              <w:sz w:val="28"/>
              <w:szCs w:val="28"/>
              <w:highlight w:val="none"/>
            </w:rPr>
            <w:t>三、区域环境质量现状、环境保护目标及评价标准</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_Toc7342 \h </w:instrText>
          </w:r>
          <w:r>
            <w:rPr>
              <w:rFonts w:eastAsiaTheme="minorEastAsia"/>
              <w:color w:val="auto"/>
              <w:sz w:val="28"/>
              <w:szCs w:val="28"/>
              <w:highlight w:val="none"/>
            </w:rPr>
            <w:fldChar w:fldCharType="separate"/>
          </w:r>
          <w:r>
            <w:rPr>
              <w:rFonts w:eastAsiaTheme="minorEastAsia"/>
              <w:color w:val="auto"/>
              <w:sz w:val="28"/>
              <w:szCs w:val="28"/>
              <w:highlight w:val="none"/>
            </w:rPr>
            <w:t>47</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48969CF7">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"_Toc18316" </w:instrText>
          </w:r>
          <w:r>
            <w:rPr>
              <w:color w:val="auto"/>
              <w:highlight w:val="none"/>
            </w:rPr>
            <w:fldChar w:fldCharType="separate"/>
          </w:r>
          <w:r>
            <w:rPr>
              <w:rFonts w:eastAsiaTheme="minorEastAsia"/>
              <w:snapToGrid w:val="0"/>
              <w:color w:val="auto"/>
              <w:sz w:val="28"/>
              <w:szCs w:val="28"/>
              <w:highlight w:val="none"/>
            </w:rPr>
            <w:t>四、主要环境影响和保护措施</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_Toc18316 \h </w:instrText>
          </w:r>
          <w:r>
            <w:rPr>
              <w:rFonts w:eastAsiaTheme="minorEastAsia"/>
              <w:color w:val="auto"/>
              <w:sz w:val="28"/>
              <w:szCs w:val="28"/>
              <w:highlight w:val="none"/>
            </w:rPr>
            <w:fldChar w:fldCharType="separate"/>
          </w:r>
          <w:r>
            <w:rPr>
              <w:rFonts w:eastAsiaTheme="minorEastAsia"/>
              <w:color w:val="auto"/>
              <w:sz w:val="28"/>
              <w:szCs w:val="28"/>
              <w:highlight w:val="none"/>
            </w:rPr>
            <w:t>55</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2A656F8F">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"_Toc165" </w:instrText>
          </w:r>
          <w:r>
            <w:rPr>
              <w:color w:val="auto"/>
              <w:highlight w:val="none"/>
            </w:rPr>
            <w:fldChar w:fldCharType="separate"/>
          </w:r>
          <w:r>
            <w:rPr>
              <w:rFonts w:eastAsiaTheme="minorEastAsia"/>
              <w:snapToGrid w:val="0"/>
              <w:color w:val="auto"/>
              <w:sz w:val="28"/>
              <w:szCs w:val="28"/>
              <w:highlight w:val="none"/>
            </w:rPr>
            <w:t>五、环境保护措施监督检查清单</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_Toc165 \h </w:instrText>
          </w:r>
          <w:r>
            <w:rPr>
              <w:rFonts w:eastAsiaTheme="minorEastAsia"/>
              <w:color w:val="auto"/>
              <w:sz w:val="28"/>
              <w:szCs w:val="28"/>
              <w:highlight w:val="none"/>
            </w:rPr>
            <w:fldChar w:fldCharType="separate"/>
          </w:r>
          <w:r>
            <w:rPr>
              <w:rFonts w:eastAsiaTheme="minorEastAsia"/>
              <w:color w:val="auto"/>
              <w:sz w:val="28"/>
              <w:szCs w:val="28"/>
              <w:highlight w:val="none"/>
            </w:rPr>
            <w:t>73</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4D651791">
          <w:pPr>
            <w:pStyle w:val="92"/>
            <w:tabs>
              <w:tab w:val="right" w:leader="dot" w:pos="8844"/>
            </w:tabs>
            <w:spacing w:line="360" w:lineRule="auto"/>
            <w:rPr>
              <w:rFonts w:eastAsiaTheme="minorEastAsia"/>
              <w:color w:val="auto"/>
              <w:sz w:val="28"/>
              <w:szCs w:val="28"/>
              <w:highlight w:val="none"/>
            </w:rPr>
          </w:pPr>
          <w:r>
            <w:rPr>
              <w:color w:val="auto"/>
              <w:highlight w:val="none"/>
            </w:rPr>
            <w:fldChar w:fldCharType="begin"/>
          </w:r>
          <w:r>
            <w:rPr>
              <w:color w:val="auto"/>
              <w:highlight w:val="none"/>
            </w:rPr>
            <w:instrText xml:space="preserve"> HYPERLINK \l "_Toc20079" </w:instrText>
          </w:r>
          <w:r>
            <w:rPr>
              <w:color w:val="auto"/>
              <w:highlight w:val="none"/>
            </w:rPr>
            <w:fldChar w:fldCharType="separate"/>
          </w:r>
          <w:r>
            <w:rPr>
              <w:rFonts w:eastAsiaTheme="minorEastAsia"/>
              <w:snapToGrid w:val="0"/>
              <w:color w:val="auto"/>
              <w:sz w:val="28"/>
              <w:szCs w:val="28"/>
              <w:highlight w:val="none"/>
            </w:rPr>
            <w:t>六、结论</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_Toc20079 \h </w:instrText>
          </w:r>
          <w:r>
            <w:rPr>
              <w:rFonts w:eastAsiaTheme="minorEastAsia"/>
              <w:color w:val="auto"/>
              <w:sz w:val="28"/>
              <w:szCs w:val="28"/>
              <w:highlight w:val="none"/>
            </w:rPr>
            <w:fldChar w:fldCharType="separate"/>
          </w:r>
          <w:r>
            <w:rPr>
              <w:rFonts w:eastAsiaTheme="minorEastAsia"/>
              <w:color w:val="auto"/>
              <w:sz w:val="28"/>
              <w:szCs w:val="28"/>
              <w:highlight w:val="none"/>
            </w:rPr>
            <w:t>78</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2F580088">
          <w:pPr>
            <w:pStyle w:val="92"/>
            <w:tabs>
              <w:tab w:val="right" w:leader="dot" w:pos="8844"/>
            </w:tabs>
            <w:spacing w:line="360" w:lineRule="auto"/>
            <w:rPr>
              <w:rFonts w:asciiTheme="minorEastAsia" w:hAnsiTheme="minorEastAsia" w:eastAsiaTheme="minorEastAsia" w:cstheme="minorEastAsia"/>
              <w:color w:val="auto"/>
              <w:sz w:val="30"/>
              <w:szCs w:val="30"/>
              <w:highlight w:val="none"/>
            </w:rPr>
          </w:pPr>
          <w:r>
            <w:rPr>
              <w:color w:val="auto"/>
              <w:highlight w:val="none"/>
            </w:rPr>
            <w:fldChar w:fldCharType="begin"/>
          </w:r>
          <w:r>
            <w:rPr>
              <w:color w:val="auto"/>
              <w:highlight w:val="none"/>
            </w:rPr>
            <w:instrText xml:space="preserve"> HYPERLINK \l "_Toc18241" </w:instrText>
          </w:r>
          <w:r>
            <w:rPr>
              <w:color w:val="auto"/>
              <w:highlight w:val="none"/>
            </w:rPr>
            <w:fldChar w:fldCharType="separate"/>
          </w:r>
          <w:r>
            <w:rPr>
              <w:rFonts w:eastAsiaTheme="minorEastAsia"/>
              <w:snapToGrid w:val="0"/>
              <w:color w:val="auto"/>
              <w:sz w:val="28"/>
              <w:szCs w:val="28"/>
              <w:highlight w:val="none"/>
            </w:rPr>
            <w:t>附表</w:t>
          </w:r>
          <w:r>
            <w:rPr>
              <w:rFonts w:eastAsiaTheme="minorEastAsia"/>
              <w:color w:val="auto"/>
              <w:sz w:val="28"/>
              <w:szCs w:val="28"/>
              <w:highlight w:val="none"/>
            </w:rPr>
            <w:tab/>
          </w:r>
          <w:r>
            <w:rPr>
              <w:rFonts w:eastAsiaTheme="minorEastAsia"/>
              <w:color w:val="auto"/>
              <w:sz w:val="28"/>
              <w:szCs w:val="28"/>
              <w:highlight w:val="none"/>
            </w:rPr>
            <w:fldChar w:fldCharType="begin"/>
          </w:r>
          <w:r>
            <w:rPr>
              <w:rFonts w:eastAsiaTheme="minorEastAsia"/>
              <w:color w:val="auto"/>
              <w:sz w:val="28"/>
              <w:szCs w:val="28"/>
              <w:highlight w:val="none"/>
            </w:rPr>
            <w:instrText xml:space="preserve"> PAGEREF _Toc18241 \h </w:instrText>
          </w:r>
          <w:r>
            <w:rPr>
              <w:rFonts w:eastAsiaTheme="minorEastAsia"/>
              <w:color w:val="auto"/>
              <w:sz w:val="28"/>
              <w:szCs w:val="28"/>
              <w:highlight w:val="none"/>
            </w:rPr>
            <w:fldChar w:fldCharType="separate"/>
          </w:r>
          <w:r>
            <w:rPr>
              <w:rFonts w:eastAsiaTheme="minorEastAsia"/>
              <w:color w:val="auto"/>
              <w:sz w:val="28"/>
              <w:szCs w:val="28"/>
              <w:highlight w:val="none"/>
            </w:rPr>
            <w:t>79</w:t>
          </w:r>
          <w:r>
            <w:rPr>
              <w:rFonts w:eastAsiaTheme="minorEastAsia"/>
              <w:color w:val="auto"/>
              <w:sz w:val="28"/>
              <w:szCs w:val="28"/>
              <w:highlight w:val="none"/>
            </w:rPr>
            <w:fldChar w:fldCharType="end"/>
          </w:r>
          <w:r>
            <w:rPr>
              <w:rFonts w:eastAsiaTheme="minorEastAsia"/>
              <w:color w:val="auto"/>
              <w:sz w:val="28"/>
              <w:szCs w:val="28"/>
              <w:highlight w:val="none"/>
            </w:rPr>
            <w:fldChar w:fldCharType="end"/>
          </w:r>
        </w:p>
        <w:p w14:paraId="7FC08852">
          <w:pPr>
            <w:pStyle w:val="35"/>
            <w:ind w:left="0"/>
            <w:jc w:val="both"/>
            <w:rPr>
              <w:rFonts w:ascii="Times New Roman"/>
              <w:bCs/>
              <w:color w:val="auto"/>
              <w:szCs w:val="30"/>
              <w:highlight w:val="none"/>
            </w:rPr>
          </w:pPr>
          <w:r>
            <w:rPr>
              <w:rFonts w:hint="eastAsia" w:asciiTheme="minorEastAsia" w:hAnsiTheme="minorEastAsia" w:eastAsiaTheme="minorEastAsia" w:cstheme="minorEastAsia"/>
              <w:color w:val="auto"/>
              <w:sz w:val="30"/>
              <w:szCs w:val="30"/>
              <w:highlight w:val="none"/>
            </w:rPr>
            <w:fldChar w:fldCharType="end"/>
          </w:r>
        </w:p>
      </w:sdtContent>
    </w:sdt>
    <w:p w14:paraId="217959B1">
      <w:pPr>
        <w:widowControl/>
        <w:adjustRightInd w:val="0"/>
        <w:snapToGrid w:val="0"/>
        <w:spacing w:line="360" w:lineRule="auto"/>
        <w:jc w:val="left"/>
        <w:rPr>
          <w:rFonts w:eastAsiaTheme="minorEastAsia"/>
          <w:b/>
          <w:color w:val="auto"/>
          <w:sz w:val="28"/>
          <w:szCs w:val="28"/>
          <w:highlight w:val="none"/>
        </w:rPr>
      </w:pPr>
      <w:bookmarkStart w:id="3" w:name="_Toc461298460"/>
      <w:r>
        <w:rPr>
          <w:rFonts w:eastAsiaTheme="minorEastAsia"/>
          <w:b/>
          <w:color w:val="auto"/>
          <w:sz w:val="28"/>
          <w:szCs w:val="28"/>
          <w:highlight w:val="none"/>
        </w:rPr>
        <w:t>附件：</w:t>
      </w:r>
      <w:bookmarkEnd w:id="3"/>
    </w:p>
    <w:p w14:paraId="1CB3905A">
      <w:pPr>
        <w:widowControl/>
        <w:adjustRightInd w:val="0"/>
        <w:snapToGrid w:val="0"/>
        <w:spacing w:line="360" w:lineRule="auto"/>
        <w:ind w:firstLine="560" w:firstLineChars="200"/>
        <w:jc w:val="left"/>
        <w:rPr>
          <w:rFonts w:eastAsiaTheme="minorEastAsia"/>
          <w:color w:val="auto"/>
          <w:sz w:val="28"/>
          <w:szCs w:val="28"/>
          <w:highlight w:val="none"/>
        </w:rPr>
      </w:pPr>
      <w:r>
        <w:rPr>
          <w:rFonts w:eastAsiaTheme="minorEastAsia"/>
          <w:color w:val="auto"/>
          <w:sz w:val="28"/>
          <w:szCs w:val="28"/>
          <w:highlight w:val="none"/>
        </w:rPr>
        <w:t>附件1</w:t>
      </w:r>
      <w:r>
        <w:rPr>
          <w:rFonts w:hint="eastAsia" w:eastAsiaTheme="minorEastAsia"/>
          <w:color w:val="auto"/>
          <w:sz w:val="28"/>
          <w:szCs w:val="28"/>
          <w:highlight w:val="none"/>
        </w:rPr>
        <w:t>、</w:t>
      </w:r>
      <w:r>
        <w:rPr>
          <w:rFonts w:eastAsiaTheme="minorEastAsia"/>
          <w:color w:val="auto"/>
          <w:sz w:val="28"/>
          <w:szCs w:val="28"/>
          <w:highlight w:val="none"/>
        </w:rPr>
        <w:t>委托书</w:t>
      </w:r>
    </w:p>
    <w:p w14:paraId="357C93E4">
      <w:pPr>
        <w:widowControl/>
        <w:adjustRightInd w:val="0"/>
        <w:snapToGrid w:val="0"/>
        <w:spacing w:line="360" w:lineRule="auto"/>
        <w:ind w:firstLine="560" w:firstLineChars="200"/>
        <w:jc w:val="left"/>
        <w:rPr>
          <w:rFonts w:eastAsiaTheme="minorEastAsia"/>
          <w:color w:val="auto"/>
          <w:sz w:val="28"/>
          <w:szCs w:val="28"/>
          <w:highlight w:val="none"/>
        </w:rPr>
      </w:pPr>
      <w:r>
        <w:rPr>
          <w:rFonts w:eastAsiaTheme="minorEastAsia"/>
          <w:color w:val="auto"/>
          <w:sz w:val="28"/>
          <w:szCs w:val="28"/>
          <w:highlight w:val="none"/>
        </w:rPr>
        <w:t>附件2</w:t>
      </w:r>
      <w:r>
        <w:rPr>
          <w:rFonts w:hint="eastAsia" w:eastAsiaTheme="minorEastAsia"/>
          <w:color w:val="auto"/>
          <w:sz w:val="28"/>
          <w:szCs w:val="28"/>
          <w:highlight w:val="none"/>
        </w:rPr>
        <w:t>、</w:t>
      </w:r>
      <w:r>
        <w:rPr>
          <w:rFonts w:eastAsiaTheme="minorEastAsia"/>
          <w:color w:val="auto"/>
          <w:sz w:val="28"/>
          <w:szCs w:val="28"/>
          <w:highlight w:val="none"/>
        </w:rPr>
        <w:t>投资项目备案证</w:t>
      </w:r>
    </w:p>
    <w:p w14:paraId="3CA20570">
      <w:pPr>
        <w:widowControl/>
        <w:adjustRightInd w:val="0"/>
        <w:snapToGrid w:val="0"/>
        <w:spacing w:line="360" w:lineRule="auto"/>
        <w:ind w:firstLine="560" w:firstLineChars="200"/>
        <w:jc w:val="left"/>
        <w:rPr>
          <w:rFonts w:hint="eastAsia" w:eastAsiaTheme="minorEastAsia"/>
          <w:color w:val="auto"/>
          <w:sz w:val="28"/>
          <w:szCs w:val="28"/>
          <w:highlight w:val="none"/>
          <w:lang w:val="en-US" w:eastAsia="zh-CN"/>
        </w:rPr>
      </w:pPr>
      <w:r>
        <w:rPr>
          <w:rFonts w:hint="eastAsia" w:eastAsiaTheme="minorEastAsia"/>
          <w:color w:val="auto"/>
          <w:sz w:val="28"/>
          <w:szCs w:val="28"/>
          <w:highlight w:val="none"/>
        </w:rPr>
        <w:t>附件</w:t>
      </w:r>
      <w:r>
        <w:rPr>
          <w:rFonts w:hint="eastAsia" w:eastAsiaTheme="minorEastAsia"/>
          <w:color w:val="auto"/>
          <w:sz w:val="28"/>
          <w:szCs w:val="28"/>
          <w:highlight w:val="none"/>
          <w:lang w:val="en-US" w:eastAsia="zh-CN"/>
        </w:rPr>
        <w:t>3</w:t>
      </w:r>
      <w:r>
        <w:rPr>
          <w:rFonts w:hint="eastAsia" w:eastAsiaTheme="minorEastAsia"/>
          <w:color w:val="auto"/>
          <w:sz w:val="28"/>
          <w:szCs w:val="28"/>
          <w:highlight w:val="none"/>
        </w:rPr>
        <w:t>、</w:t>
      </w:r>
      <w:r>
        <w:rPr>
          <w:rFonts w:hint="eastAsia" w:eastAsiaTheme="minorEastAsia"/>
          <w:color w:val="auto"/>
          <w:sz w:val="28"/>
          <w:szCs w:val="28"/>
          <w:highlight w:val="none"/>
          <w:lang w:val="en-US" w:eastAsia="zh-CN"/>
        </w:rPr>
        <w:t>营业执照</w:t>
      </w:r>
    </w:p>
    <w:p w14:paraId="54CA7EEC">
      <w:pPr>
        <w:widowControl/>
        <w:adjustRightInd w:val="0"/>
        <w:snapToGrid w:val="0"/>
        <w:spacing w:line="360" w:lineRule="auto"/>
        <w:ind w:firstLine="560" w:firstLineChars="200"/>
        <w:jc w:val="left"/>
        <w:rPr>
          <w:rFonts w:eastAsiaTheme="minorEastAsia"/>
          <w:color w:val="auto"/>
          <w:sz w:val="28"/>
          <w:szCs w:val="28"/>
          <w:highlight w:val="none"/>
        </w:rPr>
      </w:pPr>
      <w:r>
        <w:rPr>
          <w:rFonts w:hint="eastAsia" w:eastAsiaTheme="minorEastAsia"/>
          <w:color w:val="auto"/>
          <w:sz w:val="28"/>
          <w:szCs w:val="28"/>
          <w:highlight w:val="none"/>
          <w:lang w:val="en-US" w:eastAsia="zh-CN"/>
        </w:rPr>
        <w:t>附件4、</w:t>
      </w:r>
      <w:r>
        <w:rPr>
          <w:rFonts w:hint="eastAsia" w:eastAsiaTheme="minorEastAsia"/>
          <w:color w:val="auto"/>
          <w:sz w:val="28"/>
          <w:szCs w:val="28"/>
          <w:highlight w:val="none"/>
        </w:rPr>
        <w:t>生物质燃料检验报告</w:t>
      </w:r>
    </w:p>
    <w:p w14:paraId="2CE5D555">
      <w:pPr>
        <w:pStyle w:val="24"/>
        <w:ind w:firstLine="560" w:firstLineChars="200"/>
        <w:rPr>
          <w:rFonts w:hint="default"/>
          <w:color w:val="auto"/>
          <w:lang w:val="en-US" w:eastAsia="zh-CN"/>
        </w:rPr>
      </w:pPr>
      <w:r>
        <w:rPr>
          <w:rFonts w:hint="eastAsia" w:eastAsiaTheme="minorEastAsia"/>
          <w:color w:val="auto"/>
          <w:sz w:val="28"/>
          <w:szCs w:val="28"/>
          <w:highlight w:val="none"/>
        </w:rPr>
        <w:t>附件</w:t>
      </w:r>
      <w:r>
        <w:rPr>
          <w:rFonts w:hint="eastAsia" w:eastAsiaTheme="minorEastAsia"/>
          <w:color w:val="auto"/>
          <w:sz w:val="28"/>
          <w:szCs w:val="28"/>
          <w:highlight w:val="none"/>
          <w:lang w:val="en-US" w:eastAsia="zh-CN"/>
        </w:rPr>
        <w:t>5</w:t>
      </w:r>
      <w:r>
        <w:rPr>
          <w:rFonts w:hint="eastAsia" w:eastAsiaTheme="minorEastAsia"/>
          <w:color w:val="auto"/>
          <w:sz w:val="28"/>
          <w:szCs w:val="28"/>
          <w:highlight w:val="none"/>
        </w:rPr>
        <w:t>、</w:t>
      </w:r>
      <w:r>
        <w:rPr>
          <w:rFonts w:hint="eastAsia" w:eastAsiaTheme="minorEastAsia"/>
          <w:color w:val="auto"/>
          <w:sz w:val="28"/>
          <w:szCs w:val="28"/>
          <w:highlight w:val="none"/>
          <w:lang w:val="en-US" w:eastAsia="zh-CN"/>
        </w:rPr>
        <w:t>生物质颗粒燃料采购合同</w:t>
      </w:r>
    </w:p>
    <w:p w14:paraId="67174F45">
      <w:pPr>
        <w:widowControl/>
        <w:adjustRightInd w:val="0"/>
        <w:snapToGrid w:val="0"/>
        <w:spacing w:line="360" w:lineRule="auto"/>
        <w:ind w:firstLine="560" w:firstLineChars="2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附件6、</w:t>
      </w:r>
      <w:r>
        <w:rPr>
          <w:rFonts w:hint="eastAsia" w:eastAsiaTheme="minorEastAsia"/>
          <w:color w:val="auto"/>
          <w:sz w:val="28"/>
          <w:szCs w:val="28"/>
          <w:highlight w:val="none"/>
          <w:lang w:eastAsia="zh-CN"/>
        </w:rPr>
        <w:t>“</w:t>
      </w:r>
      <w:r>
        <w:rPr>
          <w:rFonts w:hint="eastAsia" w:eastAsiaTheme="minorEastAsia"/>
          <w:color w:val="auto"/>
          <w:sz w:val="28"/>
          <w:szCs w:val="28"/>
          <w:highlight w:val="none"/>
          <w:lang w:val="en-US" w:eastAsia="zh-CN"/>
        </w:rPr>
        <w:t>三线一单</w:t>
      </w:r>
      <w:r>
        <w:rPr>
          <w:rFonts w:hint="eastAsia" w:eastAsiaTheme="minorEastAsia"/>
          <w:color w:val="auto"/>
          <w:sz w:val="28"/>
          <w:szCs w:val="28"/>
          <w:highlight w:val="none"/>
          <w:lang w:eastAsia="zh-CN"/>
        </w:rPr>
        <w:t>”</w:t>
      </w:r>
      <w:r>
        <w:rPr>
          <w:rFonts w:hint="eastAsia" w:eastAsiaTheme="minorEastAsia"/>
          <w:color w:val="auto"/>
          <w:sz w:val="28"/>
          <w:szCs w:val="28"/>
          <w:highlight w:val="none"/>
          <w:lang w:val="en-US" w:eastAsia="zh-CN"/>
        </w:rPr>
        <w:t>查询结果</w:t>
      </w:r>
    </w:p>
    <w:p w14:paraId="2EB69593">
      <w:pPr>
        <w:widowControl/>
        <w:adjustRightInd w:val="0"/>
        <w:snapToGrid w:val="0"/>
        <w:spacing w:line="360" w:lineRule="auto"/>
        <w:ind w:firstLine="560" w:firstLineChars="200"/>
        <w:jc w:val="left"/>
        <w:rPr>
          <w:rFonts w:hint="eastAsia" w:eastAsiaTheme="minorEastAsia"/>
          <w:color w:val="auto"/>
          <w:sz w:val="28"/>
          <w:szCs w:val="28"/>
          <w:highlight w:val="none"/>
          <w:lang w:val="en-US" w:eastAsia="zh-CN"/>
        </w:rPr>
      </w:pPr>
      <w:r>
        <w:rPr>
          <w:rFonts w:hint="eastAsia" w:eastAsiaTheme="minorEastAsia"/>
          <w:color w:val="auto"/>
          <w:sz w:val="28"/>
          <w:szCs w:val="28"/>
          <w:highlight w:val="none"/>
        </w:rPr>
        <w:t>附件7、</w:t>
      </w:r>
      <w:r>
        <w:rPr>
          <w:rFonts w:hint="eastAsia" w:eastAsiaTheme="minorEastAsia"/>
          <w:color w:val="auto"/>
          <w:sz w:val="28"/>
          <w:szCs w:val="28"/>
          <w:highlight w:val="none"/>
          <w:lang w:eastAsia="zh-CN"/>
        </w:rPr>
        <w:t>“三区三线”</w:t>
      </w:r>
      <w:r>
        <w:rPr>
          <w:rFonts w:hint="eastAsia" w:eastAsiaTheme="minorEastAsia"/>
          <w:color w:val="auto"/>
          <w:sz w:val="28"/>
          <w:szCs w:val="28"/>
          <w:highlight w:val="none"/>
          <w:lang w:val="en-US" w:eastAsia="zh-CN"/>
        </w:rPr>
        <w:t>查询结果</w:t>
      </w:r>
    </w:p>
    <w:p w14:paraId="29ED3BFD">
      <w:pPr>
        <w:widowControl/>
        <w:adjustRightInd w:val="0"/>
        <w:snapToGrid w:val="0"/>
        <w:spacing w:line="360" w:lineRule="auto"/>
        <w:ind w:firstLine="560" w:firstLineChars="200"/>
        <w:jc w:val="left"/>
        <w:rPr>
          <w:rFonts w:hint="eastAsia" w:eastAsiaTheme="minorEastAsia"/>
          <w:color w:val="auto"/>
          <w:sz w:val="28"/>
          <w:szCs w:val="28"/>
          <w:highlight w:val="none"/>
        </w:rPr>
      </w:pPr>
      <w:r>
        <w:rPr>
          <w:rFonts w:hint="eastAsia" w:eastAsiaTheme="minorEastAsia"/>
          <w:color w:val="auto"/>
          <w:sz w:val="28"/>
          <w:szCs w:val="28"/>
          <w:highlight w:val="none"/>
        </w:rPr>
        <w:t>附件8、灰渣处理协议</w:t>
      </w:r>
    </w:p>
    <w:p w14:paraId="17C3DEE8">
      <w:pPr>
        <w:pStyle w:val="24"/>
        <w:ind w:firstLine="560" w:firstLineChars="200"/>
        <w:rPr>
          <w:rFonts w:hint="default" w:eastAsiaTheme="minorEastAsia"/>
          <w:color w:val="auto"/>
          <w:lang w:val="en-US" w:eastAsia="zh-CN"/>
        </w:rPr>
      </w:pPr>
      <w:r>
        <w:rPr>
          <w:rFonts w:hint="eastAsia" w:eastAsiaTheme="minorEastAsia"/>
          <w:color w:val="auto"/>
          <w:sz w:val="28"/>
          <w:szCs w:val="28"/>
          <w:highlight w:val="none"/>
          <w:lang w:val="en-US" w:eastAsia="zh-CN"/>
        </w:rPr>
        <w:t>附件9、情况说明</w:t>
      </w:r>
    </w:p>
    <w:p w14:paraId="75D31FBA">
      <w:pPr>
        <w:widowControl/>
        <w:adjustRightInd w:val="0"/>
        <w:snapToGrid w:val="0"/>
        <w:spacing w:line="360" w:lineRule="auto"/>
        <w:ind w:firstLine="560" w:firstLineChars="200"/>
        <w:jc w:val="left"/>
        <w:rPr>
          <w:rFonts w:hint="default" w:eastAsiaTheme="minorEastAsia"/>
          <w:color w:val="auto"/>
          <w:sz w:val="28"/>
          <w:szCs w:val="28"/>
          <w:highlight w:val="none"/>
          <w:lang w:val="en-US" w:eastAsia="zh-CN"/>
        </w:rPr>
      </w:pPr>
      <w:r>
        <w:rPr>
          <w:rFonts w:hint="eastAsia" w:eastAsiaTheme="minorEastAsia"/>
          <w:color w:val="auto"/>
          <w:sz w:val="28"/>
          <w:szCs w:val="28"/>
          <w:highlight w:val="none"/>
        </w:rPr>
        <w:t>附件</w:t>
      </w:r>
      <w:r>
        <w:rPr>
          <w:rFonts w:hint="eastAsia" w:eastAsiaTheme="minorEastAsia"/>
          <w:color w:val="auto"/>
          <w:sz w:val="28"/>
          <w:szCs w:val="28"/>
          <w:highlight w:val="none"/>
          <w:lang w:val="en-US" w:eastAsia="zh-CN"/>
        </w:rPr>
        <w:t>10</w:t>
      </w:r>
      <w:r>
        <w:rPr>
          <w:rFonts w:hint="eastAsia" w:eastAsiaTheme="minorEastAsia"/>
          <w:color w:val="auto"/>
          <w:sz w:val="28"/>
          <w:szCs w:val="28"/>
          <w:highlight w:val="none"/>
        </w:rPr>
        <w:t>、</w:t>
      </w:r>
      <w:r>
        <w:rPr>
          <w:rFonts w:hint="eastAsia" w:eastAsiaTheme="minorEastAsia"/>
          <w:color w:val="auto"/>
          <w:sz w:val="28"/>
          <w:szCs w:val="28"/>
          <w:highlight w:val="none"/>
          <w:lang w:val="en-US" w:eastAsia="zh-CN"/>
        </w:rPr>
        <w:t>与玉溪市红塔区北城镇人民政府土地租赁协议</w:t>
      </w:r>
    </w:p>
    <w:p w14:paraId="093B2345">
      <w:pPr>
        <w:widowControl/>
        <w:adjustRightInd w:val="0"/>
        <w:snapToGrid w:val="0"/>
        <w:spacing w:line="360" w:lineRule="auto"/>
        <w:ind w:firstLine="560" w:firstLineChars="200"/>
        <w:jc w:val="left"/>
        <w:rPr>
          <w:rFonts w:hint="eastAsia" w:eastAsiaTheme="minorEastAsia"/>
          <w:color w:val="auto"/>
          <w:sz w:val="28"/>
          <w:szCs w:val="28"/>
          <w:highlight w:val="none"/>
        </w:rPr>
      </w:pPr>
      <w:r>
        <w:rPr>
          <w:rFonts w:hint="eastAsia" w:eastAsiaTheme="minorEastAsia"/>
          <w:color w:val="auto"/>
          <w:sz w:val="28"/>
          <w:szCs w:val="28"/>
          <w:highlight w:val="none"/>
        </w:rPr>
        <w:t>附件1</w:t>
      </w:r>
      <w:r>
        <w:rPr>
          <w:rFonts w:hint="eastAsia" w:eastAsiaTheme="minorEastAsia"/>
          <w:color w:val="auto"/>
          <w:sz w:val="28"/>
          <w:szCs w:val="28"/>
          <w:highlight w:val="none"/>
          <w:lang w:val="en-US" w:eastAsia="zh-CN"/>
        </w:rPr>
        <w:t>1</w:t>
      </w:r>
      <w:r>
        <w:rPr>
          <w:rFonts w:hint="eastAsia" w:eastAsiaTheme="minorEastAsia"/>
          <w:color w:val="auto"/>
          <w:sz w:val="28"/>
          <w:szCs w:val="28"/>
          <w:highlight w:val="none"/>
        </w:rPr>
        <w:t>、玉溪合原能源</w:t>
      </w:r>
      <w:r>
        <w:rPr>
          <w:rFonts w:hint="eastAsia" w:eastAsiaTheme="minorEastAsia"/>
          <w:color w:val="auto"/>
          <w:sz w:val="28"/>
          <w:szCs w:val="28"/>
          <w:highlight w:val="none"/>
          <w:lang w:val="en-US" w:eastAsia="zh-CN"/>
        </w:rPr>
        <w:t>钧</w:t>
      </w:r>
      <w:r>
        <w:rPr>
          <w:rFonts w:hint="eastAsia" w:eastAsiaTheme="minorEastAsia"/>
          <w:color w:val="auto"/>
          <w:sz w:val="28"/>
          <w:szCs w:val="28"/>
          <w:highlight w:val="none"/>
        </w:rPr>
        <w:t>澄项目场地租赁合同</w:t>
      </w:r>
    </w:p>
    <w:p w14:paraId="3E34F92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eastAsiaTheme="minorEastAsia"/>
          <w:color w:val="auto"/>
          <w:sz w:val="28"/>
          <w:szCs w:val="28"/>
          <w:highlight w:val="none"/>
          <w:lang w:val="en-US" w:eastAsia="zh-CN"/>
        </w:rPr>
      </w:pPr>
      <w:r>
        <w:rPr>
          <w:rFonts w:hint="eastAsia" w:eastAsiaTheme="minorEastAsia"/>
          <w:color w:val="auto"/>
          <w:sz w:val="28"/>
          <w:szCs w:val="28"/>
          <w:highlight w:val="none"/>
        </w:rPr>
        <w:t>附件1</w:t>
      </w:r>
      <w:r>
        <w:rPr>
          <w:rFonts w:hint="eastAsia" w:eastAsiaTheme="minorEastAsia"/>
          <w:color w:val="auto"/>
          <w:sz w:val="28"/>
          <w:szCs w:val="28"/>
          <w:highlight w:val="none"/>
          <w:lang w:val="en-US" w:eastAsia="zh-CN"/>
        </w:rPr>
        <w:t>2</w:t>
      </w:r>
      <w:r>
        <w:rPr>
          <w:rFonts w:hint="eastAsia" w:eastAsiaTheme="minorEastAsia"/>
          <w:color w:val="auto"/>
          <w:sz w:val="28"/>
          <w:szCs w:val="28"/>
          <w:highlight w:val="none"/>
        </w:rPr>
        <w:t>、</w:t>
      </w:r>
      <w:r>
        <w:rPr>
          <w:rFonts w:hint="eastAsia" w:eastAsiaTheme="minorEastAsia"/>
          <w:color w:val="auto"/>
          <w:sz w:val="28"/>
          <w:szCs w:val="28"/>
          <w:highlight w:val="none"/>
          <w:lang w:val="en-US" w:eastAsia="zh-CN"/>
        </w:rPr>
        <w:t>玉溪市恒威商贸有限公司迁建年产4万立方米泡沫塑料及塑料制品生产线</w:t>
      </w:r>
      <w:r>
        <w:rPr>
          <w:rFonts w:hint="eastAsia" w:eastAsiaTheme="minorEastAsia"/>
          <w:color w:val="auto"/>
          <w:sz w:val="28"/>
          <w:szCs w:val="28"/>
          <w:highlight w:val="none"/>
        </w:rPr>
        <w:t>项目</w:t>
      </w:r>
      <w:r>
        <w:rPr>
          <w:rFonts w:hint="eastAsia" w:eastAsiaTheme="minorEastAsia"/>
          <w:color w:val="auto"/>
          <w:sz w:val="28"/>
          <w:szCs w:val="28"/>
          <w:highlight w:val="none"/>
          <w:lang w:val="en-US" w:eastAsia="zh-CN"/>
        </w:rPr>
        <w:t>环评批复</w:t>
      </w:r>
    </w:p>
    <w:p w14:paraId="54E4876D">
      <w:pPr>
        <w:pStyle w:val="24"/>
        <w:keepNext w:val="0"/>
        <w:keepLines w:val="0"/>
        <w:pageBreakBefore w:val="0"/>
        <w:kinsoku/>
        <w:wordWrap/>
        <w:overflowPunct/>
        <w:topLinePunct w:val="0"/>
        <w:autoSpaceDE/>
        <w:autoSpaceDN/>
        <w:bidi w:val="0"/>
        <w:adjustRightInd w:val="0"/>
        <w:snapToGrid w:val="0"/>
        <w:spacing w:line="360" w:lineRule="auto"/>
        <w:textAlignment w:val="auto"/>
        <w:rPr>
          <w:rFonts w:hint="eastAsia"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 xml:space="preserve">  附件13、玉溪市恒威商贸有限公司迁建年产4万立方米泡沫塑料及塑料制品生产线项目固体废物污染防治设施的验收意见</w:t>
      </w:r>
    </w:p>
    <w:p w14:paraId="16B6752B">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default" w:eastAsiaTheme="minorEastAsia"/>
          <w:color w:val="auto"/>
          <w:sz w:val="28"/>
          <w:szCs w:val="28"/>
          <w:highlight w:val="none"/>
          <w:lang w:val="en-US" w:eastAsia="zh-CN"/>
        </w:rPr>
        <w:t>附件1</w:t>
      </w:r>
      <w:r>
        <w:rPr>
          <w:rFonts w:hint="eastAsia" w:eastAsiaTheme="minorEastAsia"/>
          <w:color w:val="auto"/>
          <w:sz w:val="28"/>
          <w:szCs w:val="28"/>
          <w:highlight w:val="none"/>
          <w:lang w:val="en-US" w:eastAsia="zh-CN"/>
        </w:rPr>
        <w:t>4、</w:t>
      </w:r>
      <w:r>
        <w:rPr>
          <w:rFonts w:hint="default" w:eastAsiaTheme="minorEastAsia"/>
          <w:color w:val="auto"/>
          <w:sz w:val="28"/>
          <w:szCs w:val="28"/>
          <w:highlight w:val="none"/>
          <w:lang w:val="en-US" w:eastAsia="zh-CN"/>
        </w:rPr>
        <w:t>噪声环境现状监测报告</w:t>
      </w:r>
    </w:p>
    <w:p w14:paraId="20A8174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eastAsiaTheme="minorEastAsia"/>
          <w:color w:val="auto"/>
          <w:sz w:val="28"/>
          <w:szCs w:val="28"/>
          <w:highlight w:val="none"/>
          <w:lang w:val="en-US" w:eastAsia="zh-CN"/>
        </w:rPr>
      </w:pPr>
      <w:r>
        <w:rPr>
          <w:rFonts w:hint="default" w:eastAsiaTheme="minorEastAsia"/>
          <w:color w:val="auto"/>
          <w:sz w:val="28"/>
          <w:szCs w:val="28"/>
          <w:highlight w:val="none"/>
          <w:lang w:val="en-US" w:eastAsia="zh-CN"/>
        </w:rPr>
        <w:t>附件1</w:t>
      </w:r>
      <w:r>
        <w:rPr>
          <w:rFonts w:hint="eastAsia" w:eastAsiaTheme="minorEastAsia"/>
          <w:color w:val="auto"/>
          <w:sz w:val="28"/>
          <w:szCs w:val="28"/>
          <w:highlight w:val="none"/>
          <w:lang w:val="en-US" w:eastAsia="zh-CN"/>
        </w:rPr>
        <w:t>5、特种设备使用登记证</w:t>
      </w:r>
    </w:p>
    <w:p w14:paraId="7756B852">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附件16、</w:t>
      </w:r>
      <w:r>
        <w:rPr>
          <w:rFonts w:hint="default" w:eastAsiaTheme="minorEastAsia"/>
          <w:color w:val="auto"/>
          <w:sz w:val="28"/>
          <w:szCs w:val="28"/>
          <w:highlight w:val="none"/>
          <w:lang w:val="en-US" w:eastAsia="zh-CN"/>
        </w:rPr>
        <w:t>环评工作进度管理表+三级审核</w:t>
      </w:r>
    </w:p>
    <w:p w14:paraId="4EF09167">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附件17、项目环评合同</w:t>
      </w:r>
    </w:p>
    <w:p w14:paraId="70BFC50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附件18、关于玉溪合源能源有限公司有关生产设备符合产业政策的意见</w:t>
      </w:r>
    </w:p>
    <w:p w14:paraId="2058965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附件19、评审意见</w:t>
      </w:r>
    </w:p>
    <w:p w14:paraId="6DFFA42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附件20、专家签字表</w:t>
      </w:r>
    </w:p>
    <w:p w14:paraId="4516D3B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eastAsiaTheme="minorEastAsia"/>
          <w:color w:val="auto"/>
          <w:sz w:val="28"/>
          <w:szCs w:val="28"/>
          <w:highlight w:val="none"/>
          <w:lang w:val="en-US" w:eastAsia="zh-CN"/>
        </w:rPr>
      </w:pPr>
      <w:r>
        <w:rPr>
          <w:rFonts w:hint="eastAsia" w:eastAsiaTheme="minorEastAsia"/>
          <w:color w:val="auto"/>
          <w:sz w:val="28"/>
          <w:szCs w:val="28"/>
          <w:highlight w:val="none"/>
          <w:lang w:val="en-US" w:eastAsia="zh-CN"/>
        </w:rPr>
        <w:t>附件21、修改清单</w:t>
      </w:r>
    </w:p>
    <w:p w14:paraId="67DEDCFE">
      <w:pPr>
        <w:pStyle w:val="24"/>
        <w:rPr>
          <w:rFonts w:hint="default"/>
          <w:color w:val="auto"/>
          <w:lang w:val="en-US" w:eastAsia="zh-CN"/>
        </w:rPr>
      </w:pPr>
    </w:p>
    <w:p w14:paraId="65D3DD9F">
      <w:pPr>
        <w:widowControl/>
        <w:adjustRightInd w:val="0"/>
        <w:snapToGrid w:val="0"/>
        <w:spacing w:line="360" w:lineRule="auto"/>
        <w:ind w:firstLine="420" w:firstLineChars="200"/>
        <w:jc w:val="left"/>
        <w:rPr>
          <w:color w:val="auto"/>
          <w:highlight w:val="none"/>
        </w:rPr>
      </w:pPr>
    </w:p>
    <w:p w14:paraId="330C7293">
      <w:pPr>
        <w:widowControl/>
        <w:adjustRightInd w:val="0"/>
        <w:snapToGrid w:val="0"/>
        <w:spacing w:line="360" w:lineRule="auto"/>
        <w:jc w:val="left"/>
        <w:rPr>
          <w:rFonts w:eastAsiaTheme="minorEastAsia"/>
          <w:b/>
          <w:color w:val="auto"/>
          <w:sz w:val="28"/>
          <w:szCs w:val="28"/>
          <w:highlight w:val="none"/>
        </w:rPr>
      </w:pPr>
      <w:r>
        <w:rPr>
          <w:rFonts w:eastAsiaTheme="minorEastAsia"/>
          <w:b/>
          <w:color w:val="auto"/>
          <w:sz w:val="28"/>
          <w:szCs w:val="28"/>
          <w:highlight w:val="none"/>
        </w:rPr>
        <w:t>附图：</w:t>
      </w:r>
    </w:p>
    <w:p w14:paraId="1171FF27">
      <w:pPr>
        <w:widowControl/>
        <w:adjustRightInd w:val="0"/>
        <w:snapToGrid w:val="0"/>
        <w:spacing w:line="360" w:lineRule="auto"/>
        <w:ind w:firstLine="560" w:firstLineChars="200"/>
        <w:jc w:val="left"/>
        <w:rPr>
          <w:rFonts w:eastAsiaTheme="minorEastAsia"/>
          <w:color w:val="auto"/>
          <w:sz w:val="28"/>
          <w:szCs w:val="28"/>
          <w:highlight w:val="none"/>
        </w:rPr>
      </w:pPr>
      <w:r>
        <w:rPr>
          <w:rFonts w:eastAsiaTheme="minorEastAsia"/>
          <w:color w:val="auto"/>
          <w:sz w:val="28"/>
          <w:szCs w:val="28"/>
          <w:highlight w:val="none"/>
        </w:rPr>
        <w:t>附图1</w:t>
      </w:r>
      <w:r>
        <w:rPr>
          <w:rFonts w:hint="eastAsia" w:eastAsiaTheme="minorEastAsia"/>
          <w:color w:val="auto"/>
          <w:sz w:val="28"/>
          <w:szCs w:val="28"/>
          <w:highlight w:val="none"/>
        </w:rPr>
        <w:t>、</w:t>
      </w:r>
      <w:r>
        <w:rPr>
          <w:rFonts w:eastAsiaTheme="minorEastAsia"/>
          <w:color w:val="auto"/>
          <w:sz w:val="28"/>
          <w:szCs w:val="28"/>
          <w:highlight w:val="none"/>
        </w:rPr>
        <w:t>项目地理位置图</w:t>
      </w:r>
    </w:p>
    <w:p w14:paraId="054B2B71">
      <w:pPr>
        <w:widowControl/>
        <w:adjustRightInd w:val="0"/>
        <w:snapToGrid w:val="0"/>
        <w:spacing w:line="360" w:lineRule="auto"/>
        <w:ind w:firstLine="560" w:firstLineChars="200"/>
        <w:jc w:val="left"/>
        <w:rPr>
          <w:rFonts w:eastAsiaTheme="minorEastAsia"/>
          <w:color w:val="auto"/>
          <w:sz w:val="28"/>
          <w:szCs w:val="28"/>
          <w:highlight w:val="none"/>
        </w:rPr>
      </w:pPr>
      <w:r>
        <w:rPr>
          <w:rFonts w:eastAsiaTheme="minorEastAsia"/>
          <w:color w:val="auto"/>
          <w:sz w:val="28"/>
          <w:szCs w:val="28"/>
          <w:highlight w:val="none"/>
        </w:rPr>
        <w:t>附图2</w:t>
      </w:r>
      <w:r>
        <w:rPr>
          <w:rFonts w:hint="eastAsia" w:eastAsiaTheme="minorEastAsia"/>
          <w:color w:val="auto"/>
          <w:sz w:val="28"/>
          <w:szCs w:val="28"/>
          <w:highlight w:val="none"/>
        </w:rPr>
        <w:t>、</w:t>
      </w:r>
      <w:r>
        <w:rPr>
          <w:rFonts w:eastAsiaTheme="minorEastAsia"/>
          <w:color w:val="auto"/>
          <w:sz w:val="28"/>
          <w:szCs w:val="28"/>
          <w:highlight w:val="none"/>
        </w:rPr>
        <w:t>项目总平面布置</w:t>
      </w:r>
    </w:p>
    <w:p w14:paraId="16667860">
      <w:pPr>
        <w:widowControl/>
        <w:adjustRightInd w:val="0"/>
        <w:snapToGrid w:val="0"/>
        <w:spacing w:line="360" w:lineRule="auto"/>
        <w:ind w:firstLine="560" w:firstLineChars="200"/>
        <w:jc w:val="left"/>
        <w:rPr>
          <w:rFonts w:eastAsiaTheme="minorEastAsia"/>
          <w:color w:val="auto"/>
          <w:sz w:val="28"/>
          <w:szCs w:val="28"/>
          <w:highlight w:val="none"/>
        </w:rPr>
      </w:pPr>
      <w:r>
        <w:rPr>
          <w:rFonts w:hint="eastAsia" w:eastAsiaTheme="minorEastAsia"/>
          <w:color w:val="auto"/>
          <w:sz w:val="28"/>
          <w:szCs w:val="28"/>
          <w:highlight w:val="none"/>
        </w:rPr>
        <w:t>附图3、</w:t>
      </w:r>
      <w:r>
        <w:rPr>
          <w:rFonts w:hint="eastAsia" w:eastAsiaTheme="minorEastAsia"/>
          <w:color w:val="auto"/>
          <w:sz w:val="28"/>
          <w:szCs w:val="28"/>
          <w:highlight w:val="none"/>
          <w:lang w:val="en-US" w:eastAsia="zh-CN"/>
        </w:rPr>
        <w:t>水系</w:t>
      </w:r>
      <w:r>
        <w:rPr>
          <w:rFonts w:hint="eastAsia" w:eastAsiaTheme="minorEastAsia"/>
          <w:color w:val="auto"/>
          <w:sz w:val="28"/>
          <w:szCs w:val="28"/>
          <w:highlight w:val="none"/>
        </w:rPr>
        <w:t>图</w:t>
      </w:r>
    </w:p>
    <w:p w14:paraId="7EA308F0">
      <w:pPr>
        <w:widowControl/>
        <w:adjustRightInd w:val="0"/>
        <w:snapToGrid w:val="0"/>
        <w:spacing w:line="360" w:lineRule="auto"/>
        <w:ind w:firstLine="560" w:firstLineChars="200"/>
        <w:jc w:val="left"/>
        <w:rPr>
          <w:rFonts w:hint="eastAsia" w:eastAsiaTheme="minorEastAsia"/>
          <w:color w:val="auto"/>
          <w:sz w:val="28"/>
          <w:szCs w:val="28"/>
          <w:highlight w:val="none"/>
          <w:lang w:val="en-US" w:eastAsia="zh-CN"/>
        </w:rPr>
      </w:pPr>
      <w:r>
        <w:rPr>
          <w:rFonts w:eastAsiaTheme="minorEastAsia"/>
          <w:color w:val="auto"/>
          <w:sz w:val="28"/>
          <w:szCs w:val="28"/>
          <w:highlight w:val="none"/>
        </w:rPr>
        <w:t>附图</w:t>
      </w:r>
      <w:r>
        <w:rPr>
          <w:rFonts w:hint="eastAsia" w:eastAsiaTheme="minorEastAsia"/>
          <w:color w:val="auto"/>
          <w:sz w:val="28"/>
          <w:szCs w:val="28"/>
          <w:highlight w:val="none"/>
        </w:rPr>
        <w:t>4、</w:t>
      </w:r>
      <w:r>
        <w:rPr>
          <w:rFonts w:hint="eastAsia" w:eastAsiaTheme="minorEastAsia"/>
          <w:color w:val="auto"/>
          <w:sz w:val="28"/>
          <w:szCs w:val="28"/>
          <w:highlight w:val="none"/>
          <w:lang w:val="en-US" w:eastAsia="zh-CN"/>
        </w:rPr>
        <w:t>周边关系及保护目标示意图</w:t>
      </w:r>
    </w:p>
    <w:p w14:paraId="5F6516F4">
      <w:pPr>
        <w:pStyle w:val="24"/>
        <w:rPr>
          <w:rFonts w:hint="default"/>
          <w:color w:val="auto"/>
          <w:lang w:val="en-US" w:eastAsia="zh-CN"/>
        </w:rPr>
      </w:pPr>
      <w:r>
        <w:rPr>
          <w:rFonts w:hint="eastAsia" w:eastAsiaTheme="minorEastAsia"/>
          <w:color w:val="auto"/>
          <w:sz w:val="28"/>
          <w:szCs w:val="28"/>
          <w:highlight w:val="none"/>
          <w:lang w:val="en-US" w:eastAsia="zh-CN"/>
        </w:rPr>
        <w:t xml:space="preserve">  附图5项目特征污染物TSP、NO</w:t>
      </w:r>
      <w:r>
        <w:rPr>
          <w:rFonts w:hint="eastAsia" w:eastAsiaTheme="minorEastAsia"/>
          <w:color w:val="auto"/>
          <w:sz w:val="28"/>
          <w:szCs w:val="28"/>
          <w:highlight w:val="none"/>
          <w:vertAlign w:val="subscript"/>
          <w:lang w:val="en-US" w:eastAsia="zh-CN"/>
        </w:rPr>
        <w:t>X</w:t>
      </w:r>
      <w:r>
        <w:rPr>
          <w:rFonts w:hint="eastAsia" w:eastAsiaTheme="minorEastAsia"/>
          <w:color w:val="auto"/>
          <w:sz w:val="28"/>
          <w:szCs w:val="28"/>
          <w:highlight w:val="none"/>
          <w:lang w:val="en-US" w:eastAsia="zh-CN"/>
        </w:rPr>
        <w:t>现状引用的监测点位位置示意图</w:t>
      </w:r>
    </w:p>
    <w:p w14:paraId="14538660">
      <w:pPr>
        <w:pStyle w:val="13"/>
        <w:ind w:firstLine="570"/>
        <w:rPr>
          <w:rFonts w:hint="eastAsia" w:ascii="Times New Roman" w:hAnsi="Times New Roman" w:cs="Times New Roman" w:eastAsiaTheme="minorEastAsia"/>
          <w:color w:val="auto"/>
          <w:kern w:val="2"/>
          <w:sz w:val="28"/>
          <w:szCs w:val="28"/>
          <w:highlight w:val="none"/>
          <w:lang w:val="en-US" w:eastAsia="zh-CN" w:bidi="ar-SA"/>
        </w:rPr>
      </w:pPr>
      <w:r>
        <w:rPr>
          <w:rFonts w:hint="eastAsia" w:ascii="Times New Roman" w:hAnsi="Times New Roman" w:cs="Times New Roman" w:eastAsiaTheme="minorEastAsia"/>
          <w:color w:val="auto"/>
          <w:kern w:val="2"/>
          <w:sz w:val="28"/>
          <w:szCs w:val="28"/>
          <w:highlight w:val="none"/>
          <w:lang w:val="en-US" w:eastAsia="zh-CN" w:bidi="ar-SA"/>
        </w:rPr>
        <w:t>附图6分区防渗图</w:t>
      </w:r>
    </w:p>
    <w:p w14:paraId="2CC736D6">
      <w:pPr>
        <w:ind w:firstLine="570"/>
        <w:rPr>
          <w:rFonts w:hint="default" w:ascii="Times New Roman" w:hAnsi="Times New Roman" w:cs="Times New Roman" w:eastAsiaTheme="minorEastAsia"/>
          <w:color w:val="auto"/>
          <w:kern w:val="2"/>
          <w:sz w:val="28"/>
          <w:szCs w:val="28"/>
          <w:highlight w:val="none"/>
          <w:lang w:val="en-US" w:eastAsia="zh-CN" w:bidi="ar-SA"/>
        </w:rPr>
      </w:pPr>
      <w:r>
        <w:rPr>
          <w:rFonts w:hint="eastAsia" w:ascii="Times New Roman" w:hAnsi="Times New Roman" w:cs="Times New Roman" w:eastAsiaTheme="minorEastAsia"/>
          <w:color w:val="auto"/>
          <w:kern w:val="2"/>
          <w:sz w:val="28"/>
          <w:szCs w:val="28"/>
          <w:highlight w:val="none"/>
          <w:lang w:val="en-US" w:eastAsia="zh-CN" w:bidi="ar-SA"/>
        </w:rPr>
        <w:t>附图7雨污管网图</w:t>
      </w:r>
    </w:p>
    <w:p w14:paraId="677AC34B">
      <w:pPr>
        <w:pStyle w:val="35"/>
        <w:rPr>
          <w:rFonts w:ascii="Times New Roman"/>
          <w:b/>
          <w:bCs/>
          <w:color w:val="auto"/>
          <w:sz w:val="30"/>
          <w:szCs w:val="30"/>
          <w:highlight w:val="none"/>
        </w:rPr>
      </w:pPr>
    </w:p>
    <w:p w14:paraId="2B81DB7A">
      <w:pPr>
        <w:rPr>
          <w:color w:val="auto"/>
          <w:highlight w:val="none"/>
        </w:rPr>
      </w:pPr>
    </w:p>
    <w:p w14:paraId="0310EC6F">
      <w:pPr>
        <w:pStyle w:val="22"/>
        <w:jc w:val="center"/>
        <w:rPr>
          <w:rFonts w:ascii="黑体" w:hAnsi="黑体" w:eastAsia="黑体"/>
          <w:snapToGrid w:val="0"/>
          <w:color w:val="auto"/>
          <w:sz w:val="30"/>
          <w:szCs w:val="30"/>
          <w:highlight w:val="none"/>
        </w:rPr>
        <w:sectPr>
          <w:footerReference r:id="rId3" w:type="default"/>
          <w:pgSz w:w="11906" w:h="16838"/>
          <w:pgMar w:top="1701" w:right="1531" w:bottom="1701" w:left="1531" w:header="851" w:footer="1077" w:gutter="0"/>
          <w:cols w:space="720" w:num="1"/>
          <w:docGrid w:linePitch="312" w:charSpace="0"/>
        </w:sectPr>
      </w:pPr>
    </w:p>
    <w:p w14:paraId="7E69E55E">
      <w:pPr>
        <w:pStyle w:val="22"/>
        <w:jc w:val="center"/>
        <w:outlineLvl w:val="0"/>
        <w:rPr>
          <w:rFonts w:ascii="Times New Roman" w:hAnsi="Times New Roman" w:eastAsia="黑体"/>
          <w:snapToGrid w:val="0"/>
          <w:color w:val="auto"/>
          <w:sz w:val="30"/>
          <w:szCs w:val="30"/>
          <w:highlight w:val="none"/>
        </w:rPr>
      </w:pPr>
      <w:bookmarkStart w:id="4" w:name="_Toc21857"/>
      <w:r>
        <w:rPr>
          <w:rFonts w:ascii="Times New Roman" w:hAnsi="黑体" w:eastAsia="黑体"/>
          <w:snapToGrid w:val="0"/>
          <w:color w:val="auto"/>
          <w:sz w:val="30"/>
          <w:szCs w:val="30"/>
          <w:highlight w:val="none"/>
        </w:rPr>
        <w:t>一、建设项目基本情况</w:t>
      </w:r>
      <w:bookmarkEnd w:id="4"/>
      <w:bookmarkStart w:id="46" w:name="_GoBack"/>
      <w:bookmarkEnd w:id="46"/>
    </w:p>
    <w:tbl>
      <w:tblPr>
        <w:tblStyle w:val="26"/>
        <w:tblW w:w="9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6"/>
        <w:gridCol w:w="2024"/>
        <w:gridCol w:w="324"/>
        <w:gridCol w:w="2037"/>
        <w:gridCol w:w="3728"/>
      </w:tblGrid>
      <w:tr w14:paraId="7D2C9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016" w:type="dxa"/>
            <w:tcMar>
              <w:top w:w="16" w:type="dxa"/>
              <w:left w:w="16" w:type="dxa"/>
              <w:right w:w="16" w:type="dxa"/>
            </w:tcMar>
            <w:vAlign w:val="center"/>
          </w:tcPr>
          <w:p w14:paraId="3F0750A2">
            <w:pPr>
              <w:adjustRightInd w:val="0"/>
              <w:snapToGrid w:val="0"/>
              <w:jc w:val="center"/>
              <w:rPr>
                <w:color w:val="auto"/>
                <w:sz w:val="24"/>
                <w:highlight w:val="none"/>
              </w:rPr>
            </w:pPr>
            <w:r>
              <w:rPr>
                <w:rFonts w:hAnsi="宋体"/>
                <w:color w:val="auto"/>
                <w:sz w:val="24"/>
                <w:highlight w:val="none"/>
              </w:rPr>
              <w:t>建设项目名称</w:t>
            </w:r>
          </w:p>
        </w:tc>
        <w:tc>
          <w:tcPr>
            <w:tcW w:w="8113" w:type="dxa"/>
            <w:gridSpan w:val="4"/>
            <w:vAlign w:val="center"/>
          </w:tcPr>
          <w:p w14:paraId="1FEC1DAA">
            <w:pPr>
              <w:adjustRightInd w:val="0"/>
              <w:snapToGrid w:val="0"/>
              <w:jc w:val="center"/>
              <w:rPr>
                <w:rFonts w:hint="eastAsia" w:eastAsia="宋体"/>
                <w:color w:val="auto"/>
                <w:sz w:val="24"/>
                <w:highlight w:val="none"/>
                <w:lang w:eastAsia="zh-CN"/>
              </w:rPr>
            </w:pPr>
            <w:r>
              <w:rPr>
                <w:rFonts w:hint="eastAsia"/>
                <w:color w:val="auto"/>
                <w:sz w:val="24"/>
                <w:highlight w:val="none"/>
                <w:lang w:eastAsia="zh-CN"/>
              </w:rPr>
              <w:t>生物质供热钧澄公司项目</w:t>
            </w:r>
          </w:p>
        </w:tc>
      </w:tr>
      <w:tr w14:paraId="56647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14C6CE3E">
            <w:pPr>
              <w:adjustRightInd w:val="0"/>
              <w:snapToGrid w:val="0"/>
              <w:jc w:val="center"/>
              <w:rPr>
                <w:color w:val="auto"/>
                <w:sz w:val="24"/>
                <w:highlight w:val="none"/>
              </w:rPr>
            </w:pPr>
            <w:r>
              <w:rPr>
                <w:rFonts w:hAnsi="宋体"/>
                <w:color w:val="auto"/>
                <w:sz w:val="24"/>
                <w:highlight w:val="none"/>
              </w:rPr>
              <w:t>项目代码</w:t>
            </w:r>
          </w:p>
        </w:tc>
        <w:tc>
          <w:tcPr>
            <w:tcW w:w="8113" w:type="dxa"/>
            <w:gridSpan w:val="4"/>
            <w:vAlign w:val="center"/>
          </w:tcPr>
          <w:p w14:paraId="3FCDDCC6">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2508</w:t>
            </w:r>
            <w:r>
              <w:rPr>
                <w:rFonts w:hint="eastAsia"/>
                <w:color w:val="auto"/>
                <w:sz w:val="24"/>
                <w:highlight w:val="none"/>
              </w:rPr>
              <w:t>-</w:t>
            </w:r>
            <w:r>
              <w:rPr>
                <w:rFonts w:hint="eastAsia"/>
                <w:color w:val="auto"/>
                <w:sz w:val="24"/>
                <w:highlight w:val="none"/>
                <w:lang w:val="en-US" w:eastAsia="zh-CN"/>
              </w:rPr>
              <w:t>530402</w:t>
            </w:r>
            <w:r>
              <w:rPr>
                <w:rFonts w:hint="eastAsia"/>
                <w:color w:val="auto"/>
                <w:sz w:val="24"/>
                <w:highlight w:val="none"/>
              </w:rPr>
              <w:t>-</w:t>
            </w:r>
            <w:r>
              <w:rPr>
                <w:rFonts w:hint="eastAsia"/>
                <w:color w:val="auto"/>
                <w:sz w:val="24"/>
                <w:highlight w:val="none"/>
                <w:lang w:val="en-US" w:eastAsia="zh-CN"/>
              </w:rPr>
              <w:t>04</w:t>
            </w:r>
            <w:r>
              <w:rPr>
                <w:rFonts w:hint="eastAsia"/>
                <w:color w:val="auto"/>
                <w:sz w:val="24"/>
                <w:highlight w:val="none"/>
              </w:rPr>
              <w:t>-0</w:t>
            </w: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en-US" w:eastAsia="zh-CN"/>
              </w:rPr>
              <w:t>365616</w:t>
            </w:r>
          </w:p>
        </w:tc>
      </w:tr>
      <w:tr w14:paraId="4B0D4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1A0BD2BB">
            <w:pPr>
              <w:adjustRightInd w:val="0"/>
              <w:snapToGrid w:val="0"/>
              <w:jc w:val="center"/>
              <w:rPr>
                <w:rFonts w:hAnsi="宋体"/>
                <w:color w:val="auto"/>
                <w:sz w:val="24"/>
                <w:highlight w:val="none"/>
              </w:rPr>
            </w:pPr>
            <w:r>
              <w:rPr>
                <w:rFonts w:hAnsi="宋体"/>
                <w:color w:val="auto"/>
                <w:sz w:val="24"/>
                <w:highlight w:val="none"/>
              </w:rPr>
              <w:t>建设单位</w:t>
            </w:r>
          </w:p>
          <w:p w14:paraId="16146C80">
            <w:pPr>
              <w:adjustRightInd w:val="0"/>
              <w:snapToGrid w:val="0"/>
              <w:jc w:val="center"/>
              <w:rPr>
                <w:rFonts w:hAnsi="宋体"/>
                <w:color w:val="auto"/>
                <w:sz w:val="24"/>
                <w:highlight w:val="none"/>
              </w:rPr>
            </w:pPr>
            <w:r>
              <w:rPr>
                <w:rFonts w:hAnsi="宋体"/>
                <w:color w:val="auto"/>
                <w:sz w:val="24"/>
                <w:highlight w:val="none"/>
              </w:rPr>
              <w:t>联系人</w:t>
            </w:r>
          </w:p>
        </w:tc>
        <w:tc>
          <w:tcPr>
            <w:tcW w:w="2024" w:type="dxa"/>
            <w:vAlign w:val="center"/>
          </w:tcPr>
          <w:p w14:paraId="22F131D2">
            <w:pPr>
              <w:adjustRightInd w:val="0"/>
              <w:snapToGrid w:val="0"/>
              <w:jc w:val="center"/>
              <w:rPr>
                <w:rFonts w:hAnsi="宋体"/>
                <w:color w:val="auto"/>
                <w:sz w:val="24"/>
                <w:highlight w:val="none"/>
              </w:rPr>
            </w:pPr>
            <w:r>
              <w:rPr>
                <w:rFonts w:hint="eastAsia" w:ascii="宋体" w:hAnsi="宋体" w:eastAsia="宋体" w:cs="宋体"/>
                <w:color w:val="auto"/>
                <w:sz w:val="21"/>
                <w:szCs w:val="21"/>
                <w:lang w:val="en-US" w:eastAsia="zh-CN"/>
              </w:rPr>
              <w:t>鲁永进</w:t>
            </w:r>
          </w:p>
        </w:tc>
        <w:tc>
          <w:tcPr>
            <w:tcW w:w="2361" w:type="dxa"/>
            <w:gridSpan w:val="2"/>
            <w:vAlign w:val="center"/>
          </w:tcPr>
          <w:p w14:paraId="3DF06874">
            <w:pPr>
              <w:adjustRightInd w:val="0"/>
              <w:snapToGrid w:val="0"/>
              <w:jc w:val="center"/>
              <w:rPr>
                <w:rFonts w:hAnsi="宋体"/>
                <w:color w:val="auto"/>
                <w:sz w:val="24"/>
                <w:highlight w:val="none"/>
              </w:rPr>
            </w:pPr>
            <w:r>
              <w:rPr>
                <w:rFonts w:hint="eastAsia" w:ascii="宋体" w:hAnsi="宋体" w:eastAsia="宋体" w:cs="宋体"/>
                <w:color w:val="auto"/>
                <w:sz w:val="21"/>
                <w:szCs w:val="21"/>
              </w:rPr>
              <w:t>联系方式</w:t>
            </w:r>
          </w:p>
        </w:tc>
        <w:tc>
          <w:tcPr>
            <w:tcW w:w="3728" w:type="dxa"/>
            <w:vAlign w:val="center"/>
          </w:tcPr>
          <w:p w14:paraId="7D297534">
            <w:pPr>
              <w:adjustRightInd w:val="0"/>
              <w:snapToGrid w:val="0"/>
              <w:jc w:val="center"/>
              <w:rPr>
                <w:rFonts w:hAnsi="宋体"/>
                <w:color w:val="auto"/>
                <w:sz w:val="24"/>
                <w:highlight w:val="none"/>
              </w:rPr>
            </w:pPr>
            <w:r>
              <w:rPr>
                <w:rFonts w:hint="default" w:ascii="宋体" w:hAnsi="宋体" w:eastAsia="宋体" w:cs="宋体"/>
                <w:color w:val="auto"/>
                <w:sz w:val="21"/>
                <w:szCs w:val="21"/>
                <w:lang w:val="en-US" w:eastAsia="zh-CN"/>
              </w:rPr>
              <w:t>13887781838</w:t>
            </w:r>
          </w:p>
        </w:tc>
      </w:tr>
      <w:tr w14:paraId="60511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724B95A7">
            <w:pPr>
              <w:adjustRightInd w:val="0"/>
              <w:snapToGrid w:val="0"/>
              <w:jc w:val="center"/>
              <w:rPr>
                <w:color w:val="auto"/>
                <w:sz w:val="24"/>
                <w:highlight w:val="none"/>
              </w:rPr>
            </w:pPr>
            <w:r>
              <w:rPr>
                <w:rFonts w:hAnsi="宋体"/>
                <w:color w:val="auto"/>
                <w:sz w:val="24"/>
                <w:highlight w:val="none"/>
              </w:rPr>
              <w:t>建设地点</w:t>
            </w:r>
          </w:p>
        </w:tc>
        <w:tc>
          <w:tcPr>
            <w:tcW w:w="8113" w:type="dxa"/>
            <w:gridSpan w:val="4"/>
            <w:vAlign w:val="center"/>
          </w:tcPr>
          <w:p w14:paraId="78F9EDBF">
            <w:pPr>
              <w:adjustRightInd w:val="0"/>
              <w:snapToGrid w:val="0"/>
              <w:jc w:val="center"/>
              <w:rPr>
                <w:rFonts w:hint="default" w:eastAsia="宋体"/>
                <w:color w:val="auto"/>
                <w:sz w:val="24"/>
                <w:highlight w:val="none"/>
                <w:lang w:val="en-US" w:eastAsia="zh-CN"/>
              </w:rPr>
            </w:pPr>
            <w:r>
              <w:rPr>
                <w:color w:val="auto"/>
                <w:sz w:val="24"/>
                <w:highlight w:val="none"/>
                <w:u w:val="single"/>
              </w:rPr>
              <w:t>云南</w:t>
            </w:r>
            <w:r>
              <w:rPr>
                <w:color w:val="auto"/>
                <w:sz w:val="24"/>
                <w:highlight w:val="none"/>
              </w:rPr>
              <w:t>省</w:t>
            </w:r>
            <w:r>
              <w:rPr>
                <w:color w:val="auto"/>
                <w:sz w:val="24"/>
                <w:highlight w:val="none"/>
                <w:u w:val="single"/>
              </w:rPr>
              <w:t>玉溪</w:t>
            </w:r>
            <w:r>
              <w:rPr>
                <w:color w:val="auto"/>
                <w:sz w:val="24"/>
                <w:highlight w:val="none"/>
              </w:rPr>
              <w:t>市</w:t>
            </w:r>
            <w:r>
              <w:rPr>
                <w:rFonts w:hint="eastAsia"/>
                <w:color w:val="auto"/>
                <w:sz w:val="24"/>
                <w:highlight w:val="none"/>
                <w:u w:val="single"/>
                <w:lang w:val="en-US" w:eastAsia="zh-CN"/>
              </w:rPr>
              <w:t>红塔</w:t>
            </w:r>
            <w:r>
              <w:rPr>
                <w:rFonts w:hint="eastAsia"/>
                <w:color w:val="auto"/>
                <w:sz w:val="24"/>
                <w:highlight w:val="none"/>
                <w:u w:val="single"/>
              </w:rPr>
              <w:t>区</w:t>
            </w:r>
            <w:r>
              <w:rPr>
                <w:rFonts w:hint="eastAsia"/>
                <w:color w:val="auto"/>
                <w:sz w:val="24"/>
                <w:highlight w:val="none"/>
                <w:u w:val="single"/>
                <w:lang w:val="en-US" w:eastAsia="zh-CN"/>
              </w:rPr>
              <w:t>北城街道环城南路中段（钧澄公司内）</w:t>
            </w:r>
          </w:p>
        </w:tc>
      </w:tr>
      <w:tr w14:paraId="22E3B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1016" w:type="dxa"/>
            <w:tcMar>
              <w:top w:w="16" w:type="dxa"/>
              <w:left w:w="16" w:type="dxa"/>
              <w:right w:w="16" w:type="dxa"/>
            </w:tcMar>
            <w:vAlign w:val="center"/>
          </w:tcPr>
          <w:p w14:paraId="44712A48">
            <w:pPr>
              <w:adjustRightInd w:val="0"/>
              <w:snapToGrid w:val="0"/>
              <w:jc w:val="center"/>
              <w:rPr>
                <w:color w:val="auto"/>
                <w:sz w:val="24"/>
                <w:highlight w:val="none"/>
              </w:rPr>
            </w:pPr>
            <w:r>
              <w:rPr>
                <w:rFonts w:hAnsi="宋体"/>
                <w:color w:val="auto"/>
                <w:sz w:val="24"/>
                <w:highlight w:val="none"/>
              </w:rPr>
              <w:t>地理坐标</w:t>
            </w:r>
          </w:p>
        </w:tc>
        <w:tc>
          <w:tcPr>
            <w:tcW w:w="8113" w:type="dxa"/>
            <w:gridSpan w:val="4"/>
            <w:vAlign w:val="center"/>
          </w:tcPr>
          <w:p w14:paraId="45DFDE50">
            <w:pPr>
              <w:jc w:val="center"/>
              <w:rPr>
                <w:color w:val="auto"/>
                <w:sz w:val="24"/>
                <w:highlight w:val="none"/>
              </w:rPr>
            </w:pPr>
            <w:r>
              <w:rPr>
                <w:rFonts w:hAnsi="宋体"/>
                <w:color w:val="auto"/>
                <w:sz w:val="24"/>
                <w:highlight w:val="none"/>
              </w:rPr>
              <w:t>（</w:t>
            </w:r>
            <w:r>
              <w:rPr>
                <w:color w:val="auto"/>
                <w:sz w:val="24"/>
                <w:highlight w:val="none"/>
                <w:u w:val="single"/>
              </w:rPr>
              <w:t xml:space="preserve"> 102 </w:t>
            </w:r>
            <w:r>
              <w:rPr>
                <w:rFonts w:hAnsi="宋体"/>
                <w:color w:val="auto"/>
                <w:sz w:val="24"/>
                <w:highlight w:val="none"/>
              </w:rPr>
              <w:t>度</w:t>
            </w:r>
            <w:r>
              <w:rPr>
                <w:color w:val="auto"/>
                <w:sz w:val="24"/>
                <w:highlight w:val="none"/>
                <w:u w:val="single"/>
              </w:rPr>
              <w:t xml:space="preserve"> </w:t>
            </w:r>
            <w:r>
              <w:rPr>
                <w:rFonts w:hint="eastAsia"/>
                <w:color w:val="auto"/>
                <w:sz w:val="24"/>
                <w:highlight w:val="none"/>
                <w:u w:val="single"/>
              </w:rPr>
              <w:t>3</w:t>
            </w:r>
            <w:r>
              <w:rPr>
                <w:rFonts w:hint="eastAsia"/>
                <w:color w:val="auto"/>
                <w:sz w:val="24"/>
                <w:highlight w:val="none"/>
                <w:u w:val="single"/>
                <w:lang w:val="en-US" w:eastAsia="zh-CN"/>
              </w:rPr>
              <w:t>3</w:t>
            </w:r>
            <w:r>
              <w:rPr>
                <w:color w:val="auto"/>
                <w:sz w:val="24"/>
                <w:highlight w:val="none"/>
                <w:u w:val="single"/>
              </w:rPr>
              <w:t xml:space="preserve"> </w:t>
            </w:r>
            <w:r>
              <w:rPr>
                <w:rFonts w:hAnsi="宋体"/>
                <w:color w:val="auto"/>
                <w:sz w:val="24"/>
                <w:highlight w:val="none"/>
              </w:rPr>
              <w:t>分</w:t>
            </w:r>
            <w:r>
              <w:rPr>
                <w:color w:val="auto"/>
                <w:sz w:val="24"/>
                <w:highlight w:val="none"/>
                <w:u w:val="single"/>
              </w:rPr>
              <w:t xml:space="preserve"> </w:t>
            </w:r>
            <w:r>
              <w:rPr>
                <w:rFonts w:hint="eastAsia"/>
                <w:color w:val="auto"/>
                <w:sz w:val="24"/>
                <w:highlight w:val="none"/>
                <w:u w:val="single"/>
                <w:lang w:val="en-US" w:eastAsia="zh-CN"/>
              </w:rPr>
              <w:t>4.812</w:t>
            </w:r>
            <w:r>
              <w:rPr>
                <w:color w:val="auto"/>
                <w:sz w:val="24"/>
                <w:highlight w:val="none"/>
                <w:u w:val="single"/>
              </w:rPr>
              <w:t xml:space="preserve"> </w:t>
            </w:r>
            <w:r>
              <w:rPr>
                <w:rFonts w:hAnsi="宋体"/>
                <w:color w:val="auto"/>
                <w:sz w:val="24"/>
                <w:highlight w:val="none"/>
              </w:rPr>
              <w:t>秒，</w:t>
            </w:r>
            <w:r>
              <w:rPr>
                <w:color w:val="auto"/>
                <w:sz w:val="24"/>
                <w:highlight w:val="none"/>
                <w:u w:val="single"/>
              </w:rPr>
              <w:t xml:space="preserve"> 24 </w:t>
            </w:r>
            <w:r>
              <w:rPr>
                <w:rFonts w:hAnsi="宋体"/>
                <w:color w:val="auto"/>
                <w:sz w:val="24"/>
                <w:highlight w:val="none"/>
              </w:rPr>
              <w:t>度</w:t>
            </w:r>
            <w:r>
              <w:rPr>
                <w:color w:val="auto"/>
                <w:sz w:val="24"/>
                <w:highlight w:val="none"/>
                <w:u w:val="single"/>
              </w:rPr>
              <w:t xml:space="preserve"> </w:t>
            </w:r>
            <w:r>
              <w:rPr>
                <w:rFonts w:hint="eastAsia"/>
                <w:color w:val="auto"/>
                <w:sz w:val="24"/>
                <w:highlight w:val="none"/>
                <w:u w:val="single"/>
              </w:rPr>
              <w:t>2</w:t>
            </w:r>
            <w:r>
              <w:rPr>
                <w:rFonts w:hint="eastAsia"/>
                <w:color w:val="auto"/>
                <w:sz w:val="24"/>
                <w:highlight w:val="none"/>
                <w:u w:val="single"/>
                <w:lang w:val="en-US" w:eastAsia="zh-CN"/>
              </w:rPr>
              <w:t>5</w:t>
            </w:r>
            <w:r>
              <w:rPr>
                <w:color w:val="auto"/>
                <w:sz w:val="24"/>
                <w:highlight w:val="none"/>
                <w:u w:val="single"/>
              </w:rPr>
              <w:t xml:space="preserve"> </w:t>
            </w:r>
            <w:r>
              <w:rPr>
                <w:rFonts w:hAnsi="宋体"/>
                <w:color w:val="auto"/>
                <w:sz w:val="24"/>
                <w:highlight w:val="none"/>
              </w:rPr>
              <w:t>分</w:t>
            </w:r>
            <w:r>
              <w:rPr>
                <w:color w:val="auto"/>
                <w:sz w:val="24"/>
                <w:highlight w:val="none"/>
                <w:u w:val="single"/>
              </w:rPr>
              <w:t xml:space="preserve"> </w:t>
            </w:r>
            <w:r>
              <w:rPr>
                <w:rFonts w:hint="eastAsia"/>
                <w:color w:val="auto"/>
                <w:sz w:val="24"/>
                <w:highlight w:val="none"/>
                <w:u w:val="single"/>
                <w:lang w:val="en-US" w:eastAsia="zh-CN"/>
              </w:rPr>
              <w:t>25.379</w:t>
            </w:r>
            <w:r>
              <w:rPr>
                <w:color w:val="auto"/>
                <w:sz w:val="24"/>
                <w:highlight w:val="none"/>
                <w:u w:val="single"/>
              </w:rPr>
              <w:t xml:space="preserve"> </w:t>
            </w:r>
            <w:r>
              <w:rPr>
                <w:rFonts w:hAnsi="宋体"/>
                <w:color w:val="auto"/>
                <w:sz w:val="24"/>
                <w:highlight w:val="none"/>
              </w:rPr>
              <w:t>秒）</w:t>
            </w:r>
          </w:p>
        </w:tc>
      </w:tr>
      <w:tr w14:paraId="09B1B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16" w:type="dxa"/>
            <w:tcMar>
              <w:top w:w="16" w:type="dxa"/>
              <w:left w:w="16" w:type="dxa"/>
              <w:right w:w="16" w:type="dxa"/>
            </w:tcMar>
            <w:vAlign w:val="center"/>
          </w:tcPr>
          <w:p w14:paraId="67EA8EC8">
            <w:pPr>
              <w:adjustRightInd w:val="0"/>
              <w:snapToGrid w:val="0"/>
              <w:jc w:val="center"/>
              <w:rPr>
                <w:color w:val="auto"/>
                <w:sz w:val="24"/>
                <w:highlight w:val="none"/>
              </w:rPr>
            </w:pPr>
            <w:r>
              <w:rPr>
                <w:color w:val="auto"/>
                <w:sz w:val="24"/>
                <w:highlight w:val="none"/>
              </w:rPr>
              <w:t>国民经济</w:t>
            </w:r>
          </w:p>
          <w:p w14:paraId="1DA0458A">
            <w:pPr>
              <w:adjustRightInd w:val="0"/>
              <w:snapToGrid w:val="0"/>
              <w:jc w:val="center"/>
              <w:rPr>
                <w:color w:val="auto"/>
                <w:sz w:val="24"/>
                <w:highlight w:val="none"/>
              </w:rPr>
            </w:pPr>
            <w:r>
              <w:rPr>
                <w:color w:val="auto"/>
                <w:sz w:val="24"/>
                <w:highlight w:val="none"/>
              </w:rPr>
              <w:t>行业类别</w:t>
            </w:r>
          </w:p>
        </w:tc>
        <w:tc>
          <w:tcPr>
            <w:tcW w:w="2348" w:type="dxa"/>
            <w:gridSpan w:val="2"/>
            <w:vAlign w:val="center"/>
          </w:tcPr>
          <w:p w14:paraId="17B91303">
            <w:pPr>
              <w:jc w:val="center"/>
              <w:rPr>
                <w:rFonts w:eastAsiaTheme="minorEastAsia"/>
                <w:color w:val="auto"/>
                <w:sz w:val="24"/>
                <w:highlight w:val="none"/>
              </w:rPr>
            </w:pPr>
            <w:r>
              <w:rPr>
                <w:rFonts w:hint="eastAsia" w:eastAsiaTheme="minorEastAsia"/>
                <w:color w:val="auto"/>
                <w:sz w:val="24"/>
                <w:highlight w:val="none"/>
              </w:rPr>
              <w:t>D4430热力生产和供应业</w:t>
            </w:r>
          </w:p>
        </w:tc>
        <w:tc>
          <w:tcPr>
            <w:tcW w:w="2037" w:type="dxa"/>
            <w:vAlign w:val="center"/>
          </w:tcPr>
          <w:p w14:paraId="6D654C66">
            <w:pPr>
              <w:jc w:val="center"/>
              <w:rPr>
                <w:rFonts w:asciiTheme="minorEastAsia" w:hAnsiTheme="minorEastAsia" w:eastAsiaTheme="minorEastAsia"/>
                <w:color w:val="auto"/>
                <w:sz w:val="24"/>
                <w:highlight w:val="none"/>
              </w:rPr>
            </w:pPr>
            <w:bookmarkStart w:id="5" w:name="_Hlk49843745"/>
            <w:r>
              <w:rPr>
                <w:rFonts w:asciiTheme="minorEastAsia" w:hAnsiTheme="minorEastAsia" w:eastAsiaTheme="minorEastAsia"/>
                <w:color w:val="auto"/>
                <w:sz w:val="24"/>
                <w:highlight w:val="none"/>
              </w:rPr>
              <w:t>建设项目</w:t>
            </w:r>
          </w:p>
          <w:p w14:paraId="7E727C1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行业类别</w:t>
            </w:r>
            <w:bookmarkEnd w:id="5"/>
          </w:p>
        </w:tc>
        <w:tc>
          <w:tcPr>
            <w:tcW w:w="3728" w:type="dxa"/>
            <w:vAlign w:val="center"/>
          </w:tcPr>
          <w:p w14:paraId="6C7CBAEB">
            <w:pPr>
              <w:jc w:val="center"/>
              <w:rPr>
                <w:rFonts w:asciiTheme="minorEastAsia" w:hAnsiTheme="minorEastAsia" w:eastAsiaTheme="minorEastAsia"/>
                <w:color w:val="auto"/>
                <w:sz w:val="24"/>
                <w:highlight w:val="none"/>
              </w:rPr>
            </w:pPr>
            <w:r>
              <w:rPr>
                <w:rFonts w:hint="eastAsia" w:eastAsiaTheme="minorEastAsia"/>
                <w:color w:val="auto"/>
                <w:sz w:val="24"/>
                <w:highlight w:val="none"/>
              </w:rPr>
              <w:t>四十一</w:t>
            </w:r>
            <w:r>
              <w:rPr>
                <w:rFonts w:eastAsiaTheme="minorEastAsia"/>
                <w:color w:val="auto"/>
                <w:sz w:val="24"/>
                <w:highlight w:val="none"/>
              </w:rPr>
              <w:t>、</w:t>
            </w:r>
            <w:r>
              <w:rPr>
                <w:rFonts w:hint="eastAsia" w:eastAsiaTheme="minorEastAsia"/>
                <w:color w:val="auto"/>
                <w:sz w:val="24"/>
                <w:highlight w:val="none"/>
              </w:rPr>
              <w:t>电力、热力生产和供应业91.热力生产和供应工程（包括建设单位自建自用的供热工程）</w:t>
            </w:r>
          </w:p>
        </w:tc>
      </w:tr>
      <w:tr w14:paraId="52756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1016" w:type="dxa"/>
            <w:tcMar>
              <w:top w:w="16" w:type="dxa"/>
              <w:left w:w="16" w:type="dxa"/>
              <w:right w:w="16" w:type="dxa"/>
            </w:tcMar>
            <w:vAlign w:val="center"/>
          </w:tcPr>
          <w:p w14:paraId="528A031B">
            <w:pPr>
              <w:adjustRightInd w:val="0"/>
              <w:snapToGrid w:val="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建设性质</w:t>
            </w:r>
          </w:p>
        </w:tc>
        <w:tc>
          <w:tcPr>
            <w:tcW w:w="2348" w:type="dxa"/>
            <w:gridSpan w:val="2"/>
            <w:vAlign w:val="center"/>
          </w:tcPr>
          <w:p w14:paraId="0EB05843">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w:char="00FE"/>
            </w:r>
            <w:r>
              <w:rPr>
                <w:rFonts w:asciiTheme="minorEastAsia" w:hAnsiTheme="minorEastAsia" w:eastAsiaTheme="minorEastAsia"/>
                <w:color w:val="auto"/>
                <w:sz w:val="24"/>
                <w:highlight w:val="none"/>
              </w:rPr>
              <w:t>新建（迁建）</w:t>
            </w:r>
          </w:p>
          <w:p w14:paraId="60F92561">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□改建</w:t>
            </w:r>
          </w:p>
          <w:p w14:paraId="7B1EAF16">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□扩建</w:t>
            </w:r>
          </w:p>
          <w:p w14:paraId="04B7637F">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□技术改造</w:t>
            </w:r>
          </w:p>
        </w:tc>
        <w:tc>
          <w:tcPr>
            <w:tcW w:w="2037" w:type="dxa"/>
            <w:vAlign w:val="center"/>
          </w:tcPr>
          <w:p w14:paraId="6103A762">
            <w:pPr>
              <w:adjustRightInd w:val="0"/>
              <w:snapToGrid w:val="0"/>
              <w:jc w:val="center"/>
              <w:rPr>
                <w:color w:val="auto"/>
                <w:sz w:val="24"/>
                <w:highlight w:val="none"/>
              </w:rPr>
            </w:pPr>
            <w:r>
              <w:rPr>
                <w:rFonts w:hAnsi="宋体"/>
                <w:color w:val="auto"/>
                <w:sz w:val="24"/>
                <w:highlight w:val="none"/>
              </w:rPr>
              <w:t>建设项目</w:t>
            </w:r>
          </w:p>
          <w:p w14:paraId="53505DE7">
            <w:pPr>
              <w:adjustRightInd w:val="0"/>
              <w:snapToGrid w:val="0"/>
              <w:jc w:val="center"/>
              <w:rPr>
                <w:color w:val="auto"/>
                <w:sz w:val="24"/>
                <w:highlight w:val="none"/>
              </w:rPr>
            </w:pPr>
            <w:r>
              <w:rPr>
                <w:rFonts w:hAnsi="宋体"/>
                <w:color w:val="auto"/>
                <w:sz w:val="24"/>
                <w:highlight w:val="none"/>
              </w:rPr>
              <w:t>申报情形</w:t>
            </w:r>
          </w:p>
        </w:tc>
        <w:tc>
          <w:tcPr>
            <w:tcW w:w="3728" w:type="dxa"/>
            <w:vAlign w:val="center"/>
          </w:tcPr>
          <w:p w14:paraId="1B201B93">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w:char="F0FE"/>
            </w:r>
            <w:r>
              <w:rPr>
                <w:rFonts w:asciiTheme="minorEastAsia" w:hAnsiTheme="minorEastAsia" w:eastAsiaTheme="minorEastAsia"/>
                <w:color w:val="auto"/>
                <w:sz w:val="24"/>
                <w:highlight w:val="none"/>
              </w:rPr>
              <w:t xml:space="preserve">首次申报项目             </w:t>
            </w:r>
          </w:p>
          <w:p w14:paraId="3C9CD961">
            <w:pPr>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不予批准后再次申报项目</w:t>
            </w:r>
          </w:p>
          <w:p w14:paraId="34A80DCE">
            <w:pPr>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□超五年重新审核项目     </w:t>
            </w:r>
          </w:p>
          <w:p w14:paraId="58207104">
            <w:pPr>
              <w:jc w:val="left"/>
              <w:rPr>
                <w:color w:val="auto"/>
                <w:sz w:val="24"/>
                <w:highlight w:val="none"/>
              </w:rPr>
            </w:pPr>
            <w:r>
              <w:rPr>
                <w:rFonts w:asciiTheme="minorEastAsia" w:hAnsiTheme="minorEastAsia" w:eastAsiaTheme="minorEastAsia"/>
                <w:color w:val="auto"/>
                <w:sz w:val="24"/>
                <w:highlight w:val="none"/>
              </w:rPr>
              <w:t>□重大变动重新报批项目</w:t>
            </w:r>
          </w:p>
        </w:tc>
      </w:tr>
      <w:tr w14:paraId="1E0B7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16" w:type="dxa"/>
            <w:tcMar>
              <w:top w:w="16" w:type="dxa"/>
              <w:left w:w="16" w:type="dxa"/>
              <w:right w:w="16" w:type="dxa"/>
            </w:tcMar>
            <w:vAlign w:val="center"/>
          </w:tcPr>
          <w:p w14:paraId="261ABFE9">
            <w:pPr>
              <w:adjustRightInd w:val="0"/>
              <w:snapToGrid w:val="0"/>
              <w:jc w:val="center"/>
              <w:rPr>
                <w:rFonts w:hAnsi="宋体"/>
                <w:color w:val="auto"/>
                <w:sz w:val="24"/>
                <w:highlight w:val="none"/>
              </w:rPr>
            </w:pPr>
            <w:r>
              <w:rPr>
                <w:rFonts w:hAnsi="宋体"/>
                <w:color w:val="auto"/>
                <w:sz w:val="24"/>
                <w:highlight w:val="none"/>
              </w:rPr>
              <w:t>项目审批（核准/备案）部门（选填）</w:t>
            </w:r>
          </w:p>
        </w:tc>
        <w:tc>
          <w:tcPr>
            <w:tcW w:w="2348" w:type="dxa"/>
            <w:gridSpan w:val="2"/>
            <w:vAlign w:val="center"/>
          </w:tcPr>
          <w:p w14:paraId="0EBAA0E3">
            <w:pPr>
              <w:jc w:val="center"/>
              <w:rPr>
                <w:rFonts w:hint="default" w:hAnsi="宋体" w:eastAsia="宋体"/>
                <w:color w:val="auto"/>
                <w:sz w:val="24"/>
                <w:highlight w:val="none"/>
                <w:lang w:val="en-US" w:eastAsia="zh-CN"/>
              </w:rPr>
            </w:pPr>
            <w:r>
              <w:rPr>
                <w:rFonts w:hint="eastAsia"/>
                <w:color w:val="auto"/>
                <w:sz w:val="24"/>
                <w:highlight w:val="none"/>
                <w:lang w:val="en-US" w:eastAsia="zh-CN"/>
              </w:rPr>
              <w:t>玉溪市红塔区发展和改革局</w:t>
            </w:r>
          </w:p>
        </w:tc>
        <w:tc>
          <w:tcPr>
            <w:tcW w:w="2037" w:type="dxa"/>
            <w:vAlign w:val="center"/>
          </w:tcPr>
          <w:p w14:paraId="4847A0D0">
            <w:pPr>
              <w:jc w:val="center"/>
              <w:rPr>
                <w:rFonts w:hAnsi="宋体"/>
                <w:color w:val="auto"/>
                <w:sz w:val="24"/>
                <w:highlight w:val="none"/>
              </w:rPr>
            </w:pPr>
            <w:r>
              <w:rPr>
                <w:color w:val="auto"/>
                <w:sz w:val="24"/>
                <w:highlight w:val="none"/>
              </w:rPr>
              <w:t>项目审批（核准/备案）文号（选填）</w:t>
            </w:r>
          </w:p>
        </w:tc>
        <w:tc>
          <w:tcPr>
            <w:tcW w:w="3728" w:type="dxa"/>
            <w:vAlign w:val="center"/>
          </w:tcPr>
          <w:p w14:paraId="05659FA6">
            <w:pPr>
              <w:jc w:val="center"/>
              <w:rPr>
                <w:rFonts w:hint="eastAsia" w:eastAsia="宋体"/>
                <w:color w:val="auto"/>
                <w:sz w:val="24"/>
                <w:highlight w:val="none"/>
                <w:lang w:eastAsia="zh-CN"/>
              </w:rPr>
            </w:pPr>
            <w:r>
              <w:rPr>
                <w:rFonts w:hint="eastAsia"/>
                <w:color w:val="auto"/>
                <w:sz w:val="24"/>
                <w:highlight w:val="none"/>
                <w:lang w:val="en-US" w:eastAsia="zh-CN"/>
              </w:rPr>
              <w:t>/</w:t>
            </w:r>
          </w:p>
        </w:tc>
      </w:tr>
      <w:tr w14:paraId="50F289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706A3078">
            <w:pPr>
              <w:adjustRightInd w:val="0"/>
              <w:snapToGrid w:val="0"/>
              <w:jc w:val="center"/>
              <w:rPr>
                <w:color w:val="auto"/>
                <w:sz w:val="24"/>
                <w:highlight w:val="none"/>
              </w:rPr>
            </w:pPr>
            <w:r>
              <w:rPr>
                <w:rFonts w:hAnsi="宋体"/>
                <w:color w:val="auto"/>
                <w:sz w:val="24"/>
                <w:highlight w:val="none"/>
              </w:rPr>
              <w:t>总投资（万元）</w:t>
            </w:r>
          </w:p>
        </w:tc>
        <w:tc>
          <w:tcPr>
            <w:tcW w:w="2348" w:type="dxa"/>
            <w:gridSpan w:val="2"/>
            <w:vAlign w:val="center"/>
          </w:tcPr>
          <w:p w14:paraId="0F5A2DA9">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90</w:t>
            </w:r>
          </w:p>
        </w:tc>
        <w:tc>
          <w:tcPr>
            <w:tcW w:w="2037" w:type="dxa"/>
            <w:tcMar>
              <w:top w:w="16" w:type="dxa"/>
              <w:left w:w="16" w:type="dxa"/>
              <w:right w:w="16" w:type="dxa"/>
            </w:tcMar>
            <w:vAlign w:val="center"/>
          </w:tcPr>
          <w:p w14:paraId="326B9DDC">
            <w:pPr>
              <w:adjustRightInd w:val="0"/>
              <w:snapToGrid w:val="0"/>
              <w:jc w:val="center"/>
              <w:rPr>
                <w:color w:val="auto"/>
                <w:sz w:val="24"/>
                <w:highlight w:val="none"/>
              </w:rPr>
            </w:pPr>
            <w:r>
              <w:rPr>
                <w:rFonts w:hAnsi="宋体"/>
                <w:color w:val="auto"/>
                <w:sz w:val="24"/>
                <w:highlight w:val="none"/>
              </w:rPr>
              <w:t>环保投资（万元）</w:t>
            </w:r>
          </w:p>
        </w:tc>
        <w:tc>
          <w:tcPr>
            <w:tcW w:w="3728" w:type="dxa"/>
            <w:vAlign w:val="center"/>
          </w:tcPr>
          <w:p w14:paraId="23E32C96">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33.4</w:t>
            </w:r>
          </w:p>
        </w:tc>
      </w:tr>
      <w:tr w14:paraId="784643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6" w:type="dxa"/>
            <w:tcMar>
              <w:top w:w="16" w:type="dxa"/>
              <w:left w:w="16" w:type="dxa"/>
              <w:right w:w="16" w:type="dxa"/>
            </w:tcMar>
            <w:vAlign w:val="center"/>
          </w:tcPr>
          <w:p w14:paraId="4BEC5334">
            <w:pPr>
              <w:adjustRightInd w:val="0"/>
              <w:snapToGrid w:val="0"/>
              <w:jc w:val="center"/>
              <w:rPr>
                <w:color w:val="auto"/>
                <w:sz w:val="24"/>
                <w:highlight w:val="none"/>
              </w:rPr>
            </w:pPr>
            <w:r>
              <w:rPr>
                <w:rFonts w:hAnsi="宋体"/>
                <w:color w:val="auto"/>
                <w:sz w:val="24"/>
                <w:highlight w:val="none"/>
              </w:rPr>
              <w:t>环保投资占比（</w:t>
            </w:r>
            <w:r>
              <w:rPr>
                <w:color w:val="auto"/>
                <w:sz w:val="24"/>
                <w:highlight w:val="none"/>
              </w:rPr>
              <w:t>%</w:t>
            </w:r>
            <w:r>
              <w:rPr>
                <w:rFonts w:hAnsi="宋体"/>
                <w:color w:val="auto"/>
                <w:sz w:val="24"/>
                <w:highlight w:val="none"/>
              </w:rPr>
              <w:t>）</w:t>
            </w:r>
          </w:p>
        </w:tc>
        <w:tc>
          <w:tcPr>
            <w:tcW w:w="2348" w:type="dxa"/>
            <w:gridSpan w:val="2"/>
            <w:vAlign w:val="center"/>
          </w:tcPr>
          <w:p w14:paraId="2970D1A7">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37.11</w:t>
            </w:r>
          </w:p>
        </w:tc>
        <w:tc>
          <w:tcPr>
            <w:tcW w:w="2037" w:type="dxa"/>
            <w:tcMar>
              <w:top w:w="16" w:type="dxa"/>
              <w:left w:w="16" w:type="dxa"/>
              <w:right w:w="16" w:type="dxa"/>
            </w:tcMar>
            <w:vAlign w:val="center"/>
          </w:tcPr>
          <w:p w14:paraId="7177412A">
            <w:pPr>
              <w:adjustRightInd w:val="0"/>
              <w:snapToGrid w:val="0"/>
              <w:jc w:val="center"/>
              <w:rPr>
                <w:color w:val="auto"/>
                <w:sz w:val="24"/>
                <w:highlight w:val="none"/>
              </w:rPr>
            </w:pPr>
            <w:r>
              <w:rPr>
                <w:rFonts w:hAnsi="宋体"/>
                <w:color w:val="auto"/>
                <w:sz w:val="24"/>
                <w:highlight w:val="none"/>
              </w:rPr>
              <w:t>施工工期</w:t>
            </w:r>
          </w:p>
        </w:tc>
        <w:tc>
          <w:tcPr>
            <w:tcW w:w="3728" w:type="dxa"/>
            <w:vAlign w:val="center"/>
          </w:tcPr>
          <w:p w14:paraId="1FC71C79">
            <w:pPr>
              <w:adjustRightInd w:val="0"/>
              <w:snapToGrid w:val="0"/>
              <w:jc w:val="center"/>
              <w:rPr>
                <w:color w:val="auto"/>
                <w:sz w:val="24"/>
                <w:highlight w:val="none"/>
              </w:rPr>
            </w:pPr>
            <w:r>
              <w:rPr>
                <w:rFonts w:hint="eastAsia"/>
                <w:color w:val="auto"/>
                <w:sz w:val="24"/>
                <w:highlight w:val="none"/>
                <w:lang w:val="en-US" w:eastAsia="zh-CN"/>
              </w:rPr>
              <w:t>3</w:t>
            </w:r>
            <w:r>
              <w:rPr>
                <w:rFonts w:hint="eastAsia"/>
                <w:color w:val="auto"/>
                <w:sz w:val="24"/>
                <w:highlight w:val="none"/>
              </w:rPr>
              <w:t>个月</w:t>
            </w:r>
          </w:p>
        </w:tc>
      </w:tr>
      <w:tr w14:paraId="69DAA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16" w:type="dxa"/>
            <w:tcMar>
              <w:top w:w="16" w:type="dxa"/>
              <w:left w:w="16" w:type="dxa"/>
              <w:right w:w="16" w:type="dxa"/>
            </w:tcMar>
            <w:vAlign w:val="center"/>
          </w:tcPr>
          <w:p w14:paraId="5167C4B3">
            <w:pPr>
              <w:adjustRightInd w:val="0"/>
              <w:snapToGrid w:val="0"/>
              <w:jc w:val="center"/>
              <w:rPr>
                <w:color w:val="auto"/>
                <w:sz w:val="24"/>
                <w:highlight w:val="none"/>
              </w:rPr>
            </w:pPr>
            <w:r>
              <w:rPr>
                <w:rFonts w:hAnsi="宋体"/>
                <w:color w:val="auto"/>
                <w:sz w:val="24"/>
                <w:highlight w:val="none"/>
              </w:rPr>
              <w:t>是否开工建设</w:t>
            </w:r>
          </w:p>
        </w:tc>
        <w:tc>
          <w:tcPr>
            <w:tcW w:w="2348" w:type="dxa"/>
            <w:gridSpan w:val="2"/>
            <w:vAlign w:val="center"/>
          </w:tcPr>
          <w:p w14:paraId="7EC333A1">
            <w:pPr>
              <w:adjustRightInd w:val="0"/>
              <w:snapToGrid w:val="0"/>
              <w:rPr>
                <w:color w:val="auto"/>
                <w:sz w:val="24"/>
                <w:highlight w:val="none"/>
              </w:rPr>
            </w:pPr>
            <w:r>
              <w:rPr>
                <w:rFonts w:asciiTheme="minorEastAsia" w:hAnsiTheme="minorEastAsia" w:eastAsiaTheme="minorEastAsia"/>
                <w:color w:val="auto"/>
                <w:sz w:val="24"/>
                <w:highlight w:val="none"/>
              </w:rPr>
              <w:sym w:font="Wingdings" w:char="00A8"/>
            </w:r>
            <w:r>
              <w:rPr>
                <w:rFonts w:hAnsi="宋体"/>
                <w:color w:val="auto"/>
                <w:sz w:val="24"/>
                <w:highlight w:val="none"/>
              </w:rPr>
              <w:t>否</w:t>
            </w:r>
          </w:p>
          <w:p w14:paraId="0FEC70FD">
            <w:pPr>
              <w:adjustRightInd w:val="0"/>
              <w:snapToGrid w:val="0"/>
              <w:rPr>
                <w:color w:val="auto"/>
                <w:sz w:val="24"/>
                <w:highlight w:val="none"/>
              </w:rPr>
            </w:pPr>
            <w:r>
              <w:rPr>
                <w:color w:val="auto"/>
                <w:sz w:val="24"/>
                <w:highlight w:val="none"/>
              </w:rPr>
              <w:sym w:font="Wingdings 2" w:char="0052"/>
            </w:r>
            <w:r>
              <w:rPr>
                <w:rFonts w:hAnsi="宋体"/>
                <w:color w:val="auto"/>
                <w:sz w:val="24"/>
                <w:highlight w:val="none"/>
              </w:rPr>
              <w:t>是：</w:t>
            </w:r>
            <w:r>
              <w:rPr>
                <w:rFonts w:hint="eastAsia" w:hAnsi="宋体"/>
                <w:color w:val="auto"/>
                <w:sz w:val="24"/>
                <w:highlight w:val="none"/>
                <w:u w:val="single"/>
                <w:lang w:val="en-US" w:eastAsia="zh-CN"/>
              </w:rPr>
              <w:t>根据《中华人民共和国行政处罚法》第三十六条规定：违法行为在二年内未被监管部门发现的，不再给予处罚，项目已于2021年4月建设完成了3组生物质蒸发器以及配套设施和环保设施</w:t>
            </w:r>
            <w:r>
              <w:rPr>
                <w:color w:val="auto"/>
                <w:sz w:val="24"/>
                <w:highlight w:val="none"/>
                <w:u w:val="single"/>
              </w:rPr>
              <w:t xml:space="preserve">             </w:t>
            </w:r>
          </w:p>
        </w:tc>
        <w:tc>
          <w:tcPr>
            <w:tcW w:w="2037" w:type="dxa"/>
            <w:tcMar>
              <w:top w:w="16" w:type="dxa"/>
              <w:left w:w="16" w:type="dxa"/>
              <w:right w:w="16" w:type="dxa"/>
            </w:tcMar>
            <w:vAlign w:val="center"/>
          </w:tcPr>
          <w:p w14:paraId="3FE04DC8">
            <w:pPr>
              <w:adjustRightInd w:val="0"/>
              <w:snapToGrid w:val="0"/>
              <w:jc w:val="center"/>
              <w:rPr>
                <w:color w:val="auto"/>
                <w:spacing w:val="-6"/>
                <w:sz w:val="24"/>
                <w:highlight w:val="none"/>
              </w:rPr>
            </w:pPr>
            <w:r>
              <w:rPr>
                <w:rFonts w:hAnsi="宋体"/>
                <w:color w:val="auto"/>
                <w:spacing w:val="-6"/>
                <w:sz w:val="24"/>
                <w:highlight w:val="none"/>
              </w:rPr>
              <w:t>用地（用海）</w:t>
            </w:r>
          </w:p>
          <w:p w14:paraId="7030F6D0">
            <w:pPr>
              <w:adjustRightInd w:val="0"/>
              <w:snapToGrid w:val="0"/>
              <w:jc w:val="center"/>
              <w:rPr>
                <w:color w:val="auto"/>
                <w:sz w:val="24"/>
                <w:highlight w:val="none"/>
              </w:rPr>
            </w:pPr>
            <w:r>
              <w:rPr>
                <w:rFonts w:hAnsi="宋体"/>
                <w:color w:val="auto"/>
                <w:spacing w:val="-6"/>
                <w:sz w:val="24"/>
                <w:highlight w:val="none"/>
              </w:rPr>
              <w:t>面积（</w:t>
            </w:r>
            <w:r>
              <w:rPr>
                <w:color w:val="auto"/>
                <w:spacing w:val="-6"/>
                <w:sz w:val="24"/>
                <w:highlight w:val="none"/>
              </w:rPr>
              <w:t>m</w:t>
            </w:r>
            <w:r>
              <w:rPr>
                <w:color w:val="auto"/>
                <w:spacing w:val="-6"/>
                <w:sz w:val="24"/>
                <w:highlight w:val="none"/>
                <w:vertAlign w:val="superscript"/>
              </w:rPr>
              <w:t>2</w:t>
            </w:r>
            <w:r>
              <w:rPr>
                <w:rFonts w:hAnsi="宋体"/>
                <w:color w:val="auto"/>
                <w:spacing w:val="-6"/>
                <w:sz w:val="24"/>
                <w:highlight w:val="none"/>
              </w:rPr>
              <w:t>）</w:t>
            </w:r>
          </w:p>
        </w:tc>
        <w:tc>
          <w:tcPr>
            <w:tcW w:w="3728" w:type="dxa"/>
            <w:vAlign w:val="center"/>
          </w:tcPr>
          <w:p w14:paraId="33E77C4F">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240</w:t>
            </w:r>
          </w:p>
        </w:tc>
      </w:tr>
      <w:tr w14:paraId="7D552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Align w:val="center"/>
          </w:tcPr>
          <w:p w14:paraId="4F38F9DC">
            <w:pPr>
              <w:autoSpaceDE w:val="0"/>
              <w:autoSpaceDN w:val="0"/>
              <w:adjustRightInd w:val="0"/>
              <w:snapToGrid w:val="0"/>
              <w:jc w:val="center"/>
              <w:rPr>
                <w:color w:val="auto"/>
                <w:kern w:val="0"/>
                <w:sz w:val="24"/>
                <w:highlight w:val="none"/>
              </w:rPr>
            </w:pPr>
            <w:r>
              <w:rPr>
                <w:rFonts w:hAnsi="宋体"/>
                <w:color w:val="auto"/>
                <w:kern w:val="0"/>
                <w:sz w:val="24"/>
                <w:highlight w:val="none"/>
              </w:rPr>
              <w:t>专项评价设置情况</w:t>
            </w:r>
          </w:p>
        </w:tc>
        <w:tc>
          <w:tcPr>
            <w:tcW w:w="8113" w:type="dxa"/>
            <w:gridSpan w:val="4"/>
            <w:vAlign w:val="center"/>
          </w:tcPr>
          <w:p w14:paraId="66188271">
            <w:pPr>
              <w:autoSpaceDE w:val="0"/>
              <w:autoSpaceDN w:val="0"/>
              <w:adjustRightInd w:val="0"/>
              <w:snapToGrid w:val="0"/>
              <w:spacing w:line="360" w:lineRule="auto"/>
              <w:ind w:firstLine="480" w:firstLineChars="200"/>
              <w:jc w:val="left"/>
              <w:rPr>
                <w:color w:val="auto"/>
                <w:kern w:val="0"/>
                <w:sz w:val="24"/>
                <w:highlight w:val="none"/>
              </w:rPr>
            </w:pPr>
            <w:r>
              <w:rPr>
                <w:color w:val="auto"/>
                <w:kern w:val="0"/>
                <w:sz w:val="24"/>
                <w:highlight w:val="none"/>
              </w:rPr>
              <w:t>根据《建设项目环境影响报告表编制技术指南（污染影响类）（试行）》，专项设置原则及本项目专项设置情况如下：</w:t>
            </w:r>
          </w:p>
          <w:p w14:paraId="4F8A4BF5">
            <w:pPr>
              <w:autoSpaceDE w:val="0"/>
              <w:autoSpaceDN w:val="0"/>
              <w:adjustRightInd w:val="0"/>
              <w:snapToGrid w:val="0"/>
              <w:spacing w:line="360" w:lineRule="auto"/>
              <w:jc w:val="center"/>
              <w:rPr>
                <w:b/>
                <w:bCs/>
                <w:color w:val="auto"/>
                <w:kern w:val="0"/>
                <w:sz w:val="24"/>
                <w:highlight w:val="none"/>
              </w:rPr>
            </w:pPr>
          </w:p>
          <w:p w14:paraId="4CEA6242">
            <w:pPr>
              <w:autoSpaceDE w:val="0"/>
              <w:autoSpaceDN w:val="0"/>
              <w:adjustRightInd w:val="0"/>
              <w:snapToGrid w:val="0"/>
              <w:spacing w:line="360" w:lineRule="auto"/>
              <w:jc w:val="center"/>
              <w:rPr>
                <w:b/>
                <w:bCs/>
                <w:color w:val="auto"/>
                <w:kern w:val="0"/>
                <w:sz w:val="24"/>
                <w:highlight w:val="none"/>
              </w:rPr>
            </w:pPr>
          </w:p>
          <w:p w14:paraId="3E7F4AB8">
            <w:pPr>
              <w:autoSpaceDE w:val="0"/>
              <w:autoSpaceDN w:val="0"/>
              <w:adjustRightInd w:val="0"/>
              <w:snapToGrid w:val="0"/>
              <w:spacing w:line="360" w:lineRule="auto"/>
              <w:jc w:val="center"/>
              <w:rPr>
                <w:b/>
                <w:bCs/>
                <w:color w:val="auto"/>
                <w:kern w:val="0"/>
                <w:sz w:val="24"/>
                <w:highlight w:val="none"/>
              </w:rPr>
            </w:pPr>
            <w:r>
              <w:rPr>
                <w:b/>
                <w:bCs/>
                <w:color w:val="auto"/>
                <w:kern w:val="0"/>
                <w:sz w:val="24"/>
                <w:highlight w:val="none"/>
              </w:rPr>
              <w:t xml:space="preserve">表1-1 </w:t>
            </w:r>
            <w:r>
              <w:rPr>
                <w:rFonts w:hint="eastAsia"/>
                <w:b/>
                <w:bCs/>
                <w:color w:val="auto"/>
                <w:kern w:val="0"/>
                <w:sz w:val="24"/>
                <w:highlight w:val="none"/>
                <w:lang w:val="en-US" w:eastAsia="zh-CN"/>
              </w:rPr>
              <w:t xml:space="preserve"> </w:t>
            </w:r>
            <w:r>
              <w:rPr>
                <w:b/>
                <w:bCs/>
                <w:color w:val="auto"/>
                <w:kern w:val="0"/>
                <w:sz w:val="24"/>
                <w:highlight w:val="none"/>
              </w:rPr>
              <w:t>专项设置原则及本项目专项设置情况一览表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781"/>
              <w:gridCol w:w="3081"/>
              <w:gridCol w:w="1068"/>
            </w:tblGrid>
            <w:tr w14:paraId="7762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5" w:type="pct"/>
                  <w:vAlign w:val="center"/>
                </w:tcPr>
                <w:p w14:paraId="326AFA27">
                  <w:pPr>
                    <w:autoSpaceDE w:val="0"/>
                    <w:autoSpaceDN w:val="0"/>
                    <w:adjustRightInd w:val="0"/>
                    <w:snapToGrid w:val="0"/>
                    <w:jc w:val="center"/>
                    <w:rPr>
                      <w:color w:val="auto"/>
                      <w:kern w:val="0"/>
                      <w:szCs w:val="21"/>
                      <w:highlight w:val="none"/>
                    </w:rPr>
                  </w:pPr>
                  <w:r>
                    <w:rPr>
                      <w:color w:val="auto"/>
                      <w:kern w:val="0"/>
                      <w:szCs w:val="21"/>
                      <w:highlight w:val="none"/>
                    </w:rPr>
                    <w:t>专项评价类别</w:t>
                  </w:r>
                </w:p>
              </w:tc>
              <w:tc>
                <w:tcPr>
                  <w:tcW w:w="1764" w:type="pct"/>
                  <w:vAlign w:val="center"/>
                </w:tcPr>
                <w:p w14:paraId="144B8A03">
                  <w:pPr>
                    <w:autoSpaceDE w:val="0"/>
                    <w:autoSpaceDN w:val="0"/>
                    <w:adjustRightInd w:val="0"/>
                    <w:snapToGrid w:val="0"/>
                    <w:jc w:val="center"/>
                    <w:rPr>
                      <w:color w:val="auto"/>
                      <w:kern w:val="0"/>
                      <w:szCs w:val="21"/>
                      <w:highlight w:val="none"/>
                    </w:rPr>
                  </w:pPr>
                  <w:r>
                    <w:rPr>
                      <w:color w:val="auto"/>
                      <w:kern w:val="0"/>
                      <w:szCs w:val="21"/>
                      <w:highlight w:val="none"/>
                    </w:rPr>
                    <w:t>设置原则</w:t>
                  </w:r>
                </w:p>
              </w:tc>
              <w:tc>
                <w:tcPr>
                  <w:tcW w:w="1954" w:type="pct"/>
                  <w:vAlign w:val="center"/>
                </w:tcPr>
                <w:p w14:paraId="73C6EAAC">
                  <w:pPr>
                    <w:autoSpaceDE w:val="0"/>
                    <w:autoSpaceDN w:val="0"/>
                    <w:adjustRightInd w:val="0"/>
                    <w:snapToGrid w:val="0"/>
                    <w:jc w:val="center"/>
                    <w:rPr>
                      <w:color w:val="auto"/>
                      <w:kern w:val="0"/>
                      <w:szCs w:val="21"/>
                      <w:highlight w:val="none"/>
                    </w:rPr>
                  </w:pPr>
                  <w:r>
                    <w:rPr>
                      <w:color w:val="auto"/>
                      <w:kern w:val="0"/>
                      <w:szCs w:val="21"/>
                      <w:highlight w:val="none"/>
                    </w:rPr>
                    <w:t>本项目情况</w:t>
                  </w:r>
                </w:p>
              </w:tc>
              <w:tc>
                <w:tcPr>
                  <w:tcW w:w="674" w:type="pct"/>
                  <w:vAlign w:val="center"/>
                </w:tcPr>
                <w:p w14:paraId="3393B800">
                  <w:pPr>
                    <w:autoSpaceDE w:val="0"/>
                    <w:autoSpaceDN w:val="0"/>
                    <w:adjustRightInd w:val="0"/>
                    <w:snapToGrid w:val="0"/>
                    <w:jc w:val="center"/>
                    <w:rPr>
                      <w:color w:val="auto"/>
                      <w:kern w:val="0"/>
                      <w:szCs w:val="21"/>
                      <w:highlight w:val="none"/>
                    </w:rPr>
                  </w:pPr>
                  <w:r>
                    <w:rPr>
                      <w:color w:val="auto"/>
                      <w:kern w:val="0"/>
                      <w:szCs w:val="21"/>
                      <w:highlight w:val="none"/>
                    </w:rPr>
                    <w:t>本项目是否设置专项</w:t>
                  </w:r>
                </w:p>
              </w:tc>
            </w:tr>
            <w:tr w14:paraId="1A4C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605" w:type="pct"/>
                  <w:vAlign w:val="center"/>
                </w:tcPr>
                <w:p w14:paraId="33BFAA35">
                  <w:pPr>
                    <w:autoSpaceDE w:val="0"/>
                    <w:autoSpaceDN w:val="0"/>
                    <w:adjustRightInd w:val="0"/>
                    <w:snapToGrid w:val="0"/>
                    <w:jc w:val="center"/>
                    <w:rPr>
                      <w:color w:val="auto"/>
                      <w:kern w:val="0"/>
                      <w:szCs w:val="21"/>
                      <w:highlight w:val="none"/>
                    </w:rPr>
                  </w:pPr>
                  <w:r>
                    <w:rPr>
                      <w:color w:val="auto"/>
                      <w:kern w:val="0"/>
                      <w:szCs w:val="21"/>
                      <w:highlight w:val="none"/>
                    </w:rPr>
                    <w:t>大气</w:t>
                  </w:r>
                </w:p>
              </w:tc>
              <w:tc>
                <w:tcPr>
                  <w:tcW w:w="1764" w:type="pct"/>
                  <w:vAlign w:val="center"/>
                </w:tcPr>
                <w:p w14:paraId="20687DAB">
                  <w:pPr>
                    <w:autoSpaceDE w:val="0"/>
                    <w:autoSpaceDN w:val="0"/>
                    <w:adjustRightInd w:val="0"/>
                    <w:snapToGrid w:val="0"/>
                    <w:jc w:val="center"/>
                    <w:rPr>
                      <w:color w:val="auto"/>
                      <w:kern w:val="0"/>
                      <w:szCs w:val="21"/>
                      <w:highlight w:val="none"/>
                    </w:rPr>
                  </w:pPr>
                  <w:r>
                    <w:rPr>
                      <w:color w:val="auto"/>
                      <w:kern w:val="0"/>
                      <w:szCs w:val="21"/>
                      <w:highlight w:val="none"/>
                    </w:rPr>
                    <w:t>排放废气含有毒有害污染物</w:t>
                  </w:r>
                  <w:r>
                    <w:rPr>
                      <w:color w:val="auto"/>
                      <w:kern w:val="0"/>
                      <w:szCs w:val="21"/>
                      <w:highlight w:val="none"/>
                      <w:vertAlign w:val="superscript"/>
                    </w:rPr>
                    <w:t>1</w:t>
                  </w:r>
                  <w:r>
                    <w:rPr>
                      <w:color w:val="auto"/>
                      <w:kern w:val="0"/>
                      <w:szCs w:val="21"/>
                      <w:highlight w:val="none"/>
                    </w:rPr>
                    <w:t>、二噁英、苯并[a]芘、氰化物、氯气且厂界外500米范围内有环境空气保护目标</w:t>
                  </w:r>
                  <w:r>
                    <w:rPr>
                      <w:color w:val="auto"/>
                      <w:kern w:val="0"/>
                      <w:szCs w:val="21"/>
                      <w:highlight w:val="none"/>
                      <w:vertAlign w:val="superscript"/>
                    </w:rPr>
                    <w:t>2</w:t>
                  </w:r>
                  <w:r>
                    <w:rPr>
                      <w:color w:val="auto"/>
                      <w:kern w:val="0"/>
                      <w:szCs w:val="21"/>
                      <w:highlight w:val="none"/>
                    </w:rPr>
                    <w:t>的建设项目</w:t>
                  </w:r>
                </w:p>
              </w:tc>
              <w:tc>
                <w:tcPr>
                  <w:tcW w:w="1954" w:type="pct"/>
                  <w:vAlign w:val="center"/>
                </w:tcPr>
                <w:p w14:paraId="19583EE7">
                  <w:pPr>
                    <w:autoSpaceDE w:val="0"/>
                    <w:autoSpaceDN w:val="0"/>
                    <w:adjustRightInd w:val="0"/>
                    <w:snapToGrid w:val="0"/>
                    <w:jc w:val="center"/>
                    <w:rPr>
                      <w:color w:val="auto"/>
                      <w:kern w:val="0"/>
                      <w:szCs w:val="21"/>
                      <w:highlight w:val="none"/>
                    </w:rPr>
                  </w:pPr>
                  <w:r>
                    <w:rPr>
                      <w:color w:val="auto"/>
                      <w:kern w:val="0"/>
                      <w:szCs w:val="21"/>
                      <w:highlight w:val="none"/>
                    </w:rPr>
                    <w:t>本项目不涉及《有毒有害大气污染物名录》的污染物、二噁英、苯并[a]芘、氰化物、氯气</w:t>
                  </w:r>
                </w:p>
              </w:tc>
              <w:tc>
                <w:tcPr>
                  <w:tcW w:w="674" w:type="pct"/>
                  <w:vAlign w:val="center"/>
                </w:tcPr>
                <w:p w14:paraId="4514C06E">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324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5" w:type="pct"/>
                  <w:vAlign w:val="center"/>
                </w:tcPr>
                <w:p w14:paraId="0ECD9AA7">
                  <w:pPr>
                    <w:autoSpaceDE w:val="0"/>
                    <w:autoSpaceDN w:val="0"/>
                    <w:adjustRightInd w:val="0"/>
                    <w:snapToGrid w:val="0"/>
                    <w:jc w:val="center"/>
                    <w:rPr>
                      <w:color w:val="auto"/>
                      <w:kern w:val="0"/>
                      <w:szCs w:val="21"/>
                      <w:highlight w:val="none"/>
                    </w:rPr>
                  </w:pPr>
                  <w:r>
                    <w:rPr>
                      <w:color w:val="auto"/>
                      <w:kern w:val="0"/>
                      <w:szCs w:val="21"/>
                      <w:highlight w:val="none"/>
                    </w:rPr>
                    <w:t>地表水</w:t>
                  </w:r>
                </w:p>
              </w:tc>
              <w:tc>
                <w:tcPr>
                  <w:tcW w:w="1764" w:type="pct"/>
                  <w:vAlign w:val="center"/>
                </w:tcPr>
                <w:p w14:paraId="05149357">
                  <w:pPr>
                    <w:autoSpaceDE w:val="0"/>
                    <w:autoSpaceDN w:val="0"/>
                    <w:adjustRightInd w:val="0"/>
                    <w:snapToGrid w:val="0"/>
                    <w:jc w:val="center"/>
                    <w:rPr>
                      <w:color w:val="auto"/>
                      <w:kern w:val="0"/>
                      <w:szCs w:val="21"/>
                      <w:highlight w:val="none"/>
                    </w:rPr>
                  </w:pPr>
                  <w:r>
                    <w:rPr>
                      <w:color w:val="auto"/>
                      <w:kern w:val="0"/>
                      <w:szCs w:val="21"/>
                      <w:highlight w:val="none"/>
                    </w:rPr>
                    <w:t>新增工业废水直排建设项目（槽罐车外送污水处理厂的除外）；新增废水直排的污水集中处理厂</w:t>
                  </w:r>
                </w:p>
              </w:tc>
              <w:tc>
                <w:tcPr>
                  <w:tcW w:w="1954" w:type="pct"/>
                  <w:vAlign w:val="center"/>
                </w:tcPr>
                <w:p w14:paraId="6669935B">
                  <w:pPr>
                    <w:autoSpaceDE w:val="0"/>
                    <w:autoSpaceDN w:val="0"/>
                    <w:adjustRightInd w:val="0"/>
                    <w:snapToGrid w:val="0"/>
                    <w:rPr>
                      <w:color w:val="auto"/>
                      <w:kern w:val="0"/>
                      <w:szCs w:val="21"/>
                      <w:highlight w:val="none"/>
                    </w:rPr>
                  </w:pPr>
                  <w:r>
                    <w:rPr>
                      <w:rStyle w:val="32"/>
                      <w:rFonts w:hint="eastAsia" w:ascii="宋体" w:hAnsi="宋体" w:cs="宋体"/>
                      <w:color w:val="auto"/>
                      <w:kern w:val="0"/>
                      <w:szCs w:val="21"/>
                      <w:lang w:val="en-US" w:eastAsia="zh-CN" w:bidi="ar-SA"/>
                    </w:rPr>
                    <w:t>本项目</w:t>
                  </w:r>
                  <w:r>
                    <w:rPr>
                      <w:rStyle w:val="32"/>
                      <w:rFonts w:hint="eastAsia" w:ascii="宋体" w:hAnsi="宋体" w:eastAsia="宋体" w:cs="宋体"/>
                      <w:color w:val="auto"/>
                      <w:kern w:val="0"/>
                      <w:szCs w:val="21"/>
                      <w:lang w:val="en-US" w:eastAsia="zh-CN" w:bidi="ar-SA"/>
                    </w:rPr>
                    <w:t>生活污水排入钧澄公司化粪池处理后综合利用；</w:t>
                  </w:r>
                  <w:r>
                    <w:rPr>
                      <w:rStyle w:val="32"/>
                      <w:rFonts w:hint="eastAsia" w:ascii="宋体" w:hAnsi="宋体" w:cs="宋体"/>
                      <w:color w:val="auto"/>
                      <w:kern w:val="0"/>
                      <w:szCs w:val="21"/>
                      <w:lang w:val="en-US" w:eastAsia="zh-CN" w:bidi="ar-SA"/>
                    </w:rPr>
                    <w:t>蒸汽发生器</w:t>
                  </w:r>
                  <w:r>
                    <w:rPr>
                      <w:rStyle w:val="32"/>
                      <w:rFonts w:hint="eastAsia" w:ascii="宋体" w:hAnsi="宋体" w:eastAsia="宋体" w:cs="宋体"/>
                      <w:color w:val="auto"/>
                      <w:kern w:val="0"/>
                      <w:szCs w:val="21"/>
                      <w:lang w:val="en-US" w:eastAsia="zh-CN" w:bidi="ar-SA"/>
                    </w:rPr>
                    <w:t>排水、离子交换树脂再生废水经絮凝沉淀后排入钧澄公司冷却循环水池处理后循环使用，项目废水不外排。</w:t>
                  </w:r>
                </w:p>
              </w:tc>
              <w:tc>
                <w:tcPr>
                  <w:tcW w:w="674" w:type="pct"/>
                  <w:vAlign w:val="center"/>
                </w:tcPr>
                <w:p w14:paraId="206A1C50">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5984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Align w:val="center"/>
                </w:tcPr>
                <w:p w14:paraId="0DE6EB52">
                  <w:pPr>
                    <w:autoSpaceDE w:val="0"/>
                    <w:autoSpaceDN w:val="0"/>
                    <w:adjustRightInd w:val="0"/>
                    <w:snapToGrid w:val="0"/>
                    <w:jc w:val="center"/>
                    <w:rPr>
                      <w:color w:val="auto"/>
                      <w:kern w:val="0"/>
                      <w:szCs w:val="21"/>
                      <w:highlight w:val="none"/>
                    </w:rPr>
                  </w:pPr>
                  <w:r>
                    <w:rPr>
                      <w:color w:val="auto"/>
                      <w:kern w:val="0"/>
                      <w:szCs w:val="21"/>
                      <w:highlight w:val="none"/>
                    </w:rPr>
                    <w:t>环境风险</w:t>
                  </w:r>
                </w:p>
              </w:tc>
              <w:tc>
                <w:tcPr>
                  <w:tcW w:w="1764" w:type="pct"/>
                  <w:vAlign w:val="center"/>
                </w:tcPr>
                <w:p w14:paraId="62EF60F9">
                  <w:pPr>
                    <w:autoSpaceDE w:val="0"/>
                    <w:autoSpaceDN w:val="0"/>
                    <w:adjustRightInd w:val="0"/>
                    <w:snapToGrid w:val="0"/>
                    <w:jc w:val="center"/>
                    <w:rPr>
                      <w:color w:val="auto"/>
                      <w:kern w:val="0"/>
                      <w:szCs w:val="21"/>
                      <w:highlight w:val="none"/>
                    </w:rPr>
                  </w:pPr>
                  <w:r>
                    <w:rPr>
                      <w:color w:val="auto"/>
                      <w:kern w:val="0"/>
                      <w:szCs w:val="21"/>
                      <w:highlight w:val="none"/>
                    </w:rPr>
                    <w:t>有毒有害和易燃易爆危险物质存储量超过临界量</w:t>
                  </w:r>
                  <w:r>
                    <w:rPr>
                      <w:color w:val="auto"/>
                      <w:kern w:val="0"/>
                      <w:szCs w:val="21"/>
                      <w:highlight w:val="none"/>
                      <w:vertAlign w:val="superscript"/>
                    </w:rPr>
                    <w:t>3</w:t>
                  </w:r>
                  <w:r>
                    <w:rPr>
                      <w:color w:val="auto"/>
                      <w:kern w:val="0"/>
                      <w:szCs w:val="21"/>
                      <w:highlight w:val="none"/>
                    </w:rPr>
                    <w:t>的建设项目</w:t>
                  </w:r>
                </w:p>
              </w:tc>
              <w:tc>
                <w:tcPr>
                  <w:tcW w:w="1954" w:type="pct"/>
                  <w:vAlign w:val="center"/>
                </w:tcPr>
                <w:p w14:paraId="4FDDCAA5">
                  <w:pPr>
                    <w:autoSpaceDE w:val="0"/>
                    <w:autoSpaceDN w:val="0"/>
                    <w:adjustRightInd w:val="0"/>
                    <w:snapToGrid w:val="0"/>
                    <w:jc w:val="center"/>
                    <w:rPr>
                      <w:color w:val="auto"/>
                      <w:kern w:val="0"/>
                      <w:szCs w:val="21"/>
                      <w:highlight w:val="none"/>
                    </w:rPr>
                  </w:pPr>
                  <w:r>
                    <w:rPr>
                      <w:color w:val="auto"/>
                      <w:kern w:val="0"/>
                      <w:szCs w:val="21"/>
                      <w:highlight w:val="none"/>
                    </w:rPr>
                    <w:t>项目</w:t>
                  </w:r>
                  <w:r>
                    <w:rPr>
                      <w:rFonts w:hint="eastAsia"/>
                      <w:color w:val="auto"/>
                      <w:kern w:val="0"/>
                      <w:szCs w:val="21"/>
                      <w:highlight w:val="none"/>
                    </w:rPr>
                    <w:t>不涉及环境风险物质</w:t>
                  </w:r>
                </w:p>
              </w:tc>
              <w:tc>
                <w:tcPr>
                  <w:tcW w:w="674" w:type="pct"/>
                  <w:vAlign w:val="center"/>
                </w:tcPr>
                <w:p w14:paraId="507BFF5A">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40C2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Align w:val="center"/>
                </w:tcPr>
                <w:p w14:paraId="39359320">
                  <w:pPr>
                    <w:autoSpaceDE w:val="0"/>
                    <w:autoSpaceDN w:val="0"/>
                    <w:adjustRightInd w:val="0"/>
                    <w:snapToGrid w:val="0"/>
                    <w:jc w:val="center"/>
                    <w:rPr>
                      <w:color w:val="auto"/>
                      <w:kern w:val="0"/>
                      <w:szCs w:val="21"/>
                      <w:highlight w:val="none"/>
                    </w:rPr>
                  </w:pPr>
                  <w:r>
                    <w:rPr>
                      <w:color w:val="auto"/>
                      <w:kern w:val="0"/>
                      <w:szCs w:val="21"/>
                      <w:highlight w:val="none"/>
                    </w:rPr>
                    <w:t>生态</w:t>
                  </w:r>
                </w:p>
              </w:tc>
              <w:tc>
                <w:tcPr>
                  <w:tcW w:w="1764" w:type="pct"/>
                  <w:vAlign w:val="center"/>
                </w:tcPr>
                <w:p w14:paraId="19E1DC5C">
                  <w:pPr>
                    <w:autoSpaceDE w:val="0"/>
                    <w:autoSpaceDN w:val="0"/>
                    <w:adjustRightInd w:val="0"/>
                    <w:snapToGrid w:val="0"/>
                    <w:jc w:val="center"/>
                    <w:rPr>
                      <w:color w:val="auto"/>
                      <w:kern w:val="0"/>
                      <w:szCs w:val="21"/>
                      <w:highlight w:val="none"/>
                    </w:rPr>
                  </w:pPr>
                  <w:r>
                    <w:rPr>
                      <w:color w:val="auto"/>
                      <w:kern w:val="0"/>
                      <w:szCs w:val="21"/>
                      <w:highlight w:val="none"/>
                    </w:rPr>
                    <w:t>取水口下游500米范围内有重要水生生物的自然产卵场、索饵场、越冬场和洄游通道的新增河道取水的污染类建设项目</w:t>
                  </w:r>
                </w:p>
              </w:tc>
              <w:tc>
                <w:tcPr>
                  <w:tcW w:w="1954" w:type="pct"/>
                  <w:vAlign w:val="center"/>
                </w:tcPr>
                <w:p w14:paraId="0B8D4C1B">
                  <w:pPr>
                    <w:autoSpaceDE w:val="0"/>
                    <w:autoSpaceDN w:val="0"/>
                    <w:adjustRightInd w:val="0"/>
                    <w:snapToGrid w:val="0"/>
                    <w:jc w:val="center"/>
                    <w:rPr>
                      <w:color w:val="auto"/>
                      <w:kern w:val="0"/>
                      <w:szCs w:val="21"/>
                      <w:highlight w:val="none"/>
                    </w:rPr>
                  </w:pPr>
                  <w:r>
                    <w:rPr>
                      <w:color w:val="auto"/>
                      <w:kern w:val="0"/>
                      <w:szCs w:val="21"/>
                      <w:highlight w:val="none"/>
                    </w:rPr>
                    <w:t>项目不涉及</w:t>
                  </w:r>
                </w:p>
              </w:tc>
              <w:tc>
                <w:tcPr>
                  <w:tcW w:w="674" w:type="pct"/>
                  <w:vAlign w:val="center"/>
                </w:tcPr>
                <w:p w14:paraId="3176560C">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2883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pct"/>
                  <w:vAlign w:val="center"/>
                </w:tcPr>
                <w:p w14:paraId="225B6BB0">
                  <w:pPr>
                    <w:autoSpaceDE w:val="0"/>
                    <w:autoSpaceDN w:val="0"/>
                    <w:adjustRightInd w:val="0"/>
                    <w:snapToGrid w:val="0"/>
                    <w:jc w:val="center"/>
                    <w:rPr>
                      <w:color w:val="auto"/>
                      <w:kern w:val="0"/>
                      <w:szCs w:val="21"/>
                      <w:highlight w:val="none"/>
                    </w:rPr>
                  </w:pPr>
                  <w:r>
                    <w:rPr>
                      <w:color w:val="auto"/>
                      <w:kern w:val="0"/>
                      <w:szCs w:val="21"/>
                      <w:highlight w:val="none"/>
                    </w:rPr>
                    <w:t>海洋</w:t>
                  </w:r>
                </w:p>
              </w:tc>
              <w:tc>
                <w:tcPr>
                  <w:tcW w:w="1764" w:type="pct"/>
                  <w:vAlign w:val="center"/>
                </w:tcPr>
                <w:p w14:paraId="06E16309">
                  <w:pPr>
                    <w:autoSpaceDE w:val="0"/>
                    <w:autoSpaceDN w:val="0"/>
                    <w:adjustRightInd w:val="0"/>
                    <w:snapToGrid w:val="0"/>
                    <w:jc w:val="center"/>
                    <w:rPr>
                      <w:color w:val="auto"/>
                      <w:kern w:val="0"/>
                      <w:szCs w:val="21"/>
                      <w:highlight w:val="none"/>
                    </w:rPr>
                  </w:pPr>
                  <w:r>
                    <w:rPr>
                      <w:color w:val="auto"/>
                      <w:kern w:val="0"/>
                      <w:szCs w:val="21"/>
                      <w:highlight w:val="none"/>
                    </w:rPr>
                    <w:t>直接向海排放污染物的海洋工程建设项目</w:t>
                  </w:r>
                </w:p>
              </w:tc>
              <w:tc>
                <w:tcPr>
                  <w:tcW w:w="1954" w:type="pct"/>
                  <w:vAlign w:val="center"/>
                </w:tcPr>
                <w:p w14:paraId="3169EA19">
                  <w:pPr>
                    <w:autoSpaceDE w:val="0"/>
                    <w:autoSpaceDN w:val="0"/>
                    <w:adjustRightInd w:val="0"/>
                    <w:snapToGrid w:val="0"/>
                    <w:jc w:val="center"/>
                    <w:rPr>
                      <w:color w:val="auto"/>
                      <w:kern w:val="0"/>
                      <w:szCs w:val="21"/>
                      <w:highlight w:val="none"/>
                    </w:rPr>
                  </w:pPr>
                  <w:r>
                    <w:rPr>
                      <w:color w:val="auto"/>
                      <w:kern w:val="0"/>
                      <w:szCs w:val="21"/>
                      <w:highlight w:val="none"/>
                    </w:rPr>
                    <w:t>项目不涉及</w:t>
                  </w:r>
                </w:p>
              </w:tc>
              <w:tc>
                <w:tcPr>
                  <w:tcW w:w="674" w:type="pct"/>
                  <w:vAlign w:val="center"/>
                </w:tcPr>
                <w:p w14:paraId="1060CDD9">
                  <w:pPr>
                    <w:autoSpaceDE w:val="0"/>
                    <w:autoSpaceDN w:val="0"/>
                    <w:adjustRightInd w:val="0"/>
                    <w:snapToGrid w:val="0"/>
                    <w:jc w:val="center"/>
                    <w:rPr>
                      <w:color w:val="auto"/>
                      <w:kern w:val="0"/>
                      <w:szCs w:val="21"/>
                      <w:highlight w:val="none"/>
                    </w:rPr>
                  </w:pPr>
                  <w:r>
                    <w:rPr>
                      <w:color w:val="auto"/>
                      <w:kern w:val="0"/>
                      <w:szCs w:val="21"/>
                      <w:highlight w:val="none"/>
                    </w:rPr>
                    <w:t>否</w:t>
                  </w:r>
                </w:p>
              </w:tc>
            </w:tr>
            <w:tr w14:paraId="0E75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51A3DE79">
                  <w:pPr>
                    <w:autoSpaceDE w:val="0"/>
                    <w:autoSpaceDN w:val="0"/>
                    <w:adjustRightInd w:val="0"/>
                    <w:snapToGrid w:val="0"/>
                    <w:jc w:val="left"/>
                    <w:rPr>
                      <w:color w:val="auto"/>
                      <w:kern w:val="0"/>
                      <w:szCs w:val="21"/>
                      <w:highlight w:val="none"/>
                    </w:rPr>
                  </w:pPr>
                  <w:r>
                    <w:rPr>
                      <w:color w:val="auto"/>
                      <w:kern w:val="0"/>
                      <w:szCs w:val="21"/>
                      <w:highlight w:val="none"/>
                    </w:rPr>
                    <w:t>注：1.废气中有毒有害污染物指纳入《有毒有害大气污染物名录》的污染物（不包括无排放标准的污染物）。</w:t>
                  </w:r>
                </w:p>
                <w:p w14:paraId="68863247">
                  <w:pPr>
                    <w:autoSpaceDE w:val="0"/>
                    <w:autoSpaceDN w:val="0"/>
                    <w:adjustRightInd w:val="0"/>
                    <w:snapToGrid w:val="0"/>
                    <w:jc w:val="left"/>
                    <w:rPr>
                      <w:color w:val="auto"/>
                      <w:kern w:val="0"/>
                      <w:szCs w:val="21"/>
                      <w:highlight w:val="none"/>
                    </w:rPr>
                  </w:pPr>
                  <w:r>
                    <w:rPr>
                      <w:color w:val="auto"/>
                      <w:kern w:val="0"/>
                      <w:szCs w:val="21"/>
                      <w:highlight w:val="none"/>
                    </w:rPr>
                    <w:t>2.环境空气保护目标指自然保护区、风景名胜区、居住区、文化区和农村地区中人群较集中的区域。</w:t>
                  </w:r>
                </w:p>
                <w:p w14:paraId="1472AF56">
                  <w:pPr>
                    <w:autoSpaceDE w:val="0"/>
                    <w:autoSpaceDN w:val="0"/>
                    <w:adjustRightInd w:val="0"/>
                    <w:snapToGrid w:val="0"/>
                    <w:jc w:val="left"/>
                    <w:rPr>
                      <w:color w:val="auto"/>
                      <w:kern w:val="0"/>
                      <w:szCs w:val="21"/>
                      <w:highlight w:val="none"/>
                    </w:rPr>
                  </w:pPr>
                  <w:r>
                    <w:rPr>
                      <w:color w:val="auto"/>
                      <w:kern w:val="0"/>
                      <w:szCs w:val="21"/>
                      <w:highlight w:val="none"/>
                    </w:rPr>
                    <w:t>3.临界量及其计算方法可参考《建设项目环境风险评价技术导则》（HJ169）附录B、附录C。</w:t>
                  </w:r>
                </w:p>
              </w:tc>
            </w:tr>
          </w:tbl>
          <w:p w14:paraId="6F31E86D">
            <w:pPr>
              <w:autoSpaceDE w:val="0"/>
              <w:autoSpaceDN w:val="0"/>
              <w:adjustRightInd w:val="0"/>
              <w:snapToGrid w:val="0"/>
              <w:rPr>
                <w:color w:val="auto"/>
                <w:kern w:val="0"/>
                <w:sz w:val="24"/>
                <w:highlight w:val="none"/>
              </w:rPr>
            </w:pPr>
          </w:p>
        </w:tc>
      </w:tr>
      <w:tr w14:paraId="72596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16" w:type="dxa"/>
            <w:vAlign w:val="center"/>
          </w:tcPr>
          <w:p w14:paraId="4679BCDB">
            <w:pPr>
              <w:autoSpaceDE w:val="0"/>
              <w:autoSpaceDN w:val="0"/>
              <w:adjustRightInd w:val="0"/>
              <w:snapToGrid w:val="0"/>
              <w:jc w:val="center"/>
              <w:rPr>
                <w:color w:val="auto"/>
                <w:kern w:val="0"/>
                <w:sz w:val="24"/>
                <w:highlight w:val="none"/>
              </w:rPr>
            </w:pPr>
            <w:r>
              <w:rPr>
                <w:rFonts w:hAnsi="宋体"/>
                <w:color w:val="auto"/>
                <w:sz w:val="24"/>
                <w:highlight w:val="none"/>
              </w:rPr>
              <w:t>规划情况</w:t>
            </w:r>
          </w:p>
        </w:tc>
        <w:tc>
          <w:tcPr>
            <w:tcW w:w="8113" w:type="dxa"/>
            <w:gridSpan w:val="4"/>
            <w:vAlign w:val="center"/>
          </w:tcPr>
          <w:p w14:paraId="2DBA57C5">
            <w:pPr>
              <w:autoSpaceDE w:val="0"/>
              <w:autoSpaceDN w:val="0"/>
              <w:adjustRightInd w:val="0"/>
              <w:snapToGrid w:val="0"/>
              <w:spacing w:line="360" w:lineRule="auto"/>
              <w:jc w:val="center"/>
              <w:rPr>
                <w:rFonts w:hint="eastAsia" w:eastAsia="宋体"/>
                <w:color w:val="auto"/>
                <w:kern w:val="0"/>
                <w:sz w:val="24"/>
                <w:highlight w:val="none"/>
                <w:lang w:val="en-US" w:eastAsia="zh-CN"/>
              </w:rPr>
            </w:pPr>
            <w:r>
              <w:rPr>
                <w:rFonts w:hint="eastAsia"/>
                <w:color w:val="auto"/>
                <w:kern w:val="0"/>
                <w:sz w:val="24"/>
                <w:highlight w:val="none"/>
              </w:rPr>
              <w:t>无</w:t>
            </w:r>
          </w:p>
        </w:tc>
      </w:tr>
      <w:tr w14:paraId="6CA41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16" w:type="dxa"/>
            <w:vAlign w:val="center"/>
          </w:tcPr>
          <w:p w14:paraId="7518E860">
            <w:pPr>
              <w:adjustRightInd w:val="0"/>
              <w:snapToGrid w:val="0"/>
              <w:jc w:val="center"/>
              <w:rPr>
                <w:color w:val="auto"/>
                <w:sz w:val="24"/>
                <w:highlight w:val="none"/>
              </w:rPr>
            </w:pPr>
            <w:r>
              <w:rPr>
                <w:rFonts w:hAnsi="宋体"/>
                <w:color w:val="auto"/>
                <w:sz w:val="24"/>
                <w:highlight w:val="none"/>
              </w:rPr>
              <w:t>规划环境影响评价情况</w:t>
            </w:r>
          </w:p>
        </w:tc>
        <w:tc>
          <w:tcPr>
            <w:tcW w:w="8113" w:type="dxa"/>
            <w:gridSpan w:val="4"/>
            <w:vAlign w:val="center"/>
          </w:tcPr>
          <w:p w14:paraId="091F5F65">
            <w:pPr>
              <w:autoSpaceDE w:val="0"/>
              <w:autoSpaceDN w:val="0"/>
              <w:adjustRightInd w:val="0"/>
              <w:snapToGrid w:val="0"/>
              <w:spacing w:line="360" w:lineRule="auto"/>
              <w:jc w:val="center"/>
              <w:rPr>
                <w:color w:val="auto"/>
                <w:kern w:val="0"/>
                <w:sz w:val="24"/>
                <w:highlight w:val="none"/>
              </w:rPr>
            </w:pPr>
            <w:r>
              <w:rPr>
                <w:rFonts w:hint="eastAsia"/>
                <w:color w:val="auto"/>
                <w:kern w:val="0"/>
                <w:sz w:val="24"/>
                <w:highlight w:val="none"/>
              </w:rPr>
              <w:t>无</w:t>
            </w:r>
          </w:p>
        </w:tc>
      </w:tr>
      <w:tr w14:paraId="1BB2E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Align w:val="center"/>
          </w:tcPr>
          <w:p w14:paraId="310453AC">
            <w:pPr>
              <w:autoSpaceDE w:val="0"/>
              <w:autoSpaceDN w:val="0"/>
              <w:adjustRightInd w:val="0"/>
              <w:snapToGrid w:val="0"/>
              <w:jc w:val="center"/>
              <w:rPr>
                <w:color w:val="auto"/>
                <w:kern w:val="0"/>
                <w:sz w:val="24"/>
                <w:highlight w:val="none"/>
              </w:rPr>
            </w:pPr>
            <w:r>
              <w:rPr>
                <w:rFonts w:hAnsi="宋体"/>
                <w:color w:val="auto"/>
                <w:kern w:val="0"/>
                <w:sz w:val="24"/>
                <w:highlight w:val="none"/>
              </w:rPr>
              <w:t>规划及规划环境影响评价符合性分析</w:t>
            </w:r>
          </w:p>
        </w:tc>
        <w:tc>
          <w:tcPr>
            <w:tcW w:w="8113" w:type="dxa"/>
            <w:gridSpan w:val="4"/>
            <w:vAlign w:val="center"/>
          </w:tcPr>
          <w:p w14:paraId="4056C555">
            <w:pPr>
              <w:adjustRightInd w:val="0"/>
              <w:snapToGrid w:val="0"/>
              <w:spacing w:line="360" w:lineRule="auto"/>
              <w:ind w:firstLine="3600" w:firstLineChars="1500"/>
              <w:jc w:val="both"/>
              <w:rPr>
                <w:color w:val="auto"/>
                <w:sz w:val="24"/>
                <w:highlight w:val="none"/>
              </w:rPr>
            </w:pPr>
            <w:r>
              <w:rPr>
                <w:rFonts w:hint="eastAsia"/>
                <w:color w:val="auto"/>
                <w:kern w:val="0"/>
                <w:sz w:val="24"/>
                <w:highlight w:val="none"/>
              </w:rPr>
              <w:t>无</w:t>
            </w:r>
          </w:p>
        </w:tc>
      </w:tr>
      <w:tr w14:paraId="06351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47" w:hRule="atLeast"/>
          <w:jc w:val="center"/>
        </w:trPr>
        <w:tc>
          <w:tcPr>
            <w:tcW w:w="1016" w:type="dxa"/>
            <w:vAlign w:val="center"/>
          </w:tcPr>
          <w:p w14:paraId="4B2B1310">
            <w:pPr>
              <w:autoSpaceDE w:val="0"/>
              <w:autoSpaceDN w:val="0"/>
              <w:adjustRightInd w:val="0"/>
              <w:snapToGrid w:val="0"/>
              <w:jc w:val="center"/>
              <w:rPr>
                <w:color w:val="auto"/>
                <w:kern w:val="0"/>
                <w:sz w:val="24"/>
                <w:highlight w:val="none"/>
              </w:rPr>
            </w:pPr>
            <w:r>
              <w:rPr>
                <w:rFonts w:hAnsi="宋体"/>
                <w:color w:val="auto"/>
                <w:kern w:val="0"/>
                <w:sz w:val="24"/>
                <w:highlight w:val="none"/>
              </w:rPr>
              <w:t>其他符合性分析</w:t>
            </w:r>
          </w:p>
        </w:tc>
        <w:tc>
          <w:tcPr>
            <w:tcW w:w="8113" w:type="dxa"/>
            <w:gridSpan w:val="4"/>
            <w:vAlign w:val="center"/>
          </w:tcPr>
          <w:p w14:paraId="4C40D6D9">
            <w:pPr>
              <w:autoSpaceDE w:val="0"/>
              <w:autoSpaceDN w:val="0"/>
              <w:adjustRightInd w:val="0"/>
              <w:snapToGrid w:val="0"/>
              <w:spacing w:line="360" w:lineRule="auto"/>
              <w:jc w:val="left"/>
              <w:rPr>
                <w:b/>
                <w:color w:val="auto"/>
                <w:kern w:val="0"/>
                <w:sz w:val="24"/>
                <w:highlight w:val="none"/>
              </w:rPr>
            </w:pPr>
            <w:r>
              <w:rPr>
                <w:rFonts w:hint="eastAsia"/>
                <w:b/>
                <w:bCs/>
                <w:color w:val="auto"/>
                <w:sz w:val="24"/>
                <w:highlight w:val="none"/>
                <w:lang w:val="en-US" w:eastAsia="zh-CN"/>
              </w:rPr>
              <w:t>1、</w:t>
            </w:r>
            <w:r>
              <w:rPr>
                <w:b/>
                <w:color w:val="auto"/>
                <w:kern w:val="0"/>
                <w:sz w:val="24"/>
                <w:highlight w:val="none"/>
              </w:rPr>
              <w:t>产业政策符合性分析</w:t>
            </w:r>
          </w:p>
          <w:p w14:paraId="767AAD26">
            <w:pPr>
              <w:autoSpaceDE w:val="0"/>
              <w:autoSpaceDN w:val="0"/>
              <w:adjustRightInd w:val="0"/>
              <w:snapToGrid w:val="0"/>
              <w:spacing w:line="360" w:lineRule="auto"/>
              <w:ind w:firstLine="480" w:firstLineChars="200"/>
              <w:jc w:val="left"/>
              <w:rPr>
                <w:rFonts w:hint="eastAsia"/>
                <w:bCs/>
                <w:color w:val="auto"/>
                <w:sz w:val="24"/>
                <w:highlight w:val="none"/>
                <w:lang w:val="en-US" w:eastAsia="zh-CN"/>
              </w:rPr>
            </w:pPr>
            <w:bookmarkStart w:id="6" w:name="_Hlk161927802"/>
            <w:r>
              <w:rPr>
                <w:bCs/>
                <w:color w:val="auto"/>
                <w:sz w:val="24"/>
                <w:highlight w:val="none"/>
              </w:rPr>
              <w:t>对照《产业结构调整指导目录（</w:t>
            </w:r>
            <w:r>
              <w:rPr>
                <w:rFonts w:hint="eastAsia"/>
                <w:bCs/>
                <w:color w:val="auto"/>
                <w:sz w:val="24"/>
                <w:highlight w:val="none"/>
              </w:rPr>
              <w:t>2024</w:t>
            </w:r>
            <w:r>
              <w:rPr>
                <w:bCs/>
                <w:color w:val="auto"/>
                <w:sz w:val="24"/>
                <w:highlight w:val="none"/>
              </w:rPr>
              <w:t>年本）》，本项目属于</w:t>
            </w:r>
            <w:r>
              <w:rPr>
                <w:rFonts w:hint="eastAsia"/>
                <w:bCs/>
                <w:color w:val="auto"/>
                <w:sz w:val="24"/>
                <w:highlight w:val="none"/>
                <w:lang w:val="en-US" w:eastAsia="zh-CN"/>
              </w:rPr>
              <w:t>第一类“鼓励类”中的“一、农林牧渔业，17.可再生资源综合利用、生物质能清洁供热”。</w:t>
            </w:r>
          </w:p>
          <w:p w14:paraId="5696B8DC">
            <w:pPr>
              <w:autoSpaceDE w:val="0"/>
              <w:autoSpaceDN w:val="0"/>
              <w:adjustRightInd w:val="0"/>
              <w:snapToGrid w:val="0"/>
              <w:spacing w:line="360" w:lineRule="auto"/>
              <w:ind w:firstLine="480" w:firstLineChars="200"/>
              <w:jc w:val="left"/>
              <w:rPr>
                <w:rFonts w:hint="eastAsia"/>
                <w:bCs/>
                <w:color w:val="auto"/>
                <w:sz w:val="24"/>
                <w:highlight w:val="none"/>
                <w:lang w:val="en-US" w:eastAsia="zh-CN"/>
              </w:rPr>
            </w:pPr>
            <w:r>
              <w:rPr>
                <w:rFonts w:hint="eastAsia"/>
                <w:bCs/>
                <w:color w:val="auto"/>
                <w:sz w:val="24"/>
                <w:highlight w:val="none"/>
                <w:lang w:val="en-US" w:eastAsia="zh-CN"/>
              </w:rPr>
              <w:t>根据《产业结构调整指导目录（2024年本）》66、2t/h及以下生物质锅炉为落后产能，本项目生物质蒸汽发生器为2.5t/h，满足要求。</w:t>
            </w:r>
          </w:p>
          <w:p w14:paraId="5B0BCBB2">
            <w:pPr>
              <w:autoSpaceDE w:val="0"/>
              <w:autoSpaceDN w:val="0"/>
              <w:adjustRightInd w:val="0"/>
              <w:snapToGrid w:val="0"/>
              <w:spacing w:line="360" w:lineRule="auto"/>
              <w:ind w:firstLine="480" w:firstLineChars="200"/>
              <w:jc w:val="left"/>
              <w:rPr>
                <w:rFonts w:hint="eastAsia"/>
                <w:bCs/>
                <w:color w:val="auto"/>
                <w:sz w:val="24"/>
                <w:highlight w:val="none"/>
                <w:lang w:val="en-US" w:eastAsia="zh-CN"/>
              </w:rPr>
            </w:pPr>
            <w:r>
              <w:rPr>
                <w:rFonts w:hint="eastAsia"/>
                <w:bCs/>
                <w:color w:val="auto"/>
                <w:sz w:val="24"/>
                <w:highlight w:val="none"/>
                <w:lang w:val="en-US" w:eastAsia="zh-CN"/>
              </w:rPr>
              <w:t>根据原环境保护部发布的《高污染燃料目录》（国环规大气【2017】2号），本项目生物质蒸汽发生器燃料为生物质成型燃料，不属于名录规定的高污染燃料，且燃烧过程配置了旋风+布袋除尘器，除尘效率99%，满足相关要求。</w:t>
            </w:r>
          </w:p>
          <w:p w14:paraId="0E50C5E5">
            <w:pPr>
              <w:autoSpaceDE w:val="0"/>
              <w:autoSpaceDN w:val="0"/>
              <w:adjustRightInd w:val="0"/>
              <w:snapToGrid w:val="0"/>
              <w:spacing w:line="360" w:lineRule="auto"/>
              <w:ind w:firstLine="480" w:firstLineChars="200"/>
              <w:jc w:val="left"/>
              <w:rPr>
                <w:rFonts w:hint="default" w:eastAsia="宋体"/>
                <w:bCs/>
                <w:color w:val="auto"/>
                <w:sz w:val="24"/>
                <w:highlight w:val="none"/>
                <w:lang w:val="en-US" w:eastAsia="zh-CN"/>
              </w:rPr>
            </w:pPr>
            <w:r>
              <w:rPr>
                <w:rFonts w:hint="eastAsia"/>
                <w:bCs/>
                <w:color w:val="auto"/>
                <w:sz w:val="24"/>
                <w:highlight w:val="none"/>
                <w:lang w:val="en-US" w:eastAsia="zh-CN"/>
              </w:rPr>
              <w:t>本</w:t>
            </w:r>
            <w:r>
              <w:rPr>
                <w:bCs/>
                <w:color w:val="auto"/>
                <w:sz w:val="24"/>
                <w:highlight w:val="none"/>
              </w:rPr>
              <w:t>项目于202</w:t>
            </w:r>
            <w:r>
              <w:rPr>
                <w:rFonts w:hint="eastAsia"/>
                <w:bCs/>
                <w:color w:val="auto"/>
                <w:sz w:val="24"/>
                <w:highlight w:val="none"/>
                <w:lang w:val="en-US" w:eastAsia="zh-CN"/>
              </w:rPr>
              <w:t>5</w:t>
            </w:r>
            <w:r>
              <w:rPr>
                <w:bCs/>
                <w:color w:val="auto"/>
                <w:sz w:val="24"/>
                <w:highlight w:val="none"/>
              </w:rPr>
              <w:t>年</w:t>
            </w:r>
            <w:r>
              <w:rPr>
                <w:rFonts w:hint="eastAsia"/>
                <w:bCs/>
                <w:color w:val="auto"/>
                <w:sz w:val="24"/>
                <w:highlight w:val="none"/>
                <w:lang w:val="en-US" w:eastAsia="zh-CN"/>
              </w:rPr>
              <w:t>8</w:t>
            </w:r>
            <w:r>
              <w:rPr>
                <w:bCs/>
                <w:color w:val="auto"/>
                <w:sz w:val="24"/>
                <w:highlight w:val="none"/>
              </w:rPr>
              <w:t>月1</w:t>
            </w:r>
            <w:r>
              <w:rPr>
                <w:rFonts w:hint="eastAsia"/>
                <w:bCs/>
                <w:color w:val="auto"/>
                <w:sz w:val="24"/>
                <w:highlight w:val="none"/>
                <w:lang w:val="en-US" w:eastAsia="zh-CN"/>
              </w:rPr>
              <w:t>1</w:t>
            </w:r>
            <w:r>
              <w:rPr>
                <w:bCs/>
                <w:color w:val="auto"/>
                <w:sz w:val="24"/>
                <w:highlight w:val="none"/>
              </w:rPr>
              <w:t>日取得</w:t>
            </w:r>
            <w:r>
              <w:rPr>
                <w:rFonts w:hint="eastAsia"/>
                <w:bCs/>
                <w:color w:val="auto"/>
                <w:sz w:val="24"/>
                <w:highlight w:val="none"/>
                <w:lang w:eastAsia="zh-CN"/>
              </w:rPr>
              <w:t>玉溪市红塔区发展和改革局</w:t>
            </w:r>
            <w:r>
              <w:rPr>
                <w:bCs/>
                <w:color w:val="auto"/>
                <w:sz w:val="24"/>
                <w:highlight w:val="none"/>
              </w:rPr>
              <w:t>出具的《投资项目备案证》（</w:t>
            </w:r>
            <w:r>
              <w:rPr>
                <w:rFonts w:hint="eastAsia"/>
                <w:bCs/>
                <w:color w:val="auto"/>
                <w:sz w:val="24"/>
                <w:highlight w:val="none"/>
                <w:lang w:val="en-US" w:eastAsia="zh-CN"/>
              </w:rPr>
              <w:t>备案号：2508-530402-04-05-365616</w:t>
            </w:r>
            <w:r>
              <w:rPr>
                <w:bCs/>
                <w:color w:val="auto"/>
                <w:sz w:val="24"/>
                <w:highlight w:val="none"/>
              </w:rPr>
              <w:t>）。</w:t>
            </w:r>
            <w:r>
              <w:rPr>
                <w:rFonts w:hint="eastAsia"/>
                <w:bCs/>
                <w:color w:val="auto"/>
                <w:sz w:val="24"/>
                <w:highlight w:val="none"/>
                <w:lang w:val="en-US" w:eastAsia="zh-CN"/>
              </w:rPr>
              <w:t>项目于2025年12月2日取得了玉溪市工业和信息化局出具的关于玉溪合源能源有限公司有关生产设备符合产业政策的意见，详见附件18。</w:t>
            </w:r>
          </w:p>
          <w:p w14:paraId="351F9E74">
            <w:pPr>
              <w:autoSpaceDE w:val="0"/>
              <w:autoSpaceDN w:val="0"/>
              <w:adjustRightInd w:val="0"/>
              <w:snapToGrid w:val="0"/>
              <w:spacing w:line="360" w:lineRule="auto"/>
              <w:ind w:firstLine="480" w:firstLineChars="200"/>
              <w:jc w:val="left"/>
              <w:rPr>
                <w:bCs/>
                <w:color w:val="auto"/>
                <w:kern w:val="0"/>
                <w:sz w:val="24"/>
                <w:highlight w:val="none"/>
              </w:rPr>
            </w:pPr>
            <w:r>
              <w:rPr>
                <w:bCs/>
                <w:color w:val="auto"/>
                <w:sz w:val="24"/>
                <w:highlight w:val="none"/>
              </w:rPr>
              <w:t>因此，项目建设符合国家相关产业政策</w:t>
            </w:r>
            <w:r>
              <w:rPr>
                <w:bCs/>
                <w:color w:val="auto"/>
                <w:kern w:val="0"/>
                <w:sz w:val="24"/>
                <w:highlight w:val="none"/>
              </w:rPr>
              <w:t>。</w:t>
            </w:r>
          </w:p>
          <w:bookmarkEnd w:id="6"/>
          <w:p w14:paraId="2D84E44C">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选址合理性分析</w:t>
            </w:r>
          </w:p>
          <w:p w14:paraId="35DA6C5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highlight w:val="none"/>
                <w:lang w:val="en-US" w:eastAsia="zh-CN"/>
              </w:rPr>
            </w:pPr>
            <w:bookmarkStart w:id="7" w:name="_Hlk54100710"/>
            <w:r>
              <w:rPr>
                <w:rFonts w:hint="eastAsia" w:ascii="宋体" w:hAnsi="宋体" w:eastAsia="宋体" w:cs="宋体"/>
                <w:bCs/>
                <w:color w:val="auto"/>
                <w:sz w:val="24"/>
                <w:highlight w:val="none"/>
                <w:lang w:val="en-US" w:eastAsia="zh-CN"/>
              </w:rPr>
              <w:t>本项目位于云南省玉溪市红塔区北城街道环城南路中段（钧澄公司内），</w:t>
            </w:r>
          </w:p>
          <w:p w14:paraId="12AE87D1">
            <w:pPr>
              <w:keepNext w:val="0"/>
              <w:keepLines w:val="0"/>
              <w:widowControl/>
              <w:suppressLineNumbers w:val="0"/>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属于工业用地，不在生态保护红线范围内，符合“三线一单”相关要求，</w:t>
            </w:r>
            <w:r>
              <w:rPr>
                <w:rFonts w:hint="eastAsia" w:ascii="宋体" w:hAnsi="宋体" w:eastAsia="宋体" w:cs="宋体"/>
                <w:color w:val="auto"/>
                <w:kern w:val="0"/>
                <w:sz w:val="24"/>
                <w:szCs w:val="24"/>
                <w:lang w:val="en-US" w:eastAsia="zh-CN" w:bidi="ar"/>
              </w:rPr>
              <w:t>符合玉溪市生态环境局印发《玉溪市生态环境分区管控动态更新调整方案2023年）》（玉市环〔2024〕40号）中的相关要求，</w:t>
            </w:r>
            <w:r>
              <w:rPr>
                <w:rFonts w:hint="eastAsia" w:ascii="宋体" w:hAnsi="宋体" w:eastAsia="宋体" w:cs="宋体"/>
                <w:bCs/>
                <w:color w:val="auto"/>
                <w:sz w:val="24"/>
                <w:highlight w:val="none"/>
                <w:lang w:val="en-US" w:eastAsia="zh-CN"/>
              </w:rPr>
              <w:t>本项目租赁现有厂房进行建设，不新增土地，不进行动土作业。项目选址范围及周边无自然保护区、风景名胜区、森林公园、饮用水水源</w:t>
            </w:r>
            <w:r>
              <w:rPr>
                <w:rFonts w:hint="eastAsia" w:ascii="宋体" w:hAnsi="宋体" w:cs="宋体"/>
                <w:bCs/>
                <w:color w:val="auto"/>
                <w:sz w:val="24"/>
                <w:highlight w:val="none"/>
                <w:lang w:val="en-US" w:eastAsia="zh-CN"/>
              </w:rPr>
              <w:t>保护</w:t>
            </w:r>
            <w:r>
              <w:rPr>
                <w:rFonts w:hint="eastAsia" w:ascii="宋体" w:hAnsi="宋体" w:eastAsia="宋体" w:cs="宋体"/>
                <w:bCs/>
                <w:color w:val="auto"/>
                <w:sz w:val="24"/>
                <w:highlight w:val="none"/>
                <w:lang w:val="en-US" w:eastAsia="zh-CN"/>
              </w:rPr>
              <w:t>区等环境敏感区，项目用地符合《玉溪市国土空间总体规划）》。本项目区域内无国家地方保护的珍稀濒危动植物，500m范围内有北城社区19组、康泰医院2个保护目标，50m范围内无声环境保护目标，项目已经建成，根据项目自行检测结果，项目产生的主要污染物（烟粉尘、氮氧化物、二氧化硫、颗粒物、噪声）能满足污染物排放相关要求。项目周边企业有云南金晟农产品进出口有限公司北城冷库、田禾农业发展有限公司等，项目附近物流企业较多，均位于本项目上风向，距离本项目较远，项目落实本次环评提出的各项环保措施后，对周围环境影响较</w:t>
            </w:r>
            <w:r>
              <w:rPr>
                <w:rFonts w:hint="eastAsia" w:ascii="宋体" w:hAnsi="宋体" w:cs="宋体"/>
                <w:bCs/>
                <w:color w:val="auto"/>
                <w:sz w:val="24"/>
                <w:highlight w:val="none"/>
                <w:lang w:val="en-US" w:eastAsia="zh-CN"/>
              </w:rPr>
              <w:t>小</w:t>
            </w:r>
            <w:r>
              <w:rPr>
                <w:rFonts w:hint="eastAsia" w:ascii="宋体" w:hAnsi="宋体" w:eastAsia="宋体" w:cs="宋体"/>
                <w:bCs/>
                <w:color w:val="auto"/>
                <w:sz w:val="24"/>
                <w:highlight w:val="none"/>
                <w:lang w:val="en-US" w:eastAsia="zh-CN"/>
              </w:rPr>
              <w:t>，与周围企业相容，项目选址合理。</w:t>
            </w:r>
          </w:p>
          <w:bookmarkEnd w:id="7"/>
          <w:p w14:paraId="53F6622E">
            <w:pPr>
              <w:autoSpaceDE w:val="0"/>
              <w:autoSpaceDN w:val="0"/>
              <w:adjustRightInd w:val="0"/>
              <w:snapToGrid w:val="0"/>
              <w:spacing w:line="360" w:lineRule="auto"/>
              <w:jc w:val="left"/>
              <w:rPr>
                <w:b/>
                <w:bCs/>
                <w:color w:val="auto"/>
                <w:kern w:val="0"/>
                <w:sz w:val="24"/>
                <w:highlight w:val="none"/>
              </w:rPr>
            </w:pPr>
            <w:r>
              <w:rPr>
                <w:rFonts w:hint="eastAsia"/>
                <w:b/>
                <w:color w:val="auto"/>
                <w:kern w:val="0"/>
                <w:sz w:val="24"/>
                <w:highlight w:val="none"/>
                <w:lang w:val="en-US" w:eastAsia="zh-CN"/>
              </w:rPr>
              <w:t>3、</w:t>
            </w:r>
            <w:r>
              <w:rPr>
                <w:b/>
                <w:color w:val="auto"/>
                <w:kern w:val="0"/>
                <w:sz w:val="24"/>
                <w:highlight w:val="none"/>
              </w:rPr>
              <w:t>建设项目与所在地“三线一单”</w:t>
            </w:r>
            <w:r>
              <w:rPr>
                <w:b/>
                <w:bCs/>
                <w:color w:val="auto"/>
                <w:kern w:val="0"/>
                <w:sz w:val="24"/>
                <w:highlight w:val="none"/>
              </w:rPr>
              <w:t>符合性分析</w:t>
            </w:r>
          </w:p>
          <w:p w14:paraId="5ABA062F">
            <w:pPr>
              <w:autoSpaceDE w:val="0"/>
              <w:autoSpaceDN w:val="0"/>
              <w:adjustRightInd w:val="0"/>
              <w:snapToGrid w:val="0"/>
              <w:spacing w:line="360" w:lineRule="auto"/>
              <w:ind w:firstLine="480" w:firstLineChars="200"/>
              <w:jc w:val="left"/>
              <w:rPr>
                <w:rFonts w:eastAsiaTheme="minorEastAsia"/>
                <w:color w:val="auto"/>
                <w:kern w:val="0"/>
                <w:sz w:val="24"/>
                <w:highlight w:val="none"/>
              </w:rPr>
            </w:pPr>
            <w:r>
              <w:rPr>
                <w:rFonts w:hint="default" w:ascii="Times New Roman" w:hAnsi="Times New Roman" w:cs="Times New Roman"/>
                <w:color w:val="auto"/>
                <w:sz w:val="24"/>
                <w:szCs w:val="24"/>
                <w:lang w:bidi="ar"/>
              </w:rPr>
              <w:t>根据2021年12月6日玉溪市人民政府发布的《玉溪市“三线一单”生态环境分区管控实施意见》（玉政发〔2021〕15号）、2024年6月7日玉溪市生态环境局发布的《玉溪市生态环境分区管控动态更新调整方案（2023年）》（玉市环〔2024〕40号）</w:t>
            </w:r>
            <w:r>
              <w:rPr>
                <w:rFonts w:hint="eastAsia" w:eastAsiaTheme="minorEastAsia"/>
                <w:color w:val="auto"/>
                <w:kern w:val="0"/>
                <w:sz w:val="24"/>
                <w:highlight w:val="none"/>
              </w:rPr>
              <w:t>，本项目属于</w:t>
            </w:r>
            <w:r>
              <w:rPr>
                <w:rFonts w:hint="eastAsia" w:eastAsiaTheme="minorEastAsia"/>
                <w:color w:val="auto"/>
                <w:kern w:val="0"/>
                <w:sz w:val="24"/>
                <w:highlight w:val="none"/>
                <w:lang w:val="en-US" w:eastAsia="zh-CN"/>
              </w:rPr>
              <w:t>红塔区城区生活污染重点管控</w:t>
            </w:r>
            <w:r>
              <w:rPr>
                <w:rFonts w:hint="eastAsia" w:eastAsiaTheme="minorEastAsia"/>
                <w:color w:val="auto"/>
                <w:kern w:val="0"/>
                <w:sz w:val="24"/>
                <w:highlight w:val="none"/>
              </w:rPr>
              <w:t>单元，经对照分析，项目符合所在地“三线一单”中的相关要求。</w:t>
            </w:r>
          </w:p>
          <w:p w14:paraId="1A212809">
            <w:pPr>
              <w:autoSpaceDE w:val="0"/>
              <w:autoSpaceDN w:val="0"/>
              <w:adjustRightInd w:val="0"/>
              <w:snapToGrid w:val="0"/>
              <w:spacing w:line="360" w:lineRule="auto"/>
              <w:ind w:firstLine="480" w:firstLineChars="200"/>
              <w:jc w:val="left"/>
              <w:rPr>
                <w:rFonts w:eastAsiaTheme="minorEastAsia"/>
                <w:color w:val="auto"/>
                <w:kern w:val="0"/>
                <w:sz w:val="24"/>
                <w:highlight w:val="none"/>
              </w:rPr>
            </w:pPr>
            <w:r>
              <w:rPr>
                <w:rFonts w:hint="eastAsia" w:eastAsiaTheme="minorEastAsia"/>
                <w:color w:val="auto"/>
                <w:kern w:val="0"/>
                <w:sz w:val="24"/>
                <w:highlight w:val="none"/>
              </w:rPr>
              <w:t>项目与其符合性分析详见下表。</w:t>
            </w:r>
          </w:p>
          <w:p w14:paraId="6A4763CC">
            <w:pPr>
              <w:autoSpaceDE w:val="0"/>
              <w:autoSpaceDN w:val="0"/>
              <w:adjustRightInd w:val="0"/>
              <w:snapToGrid w:val="0"/>
              <w:spacing w:line="360" w:lineRule="auto"/>
              <w:ind w:firstLine="482" w:firstLineChars="200"/>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rPr>
              <w:t>1-</w:t>
            </w:r>
            <w:r>
              <w:rPr>
                <w:rFonts w:hint="eastAsia"/>
                <w:b/>
                <w:bCs/>
                <w:color w:val="auto"/>
                <w:kern w:val="0"/>
                <w:sz w:val="24"/>
                <w:highlight w:val="none"/>
                <w:lang w:val="en-US" w:eastAsia="zh-CN"/>
              </w:rPr>
              <w:t>2</w:t>
            </w:r>
            <w:r>
              <w:rPr>
                <w:rFonts w:hint="eastAsia"/>
                <w:b/>
                <w:bCs/>
                <w:color w:val="auto"/>
                <w:kern w:val="0"/>
                <w:sz w:val="24"/>
                <w:highlight w:val="none"/>
              </w:rPr>
              <w:t xml:space="preserve">  </w:t>
            </w:r>
            <w:r>
              <w:rPr>
                <w:b/>
                <w:bCs/>
                <w:color w:val="auto"/>
                <w:kern w:val="0"/>
                <w:sz w:val="24"/>
                <w:highlight w:val="none"/>
              </w:rPr>
              <w:t>项目与所在地“</w:t>
            </w:r>
            <w:r>
              <w:rPr>
                <w:rFonts w:hint="eastAsia"/>
                <w:b/>
                <w:bCs/>
                <w:color w:val="auto"/>
                <w:kern w:val="0"/>
                <w:sz w:val="24"/>
                <w:highlight w:val="none"/>
              </w:rPr>
              <w:t>三线一单</w:t>
            </w:r>
            <w:r>
              <w:rPr>
                <w:b/>
                <w:bCs/>
                <w:color w:val="auto"/>
                <w:kern w:val="0"/>
                <w:sz w:val="24"/>
                <w:highlight w:val="none"/>
              </w:rPr>
              <w:t>”符合性分析一览表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211"/>
              <w:gridCol w:w="3031"/>
              <w:gridCol w:w="726"/>
            </w:tblGrid>
            <w:tr w14:paraId="1B9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1F704D6E">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“三线一单”实施意见</w:t>
                  </w:r>
                </w:p>
              </w:tc>
              <w:tc>
                <w:tcPr>
                  <w:tcW w:w="3031" w:type="dxa"/>
                  <w:vAlign w:val="center"/>
                </w:tcPr>
                <w:p w14:paraId="681D91C3">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项目情况</w:t>
                  </w:r>
                </w:p>
              </w:tc>
              <w:tc>
                <w:tcPr>
                  <w:tcW w:w="726" w:type="dxa"/>
                  <w:vAlign w:val="center"/>
                </w:tcPr>
                <w:p w14:paraId="439FF8ED">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符合情况</w:t>
                  </w:r>
                </w:p>
              </w:tc>
            </w:tr>
            <w:tr w14:paraId="0FDD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87" w:type="dxa"/>
                  <w:gridSpan w:val="4"/>
                  <w:vAlign w:val="center"/>
                </w:tcPr>
                <w:p w14:paraId="1CD793C2">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1、生态保护红线</w:t>
                  </w:r>
                </w:p>
              </w:tc>
            </w:tr>
            <w:tr w14:paraId="3DAF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3FB12204">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执行《云南省人民政府关于发布云南省生态保护红线的通知》（云政发〔2018〕32号），生态保护红线评估调整成果获批后，按照批准成果执行。将未划入生态保护红线的自然保护地、饮用水水源保护区、重要湿地、基本草原、生态公益林、天然林等生态功能重要、生态环境敏感区域划为一般生态空间。</w:t>
                  </w:r>
                </w:p>
              </w:tc>
              <w:tc>
                <w:tcPr>
                  <w:tcW w:w="3031" w:type="dxa"/>
                  <w:vAlign w:val="center"/>
                </w:tcPr>
                <w:p w14:paraId="42C5D426">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本项目位于云南省</w:t>
                  </w:r>
                  <w:r>
                    <w:rPr>
                      <w:rFonts w:hint="eastAsia" w:ascii="宋体" w:hAnsi="宋体" w:eastAsia="宋体" w:cs="宋体"/>
                      <w:color w:val="auto"/>
                      <w:kern w:val="0"/>
                      <w:sz w:val="21"/>
                      <w:szCs w:val="21"/>
                      <w:highlight w:val="none"/>
                      <w:lang w:val="en-US" w:eastAsia="zh-CN"/>
                    </w:rPr>
                    <w:t>玉溪市红塔区北城街道环城南路中段（钧澄公司内）</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根据2025年8月12日，玉溪市红塔区自然资源局出具的红塔区规划审查表</w:t>
                  </w:r>
                  <w:r>
                    <w:rPr>
                      <w:rFonts w:hint="eastAsia" w:ascii="宋体" w:hAnsi="宋体" w:cs="宋体"/>
                      <w:color w:val="auto"/>
                      <w:kern w:val="0"/>
                      <w:sz w:val="21"/>
                      <w:szCs w:val="21"/>
                      <w:highlight w:val="none"/>
                      <w:lang w:val="en-US" w:eastAsia="zh-CN"/>
                    </w:rPr>
                    <w:t>（详见附件7）</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不涉及生态保护红线及一般生态空间范围。</w:t>
                  </w:r>
                </w:p>
              </w:tc>
              <w:tc>
                <w:tcPr>
                  <w:tcW w:w="726" w:type="dxa"/>
                  <w:vAlign w:val="center"/>
                </w:tcPr>
                <w:p w14:paraId="43327D40">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63F9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87" w:type="dxa"/>
                  <w:gridSpan w:val="4"/>
                  <w:vAlign w:val="center"/>
                </w:tcPr>
                <w:p w14:paraId="2BA81334">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2、环境质量底线</w:t>
                  </w:r>
                </w:p>
              </w:tc>
            </w:tr>
            <w:tr w14:paraId="066C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3FB19AD3">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水环境质量底线。到2025年，全市水环境质量持续改善，纳入国家和省级考核的地表水监测断面水质优良率稳步提升。抚仙湖水质稳定保持Ⅰ类水质标准，星云湖、杞麓湖水质指标均达到Ⅴ类水质标准。中心城区及县城集中式饮用水水源地水质达标率为100%。到2035年，全市水环境质量总体改善，水生生态系统功能恢复。地表水水体水质优良率全面提升，彻底消除劣V类水体。抚仙湖水质稳定保持Ⅰ类水质标准，星云湖和杞麓湖水质持续稳定向好。</w:t>
                  </w:r>
                </w:p>
              </w:tc>
              <w:tc>
                <w:tcPr>
                  <w:tcW w:w="3031" w:type="dxa"/>
                  <w:vAlign w:val="center"/>
                </w:tcPr>
                <w:p w14:paraId="35E167D4">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项目区涉及地表水为</w:t>
                  </w:r>
                  <w:r>
                    <w:rPr>
                      <w:rFonts w:hint="eastAsia" w:ascii="宋体" w:hAnsi="宋体" w:eastAsia="宋体" w:cs="宋体"/>
                      <w:color w:val="auto"/>
                      <w:kern w:val="0"/>
                      <w:sz w:val="21"/>
                      <w:szCs w:val="21"/>
                      <w:highlight w:val="none"/>
                      <w:lang w:val="en-US" w:eastAsia="zh-CN"/>
                    </w:rPr>
                    <w:t>红旗河</w:t>
                  </w:r>
                  <w:r>
                    <w:rPr>
                      <w:rFonts w:hint="eastAsia" w:ascii="宋体" w:hAnsi="宋体" w:eastAsia="宋体" w:cs="宋体"/>
                      <w:color w:val="auto"/>
                      <w:kern w:val="0"/>
                      <w:sz w:val="21"/>
                      <w:szCs w:val="21"/>
                      <w:highlight w:val="none"/>
                    </w:rPr>
                    <w:t>，属于玉溪大河支流。</w:t>
                  </w:r>
                  <w:r>
                    <w:rPr>
                      <w:rFonts w:hint="eastAsia" w:ascii="宋体" w:hAnsi="宋体" w:eastAsia="宋体" w:cs="宋体"/>
                      <w:color w:val="auto"/>
                      <w:kern w:val="0"/>
                      <w:sz w:val="21"/>
                      <w:szCs w:val="21"/>
                      <w:highlight w:val="none"/>
                      <w:lang w:val="en-US" w:eastAsia="zh-CN"/>
                    </w:rPr>
                    <w:t>根据玉溪市生态环境部门2023年例行水质监测结果</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玉溪大河的矣读可控制监测断面水质的常规监测评价结果，玉溪大河矣读可监测断面水质评价为Ⅳ类</w:t>
                  </w:r>
                  <w:r>
                    <w:rPr>
                      <w:rFonts w:hint="eastAsia" w:ascii="宋体" w:hAnsi="宋体" w:eastAsia="宋体" w:cs="宋体"/>
                      <w:color w:val="auto"/>
                      <w:kern w:val="0"/>
                      <w:sz w:val="21"/>
                      <w:szCs w:val="21"/>
                      <w:highlight w:val="none"/>
                    </w:rPr>
                    <w:t>，不能满足《地表水环境质量标准》（GB3838-2002）中Ⅲ类水质标准要求。项目产生的废水主要为生活污水、</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排水、软水制备废水，废水产生量较小，生活污水排入</w:t>
                  </w:r>
                  <w:r>
                    <w:rPr>
                      <w:rFonts w:hint="eastAsia" w:ascii="宋体" w:hAnsi="宋体" w:eastAsia="宋体" w:cs="宋体"/>
                      <w:color w:val="auto"/>
                      <w:kern w:val="0"/>
                      <w:sz w:val="21"/>
                      <w:szCs w:val="21"/>
                      <w:highlight w:val="none"/>
                      <w:lang w:val="en-US" w:eastAsia="zh-CN"/>
                    </w:rPr>
                    <w:t>钧澄公司</w:t>
                  </w:r>
                  <w:r>
                    <w:rPr>
                      <w:rFonts w:hint="eastAsia" w:ascii="宋体" w:hAnsi="宋体" w:eastAsia="宋体" w:cs="宋体"/>
                      <w:color w:val="auto"/>
                      <w:kern w:val="0"/>
                      <w:sz w:val="21"/>
                      <w:szCs w:val="21"/>
                      <w:highlight w:val="none"/>
                    </w:rPr>
                    <w:t>化粪池处理</w:t>
                  </w:r>
                  <w:r>
                    <w:rPr>
                      <w:rFonts w:hint="eastAsia" w:ascii="宋体" w:hAnsi="宋体" w:eastAsia="宋体" w:cs="宋体"/>
                      <w:color w:val="auto"/>
                      <w:kern w:val="0"/>
                      <w:sz w:val="21"/>
                      <w:szCs w:val="21"/>
                      <w:highlight w:val="none"/>
                      <w:lang w:val="en-US" w:eastAsia="zh-CN"/>
                    </w:rPr>
                    <w:t>后综合利用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排水、离子交换树脂再生废水经絮凝沉淀后排入</w:t>
                  </w:r>
                  <w:r>
                    <w:rPr>
                      <w:rFonts w:hint="eastAsia" w:ascii="宋体" w:hAnsi="宋体" w:eastAsia="宋体" w:cs="宋体"/>
                      <w:color w:val="auto"/>
                      <w:kern w:val="0"/>
                      <w:sz w:val="21"/>
                      <w:szCs w:val="21"/>
                      <w:highlight w:val="none"/>
                      <w:lang w:val="en-US" w:eastAsia="zh-CN"/>
                    </w:rPr>
                    <w:t>钧澄公司冷却循环水池</w:t>
                  </w:r>
                  <w:r>
                    <w:rPr>
                      <w:rFonts w:hint="eastAsia" w:ascii="宋体" w:hAnsi="宋体" w:eastAsia="宋体" w:cs="宋体"/>
                      <w:color w:val="auto"/>
                      <w:kern w:val="0"/>
                      <w:sz w:val="21"/>
                      <w:szCs w:val="21"/>
                      <w:highlight w:val="none"/>
                    </w:rPr>
                    <w:t>处理</w:t>
                  </w:r>
                  <w:r>
                    <w:rPr>
                      <w:rFonts w:hint="eastAsia" w:ascii="宋体" w:hAnsi="宋体" w:eastAsia="宋体" w:cs="宋体"/>
                      <w:color w:val="auto"/>
                      <w:kern w:val="0"/>
                      <w:sz w:val="21"/>
                      <w:szCs w:val="21"/>
                      <w:highlight w:val="none"/>
                      <w:lang w:val="en-US" w:eastAsia="zh-CN"/>
                    </w:rPr>
                    <w:t>后循环使用，项目废水不外排</w:t>
                  </w:r>
                  <w:r>
                    <w:rPr>
                      <w:rFonts w:hint="eastAsia" w:ascii="宋体" w:hAnsi="宋体" w:eastAsia="宋体" w:cs="宋体"/>
                      <w:color w:val="auto"/>
                      <w:kern w:val="0"/>
                      <w:sz w:val="21"/>
                      <w:szCs w:val="21"/>
                      <w:highlight w:val="none"/>
                    </w:rPr>
                    <w:t>。不会改变区域水环境质量功能。</w:t>
                  </w:r>
                </w:p>
              </w:tc>
              <w:tc>
                <w:tcPr>
                  <w:tcW w:w="726" w:type="dxa"/>
                  <w:vAlign w:val="center"/>
                </w:tcPr>
                <w:p w14:paraId="737421A5">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6604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321F69B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大气环境质量底线。到2025年，全市环境空气质量稳中向好，中心城区城市空气质量优良天数比率保持稳定，主要污染物排放量达到国家和省级污染物总量控制要求，单位GDP二氧化碳排放控制在省下达指标内。到2035年，全市环境空气质量持续保持优良，实现稳中向好，主要污染物排放总量和二氧化碳排放量持续减少。</w:t>
                  </w:r>
                </w:p>
              </w:tc>
              <w:tc>
                <w:tcPr>
                  <w:tcW w:w="3031" w:type="dxa"/>
                  <w:vAlign w:val="center"/>
                </w:tcPr>
                <w:p w14:paraId="32E9F44E">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玉溪市红塔区环境质量自动监测点</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年监测数据，202</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年项目所在区域玉溪市中心城区空气可吸入颗粒物（PM</w:t>
                  </w:r>
                  <w:r>
                    <w:rPr>
                      <w:rFonts w:hint="default" w:ascii="Times New Roman" w:hAnsi="Times New Roman" w:eastAsia="宋体" w:cs="Times New Roman"/>
                      <w:color w:val="auto"/>
                      <w:sz w:val="21"/>
                      <w:szCs w:val="21"/>
                      <w:highlight w:val="none"/>
                      <w:vertAlign w:val="subscript"/>
                    </w:rPr>
                    <w:t>10</w:t>
                  </w:r>
                  <w:r>
                    <w:rPr>
                      <w:rFonts w:hint="default" w:ascii="Times New Roman" w:hAnsi="Times New Roman" w:eastAsia="宋体" w:cs="Times New Roman"/>
                      <w:color w:val="auto"/>
                      <w:sz w:val="21"/>
                      <w:szCs w:val="21"/>
                      <w:highlight w:val="none"/>
                    </w:rPr>
                    <w:t>）、细颗粒物（PM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）、二氧化硫（SO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）、二氧化氮（NO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）、一氧化碳（CO）、臭氧（O</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）年平均浓度符合《环境空气质量标准》（GB3095-2012）及2018年修改清单二级标准要求，区域环境空气质量达标。</w:t>
                  </w:r>
                  <w:r>
                    <w:rPr>
                      <w:rFonts w:hint="eastAsia" w:ascii="宋体" w:hAnsi="宋体" w:eastAsia="宋体" w:cs="宋体"/>
                      <w:color w:val="auto"/>
                      <w:sz w:val="21"/>
                      <w:szCs w:val="21"/>
                      <w:highlight w:val="none"/>
                    </w:rPr>
                    <w:t>因此，项目区为达标区。项目产生的</w:t>
                  </w:r>
                  <w:r>
                    <w:rPr>
                      <w:rFonts w:hint="eastAsia" w:ascii="宋体" w:hAnsi="宋体" w:eastAsia="宋体" w:cs="宋体"/>
                      <w:color w:val="auto"/>
                      <w:sz w:val="21"/>
                      <w:szCs w:val="21"/>
                      <w:highlight w:val="none"/>
                      <w:lang w:eastAsia="zh-CN"/>
                    </w:rPr>
                    <w:t>蒸汽发生器</w:t>
                  </w:r>
                  <w:r>
                    <w:rPr>
                      <w:rFonts w:hint="eastAsia" w:ascii="宋体" w:hAnsi="宋体" w:eastAsia="宋体" w:cs="宋体"/>
                      <w:color w:val="auto"/>
                      <w:sz w:val="21"/>
                      <w:szCs w:val="21"/>
                      <w:highlight w:val="none"/>
                    </w:rPr>
                    <w:t>废气经采取“</w:t>
                  </w:r>
                  <w:r>
                    <w:rPr>
                      <w:rFonts w:hint="eastAsia"/>
                      <w:color w:val="auto"/>
                      <w:szCs w:val="21"/>
                      <w:highlight w:val="none"/>
                    </w:rPr>
                    <w:t>低氮燃烧技术+</w:t>
                  </w:r>
                  <w:r>
                    <w:rPr>
                      <w:rFonts w:hint="eastAsia" w:ascii="宋体" w:hAnsi="宋体" w:eastAsia="宋体" w:cs="宋体"/>
                      <w:color w:val="auto"/>
                      <w:sz w:val="21"/>
                      <w:szCs w:val="21"/>
                      <w:highlight w:val="none"/>
                    </w:rPr>
                    <w:t>旋风除尘+布袋除尘器”处理后由1根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5m高排气筒（DA001）外排，能够达到《</w:t>
                  </w:r>
                  <w:r>
                    <w:rPr>
                      <w:rFonts w:hint="eastAsia" w:ascii="宋体" w:hAnsi="宋体" w:eastAsia="宋体" w:cs="宋体"/>
                      <w:color w:val="auto"/>
                      <w:sz w:val="21"/>
                      <w:szCs w:val="21"/>
                      <w:highlight w:val="none"/>
                      <w:lang w:eastAsia="zh-CN"/>
                    </w:rPr>
                    <w:t>锅炉大气污染物排放标准</w:t>
                  </w:r>
                  <w:r>
                    <w:rPr>
                      <w:rFonts w:hint="eastAsia" w:ascii="宋体" w:hAnsi="宋体" w:eastAsia="宋体" w:cs="宋体"/>
                      <w:color w:val="auto"/>
                      <w:sz w:val="21"/>
                      <w:szCs w:val="21"/>
                      <w:highlight w:val="none"/>
                    </w:rPr>
                    <w:t>》（GB13271-2014）中新</w:t>
                  </w:r>
                  <w:r>
                    <w:rPr>
                      <w:rFonts w:hint="eastAsia" w:ascii="宋体" w:hAnsi="宋体" w:eastAsia="宋体" w:cs="宋体"/>
                      <w:color w:val="auto"/>
                      <w:sz w:val="21"/>
                      <w:szCs w:val="21"/>
                      <w:highlight w:val="none"/>
                      <w:lang w:eastAsia="zh-CN"/>
                    </w:rPr>
                    <w:t>建燃</w:t>
                  </w:r>
                  <w:r>
                    <w:rPr>
                      <w:rFonts w:hint="eastAsia" w:ascii="宋体" w:hAnsi="宋体" w:eastAsia="宋体" w:cs="宋体"/>
                      <w:color w:val="auto"/>
                      <w:sz w:val="21"/>
                      <w:szCs w:val="21"/>
                      <w:highlight w:val="none"/>
                      <w:lang w:val="en-US" w:eastAsia="zh-CN"/>
                    </w:rPr>
                    <w:t>煤</w:t>
                  </w:r>
                  <w:r>
                    <w:rPr>
                      <w:rFonts w:hint="eastAsia" w:ascii="宋体" w:hAnsi="宋体" w:eastAsia="宋体" w:cs="宋体"/>
                      <w:color w:val="auto"/>
                      <w:sz w:val="21"/>
                      <w:szCs w:val="21"/>
                      <w:highlight w:val="none"/>
                      <w:lang w:eastAsia="zh-CN"/>
                    </w:rPr>
                    <w:t>锅炉大气污染物排放限值</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项目运营期废气均能够实现达标排放，不会改变区域环境空气质量功能。</w:t>
                  </w:r>
                </w:p>
              </w:tc>
              <w:tc>
                <w:tcPr>
                  <w:tcW w:w="726" w:type="dxa"/>
                  <w:vAlign w:val="center"/>
                </w:tcPr>
                <w:p w14:paraId="37C0E448">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7C95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7B82CD19">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土壤环境风险防控底线。到2025年，全市土壤环境风险防范体系进一步完善，受污染耕地安全利用率和污染地块安全利用率达到省下达的目标要求。到2035年，全市土壤环境质量稳中向好，农用地和建设用地土壤环境安全得到有效保障，受污染耕地安全利用率和污染地块安全利用率进一步提高，土壤环境风险得到全面管控。</w:t>
                  </w:r>
                </w:p>
              </w:tc>
              <w:tc>
                <w:tcPr>
                  <w:tcW w:w="3031" w:type="dxa"/>
                  <w:vAlign w:val="center"/>
                </w:tcPr>
                <w:p w14:paraId="43B54C02">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项目产生固废</w:t>
                  </w:r>
                  <w:r>
                    <w:rPr>
                      <w:rFonts w:hint="eastAsia" w:ascii="宋体" w:hAnsi="宋体" w:eastAsia="宋体" w:cs="宋体"/>
                      <w:color w:val="auto"/>
                      <w:kern w:val="0"/>
                      <w:sz w:val="21"/>
                      <w:szCs w:val="21"/>
                      <w:highlight w:val="none"/>
                    </w:rPr>
                    <w:t>分类收集后处置；项目建成后对区域土壤环境质量产生影响较小，土壤环境风险较低。</w:t>
                  </w:r>
                </w:p>
              </w:tc>
              <w:tc>
                <w:tcPr>
                  <w:tcW w:w="726" w:type="dxa"/>
                  <w:vAlign w:val="center"/>
                </w:tcPr>
                <w:p w14:paraId="16AF5E7D">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50DF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87" w:type="dxa"/>
                  <w:gridSpan w:val="4"/>
                  <w:vAlign w:val="center"/>
                </w:tcPr>
                <w:p w14:paraId="793BA46F">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3、资源利用上线</w:t>
                  </w:r>
                </w:p>
              </w:tc>
            </w:tr>
            <w:tr w14:paraId="4B6C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30" w:type="dxa"/>
                  <w:gridSpan w:val="2"/>
                  <w:vAlign w:val="center"/>
                </w:tcPr>
                <w:p w14:paraId="1E584C22">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强化资源能源节约集约利用，持续提升资源能源利用效率，水资源、土地资源、能源消耗等达到或优于省下达的总量和强度控制目标。</w:t>
                  </w:r>
                </w:p>
                <w:p w14:paraId="79E5F7BE">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031" w:type="dxa"/>
                  <w:vAlign w:val="center"/>
                </w:tcPr>
                <w:p w14:paraId="212AFFC7">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本项目供水搭接</w:t>
                  </w:r>
                  <w:r>
                    <w:rPr>
                      <w:rFonts w:hint="eastAsia" w:ascii="宋体" w:hAnsi="宋体" w:eastAsia="宋体" w:cs="宋体"/>
                      <w:color w:val="auto"/>
                      <w:kern w:val="0"/>
                      <w:sz w:val="21"/>
                      <w:szCs w:val="21"/>
                      <w:highlight w:val="none"/>
                      <w:lang w:val="en-US" w:eastAsia="zh-CN"/>
                    </w:rPr>
                    <w:t>钧澄公司</w:t>
                  </w:r>
                  <w:r>
                    <w:rPr>
                      <w:rFonts w:hint="eastAsia" w:ascii="宋体" w:hAnsi="宋体" w:eastAsia="宋体" w:cs="宋体"/>
                      <w:color w:val="auto"/>
                      <w:kern w:val="0"/>
                      <w:sz w:val="21"/>
                      <w:szCs w:val="21"/>
                      <w:highlight w:val="none"/>
                    </w:rPr>
                    <w:t>供水管网</w:t>
                  </w:r>
                  <w:r>
                    <w:rPr>
                      <w:rFonts w:hint="eastAsia" w:ascii="宋体" w:hAnsi="宋体" w:eastAsia="宋体" w:cs="宋体"/>
                      <w:color w:val="auto"/>
                      <w:kern w:val="0"/>
                      <w:sz w:val="21"/>
                      <w:szCs w:val="21"/>
                      <w:highlight w:val="none"/>
                      <w:lang w:val="zh-CN"/>
                    </w:rPr>
                    <w:t>，用水主要为</w:t>
                  </w:r>
                  <w:r>
                    <w:rPr>
                      <w:rFonts w:hint="eastAsia" w:ascii="宋体" w:hAnsi="宋体" w:eastAsia="宋体" w:cs="宋体"/>
                      <w:color w:val="auto"/>
                      <w:kern w:val="0"/>
                      <w:sz w:val="21"/>
                      <w:szCs w:val="21"/>
                      <w:highlight w:val="none"/>
                    </w:rPr>
                    <w:t>员工生活用水、</w:t>
                  </w:r>
                  <w:r>
                    <w:rPr>
                      <w:rFonts w:hint="eastAsia" w:ascii="宋体" w:hAnsi="宋体" w:eastAsia="宋体" w:cs="宋体"/>
                      <w:color w:val="auto"/>
                      <w:kern w:val="0"/>
                      <w:sz w:val="21"/>
                      <w:szCs w:val="21"/>
                      <w:highlight w:val="none"/>
                      <w:lang w:val="zh-CN"/>
                    </w:rPr>
                    <w:t>纯水制备用水，</w:t>
                  </w:r>
                  <w:r>
                    <w:rPr>
                      <w:rFonts w:hint="eastAsia" w:ascii="宋体" w:hAnsi="宋体" w:eastAsia="宋体" w:cs="宋体"/>
                      <w:color w:val="auto"/>
                      <w:kern w:val="0"/>
                      <w:sz w:val="21"/>
                      <w:szCs w:val="21"/>
                      <w:highlight w:val="none"/>
                    </w:rPr>
                    <w:t>不会突破水资源利用上线；本项目不属于高耗能行业，符合能源利用上线；本项目不占用基本农田和耕地，符合当地规划要求，符合土地资源利用上线要求。</w:t>
                  </w:r>
                </w:p>
              </w:tc>
              <w:tc>
                <w:tcPr>
                  <w:tcW w:w="726" w:type="dxa"/>
                  <w:vAlign w:val="center"/>
                </w:tcPr>
                <w:p w14:paraId="2ED5321F">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2834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87" w:type="dxa"/>
                  <w:gridSpan w:val="4"/>
                  <w:vAlign w:val="center"/>
                </w:tcPr>
                <w:p w14:paraId="7D563473">
                  <w:pPr>
                    <w:autoSpaceDE w:val="0"/>
                    <w:autoSpaceDN w:val="0"/>
                    <w:adjustRightInd w:val="0"/>
                    <w:snapToGrid w:val="0"/>
                    <w:jc w:val="center"/>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4、玉溪市总体管控要求</w:t>
                  </w:r>
                </w:p>
              </w:tc>
            </w:tr>
            <w:tr w14:paraId="7DC6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42A9D446">
                  <w:pPr>
                    <w:autoSpaceDE w:val="0"/>
                    <w:autoSpaceDN w:val="0"/>
                    <w:adjustRightInd w:val="0"/>
                    <w:snapToGrid w:val="0"/>
                    <w:jc w:val="left"/>
                    <w:rPr>
                      <w:rFonts w:hint="eastAsia" w:ascii="宋体" w:hAnsi="宋体" w:eastAsia="宋体" w:cs="宋体"/>
                      <w:color w:val="auto"/>
                      <w:kern w:val="0"/>
                      <w:sz w:val="21"/>
                      <w:szCs w:val="21"/>
                      <w:highlight w:val="none"/>
                    </w:rPr>
                  </w:pPr>
                </w:p>
                <w:p w14:paraId="5FC3E18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空间布局约束</w:t>
                  </w:r>
                </w:p>
                <w:p w14:paraId="7D256429">
                  <w:pPr>
                    <w:autoSpaceDE w:val="0"/>
                    <w:autoSpaceDN w:val="0"/>
                    <w:adjustRightInd w:val="0"/>
                    <w:snapToGrid w:val="0"/>
                    <w:jc w:val="left"/>
                    <w:rPr>
                      <w:rFonts w:hint="eastAsia" w:ascii="宋体" w:hAnsi="宋体" w:eastAsia="宋体" w:cs="宋体"/>
                      <w:color w:val="auto"/>
                      <w:kern w:val="0"/>
                      <w:sz w:val="21"/>
                      <w:szCs w:val="21"/>
                      <w:highlight w:val="none"/>
                    </w:rPr>
                  </w:pPr>
                </w:p>
                <w:p w14:paraId="7B716705">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6CA87A37">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ascii="Times New Roman" w:hAnsi="Times New Roman" w:eastAsia="宋体" w:cs="Times New Roman"/>
                      <w:b w:val="0"/>
                      <w:bCs/>
                      <w:color w:val="auto"/>
                      <w:sz w:val="21"/>
                      <w:szCs w:val="21"/>
                    </w:rPr>
                    <w:t>1.严格落实国家产业政策、国家产业结构调整指导目录。坚决遏制高耗能、高排放、低水平项目盲目发展，项目审批严格落实国家和云南省相关政策要求。严格落实钢铁、水泥、平板玻璃、电解铝等行业产能置换相关政策，严管严控新增电解铝和工业硅产能。</w:t>
                  </w:r>
                </w:p>
              </w:tc>
              <w:tc>
                <w:tcPr>
                  <w:tcW w:w="3031" w:type="dxa"/>
                  <w:vAlign w:val="center"/>
                </w:tcPr>
                <w:p w14:paraId="52D0A7F4">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color w:val="auto"/>
                      <w:sz w:val="21"/>
                      <w:szCs w:val="21"/>
                    </w:rPr>
                    <w:t>本项目为热力生产和供应业，对照《产业结构调整指导目录（2024年本）》，本项目属于</w:t>
                  </w:r>
                  <w:r>
                    <w:rPr>
                      <w:rFonts w:hint="default"/>
                      <w:color w:val="auto"/>
                      <w:sz w:val="21"/>
                      <w:szCs w:val="21"/>
                      <w:lang w:val="en-US" w:eastAsia="zh-CN"/>
                    </w:rPr>
                    <w:t>第一类“</w:t>
                  </w:r>
                  <w:r>
                    <w:rPr>
                      <w:rFonts w:hint="default"/>
                      <w:color w:val="auto"/>
                      <w:sz w:val="21"/>
                      <w:szCs w:val="21"/>
                    </w:rPr>
                    <w:t>鼓励类</w:t>
                  </w:r>
                  <w:r>
                    <w:rPr>
                      <w:rFonts w:hint="default"/>
                      <w:color w:val="auto"/>
                      <w:sz w:val="21"/>
                      <w:szCs w:val="21"/>
                      <w:lang w:val="en-US" w:eastAsia="zh-CN"/>
                    </w:rPr>
                    <w:t>”中的“一、农林牧渔业，17.可再生资源综合利用、生物质能清洁供热</w:t>
                  </w:r>
                  <w:r>
                    <w:rPr>
                      <w:rFonts w:hint="default"/>
                      <w:color w:val="auto"/>
                      <w:sz w:val="21"/>
                      <w:szCs w:val="21"/>
                    </w:rPr>
                    <w:t>”，</w:t>
                  </w:r>
                  <w:r>
                    <w:rPr>
                      <w:rFonts w:hint="eastAsia"/>
                      <w:color w:val="auto"/>
                      <w:sz w:val="21"/>
                      <w:szCs w:val="21"/>
                      <w:lang w:val="en-US" w:eastAsia="zh-CN"/>
                    </w:rPr>
                    <w:t>项目</w:t>
                  </w:r>
                  <w:r>
                    <w:rPr>
                      <w:rFonts w:hint="default"/>
                      <w:color w:val="auto"/>
                      <w:sz w:val="21"/>
                      <w:szCs w:val="21"/>
                    </w:rPr>
                    <w:t>符合国家</w:t>
                  </w:r>
                  <w:r>
                    <w:rPr>
                      <w:rFonts w:hint="default"/>
                      <w:color w:val="auto"/>
                      <w:sz w:val="21"/>
                      <w:szCs w:val="21"/>
                      <w:lang w:eastAsia="zh-CN"/>
                    </w:rPr>
                    <w:t>和地方</w:t>
                  </w:r>
                  <w:r>
                    <w:rPr>
                      <w:rFonts w:hint="default"/>
                      <w:color w:val="auto"/>
                      <w:sz w:val="21"/>
                      <w:szCs w:val="21"/>
                    </w:rPr>
                    <w:t>现行相关产业政策的要求</w:t>
                  </w:r>
                  <w:r>
                    <w:rPr>
                      <w:rFonts w:hint="eastAsia"/>
                      <w:color w:val="auto"/>
                      <w:sz w:val="21"/>
                      <w:szCs w:val="21"/>
                      <w:lang w:eastAsia="zh-CN"/>
                    </w:rPr>
                    <w:t>。</w:t>
                  </w:r>
                  <w:r>
                    <w:rPr>
                      <w:rFonts w:hint="eastAsia"/>
                      <w:color w:val="auto"/>
                      <w:sz w:val="21"/>
                      <w:szCs w:val="21"/>
                      <w:lang w:val="en-US" w:eastAsia="zh-CN"/>
                    </w:rPr>
                    <w:t>本项目不属于</w:t>
                  </w:r>
                  <w:r>
                    <w:rPr>
                      <w:rFonts w:hint="default" w:ascii="Times New Roman" w:hAnsi="Times New Roman" w:eastAsia="宋体" w:cs="Times New Roman"/>
                      <w:b w:val="0"/>
                      <w:bCs/>
                      <w:color w:val="auto"/>
                      <w:sz w:val="21"/>
                      <w:szCs w:val="21"/>
                    </w:rPr>
                    <w:t>高耗能、高排放、低水平项目</w:t>
                  </w:r>
                  <w:r>
                    <w:rPr>
                      <w:rFonts w:hint="eastAsia" w:ascii="Times New Roman" w:hAnsi="Times New Roman" w:eastAsia="宋体" w:cs="Times New Roman"/>
                      <w:b w:val="0"/>
                      <w:bCs/>
                      <w:color w:val="auto"/>
                      <w:sz w:val="21"/>
                      <w:szCs w:val="21"/>
                      <w:lang w:eastAsia="zh-CN"/>
                    </w:rPr>
                    <w:t>。</w:t>
                  </w:r>
                </w:p>
              </w:tc>
              <w:tc>
                <w:tcPr>
                  <w:tcW w:w="726" w:type="dxa"/>
                  <w:vAlign w:val="center"/>
                </w:tcPr>
                <w:p w14:paraId="7B93D50D">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3FE8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1BC5F5A">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78015C4">
                  <w:pPr>
                    <w:autoSpaceDE w:val="0"/>
                    <w:autoSpaceDN w:val="0"/>
                    <w:adjustRightInd w:val="0"/>
                    <w:snapToGrid w:val="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加强河湖水域岸线空间管控，严格落实九大高原湖泊（抚仙湖、星云湖、杞麓湖）“两线三区”相关管控要求。加快推动重点区域、重点流域落后和过剩产能退出。依法加快城市建成区重污染企业搬迁改造或关闭退出。</w:t>
                  </w:r>
                </w:p>
              </w:tc>
              <w:tc>
                <w:tcPr>
                  <w:tcW w:w="3031" w:type="dxa"/>
                  <w:vAlign w:val="center"/>
                </w:tcPr>
                <w:p w14:paraId="1C9E0B23">
                  <w:pPr>
                    <w:autoSpaceDE w:val="0"/>
                    <w:autoSpaceDN w:val="0"/>
                    <w:adjustRightInd w:val="0"/>
                    <w:snapToGrid w:val="0"/>
                    <w:jc w:val="left"/>
                    <w:rPr>
                      <w:rFonts w:hint="default"/>
                      <w:color w:val="auto"/>
                      <w:sz w:val="21"/>
                      <w:szCs w:val="21"/>
                    </w:rPr>
                  </w:pPr>
                  <w:r>
                    <w:rPr>
                      <w:rFonts w:cs="Times New Roman"/>
                      <w:b w:val="0"/>
                      <w:bCs/>
                      <w:color w:val="auto"/>
                      <w:sz w:val="21"/>
                      <w:szCs w:val="21"/>
                    </w:rPr>
                    <w:t>本项目不位于</w:t>
                  </w:r>
                  <w:r>
                    <w:rPr>
                      <w:rFonts w:hint="default" w:ascii="Times New Roman" w:hAnsi="Times New Roman" w:eastAsia="宋体" w:cs="Times New Roman"/>
                      <w:b w:val="0"/>
                      <w:bCs/>
                      <w:color w:val="auto"/>
                      <w:sz w:val="21"/>
                      <w:szCs w:val="21"/>
                    </w:rPr>
                    <w:t>九大高原湖泊“两线三区”</w:t>
                  </w:r>
                  <w:r>
                    <w:rPr>
                      <w:rFonts w:hint="eastAsia" w:ascii="Times New Roman" w:hAnsi="Times New Roman" w:eastAsia="宋体" w:cs="Times New Roman"/>
                      <w:b w:val="0"/>
                      <w:bCs/>
                      <w:color w:val="auto"/>
                      <w:sz w:val="21"/>
                      <w:szCs w:val="21"/>
                      <w:lang w:val="en-US" w:eastAsia="zh-CN"/>
                    </w:rPr>
                    <w:t>内</w:t>
                  </w:r>
                  <w:r>
                    <w:rPr>
                      <w:rFonts w:cs="Times New Roman"/>
                      <w:b w:val="0"/>
                      <w:bCs/>
                      <w:color w:val="auto"/>
                      <w:sz w:val="21"/>
                      <w:szCs w:val="21"/>
                    </w:rPr>
                    <w:t>；项目不属于落后产能。</w:t>
                  </w:r>
                </w:p>
              </w:tc>
              <w:tc>
                <w:tcPr>
                  <w:tcW w:w="726" w:type="dxa"/>
                  <w:vAlign w:val="center"/>
                </w:tcPr>
                <w:p w14:paraId="63C15594">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color w:val="auto"/>
                      <w:sz w:val="21"/>
                      <w:szCs w:val="21"/>
                      <w:lang w:val="en-US" w:eastAsia="zh-CN"/>
                    </w:rPr>
                    <w:t>符合</w:t>
                  </w:r>
                </w:p>
              </w:tc>
            </w:tr>
            <w:tr w14:paraId="353E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5009B08">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0CA5AA3">
                  <w:pPr>
                    <w:autoSpaceDE w:val="0"/>
                    <w:autoSpaceDN w:val="0"/>
                    <w:adjustRightInd w:val="0"/>
                    <w:snapToGrid w:val="0"/>
                    <w:jc w:val="left"/>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禁止在合规园区外新建、扩建钢铁、石化、化工、焦化、建材、有色、制浆造纸行业中的高污染项目。禁止新建、扩建不符合国家石化、现代煤化工等产业布局规划的项目。禁止列入《云南省城镇人口密集区危险化学品生产企业搬迁改造名单》的搬迁改造企业在原址新建、扩建危险化学品生产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3031" w:type="dxa"/>
                  <w:vAlign w:val="center"/>
                </w:tcPr>
                <w:p w14:paraId="753781AD">
                  <w:pPr>
                    <w:autoSpaceDE w:val="0"/>
                    <w:autoSpaceDN w:val="0"/>
                    <w:adjustRightInd w:val="0"/>
                    <w:snapToGrid w:val="0"/>
                    <w:jc w:val="left"/>
                    <w:rPr>
                      <w:rFonts w:cs="Times New Roman"/>
                      <w:b w:val="0"/>
                      <w:bCs/>
                      <w:color w:val="auto"/>
                      <w:sz w:val="21"/>
                      <w:szCs w:val="21"/>
                    </w:rPr>
                  </w:pPr>
                  <w:r>
                    <w:rPr>
                      <w:rFonts w:hint="eastAsia"/>
                      <w:color w:val="auto"/>
                      <w:sz w:val="21"/>
                      <w:szCs w:val="21"/>
                      <w:lang w:val="en-US" w:eastAsia="zh-CN"/>
                    </w:rPr>
                    <w:t>本项目为</w:t>
                  </w:r>
                  <w:r>
                    <w:rPr>
                      <w:rFonts w:hint="default"/>
                      <w:color w:val="auto"/>
                      <w:sz w:val="21"/>
                      <w:szCs w:val="21"/>
                    </w:rPr>
                    <w:t>热力生产和供应业，</w:t>
                  </w:r>
                  <w:r>
                    <w:rPr>
                      <w:rFonts w:hint="eastAsia"/>
                      <w:color w:val="auto"/>
                      <w:sz w:val="21"/>
                      <w:szCs w:val="21"/>
                      <w:lang w:val="en-US" w:eastAsia="zh-CN"/>
                    </w:rPr>
                    <w:t>主要建设3组生物质蒸汽发生器供应蒸汽，不属于</w:t>
                  </w:r>
                  <w:r>
                    <w:rPr>
                      <w:rFonts w:hint="default" w:ascii="Times New Roman" w:hAnsi="Times New Roman" w:eastAsia="宋体" w:cs="Times New Roman"/>
                      <w:b w:val="0"/>
                      <w:bCs/>
                      <w:color w:val="auto"/>
                      <w:sz w:val="21"/>
                      <w:szCs w:val="21"/>
                    </w:rPr>
                    <w:t>危险化学品生产项</w:t>
                  </w:r>
                  <w:r>
                    <w:rPr>
                      <w:rFonts w:hint="eastAsia" w:ascii="Times New Roman" w:hAnsi="Times New Roman" w:eastAsia="宋体" w:cs="Times New Roman"/>
                      <w:b w:val="0"/>
                      <w:bCs/>
                      <w:color w:val="auto"/>
                      <w:sz w:val="21"/>
                      <w:szCs w:val="21"/>
                      <w:lang w:val="en-US" w:eastAsia="zh-CN"/>
                    </w:rPr>
                    <w:t>目，不属于“两高”项目。</w:t>
                  </w:r>
                </w:p>
              </w:tc>
              <w:tc>
                <w:tcPr>
                  <w:tcW w:w="726" w:type="dxa"/>
                  <w:vAlign w:val="center"/>
                </w:tcPr>
                <w:p w14:paraId="562DD102">
                  <w:pPr>
                    <w:autoSpaceDE w:val="0"/>
                    <w:autoSpaceDN w:val="0"/>
                    <w:adjustRightInd w:val="0"/>
                    <w:snapToGrid w:val="0"/>
                    <w:jc w:val="center"/>
                    <w:rPr>
                      <w:rFonts w:hint="eastAsia"/>
                      <w:color w:val="auto"/>
                      <w:sz w:val="21"/>
                      <w:szCs w:val="21"/>
                      <w:lang w:val="en-US" w:eastAsia="zh-CN"/>
                    </w:rPr>
                  </w:pPr>
                  <w:r>
                    <w:rPr>
                      <w:rFonts w:hint="eastAsia"/>
                      <w:color w:val="auto"/>
                      <w:sz w:val="21"/>
                      <w:szCs w:val="21"/>
                      <w:lang w:val="en-US" w:eastAsia="zh-CN"/>
                    </w:rPr>
                    <w:t>符合</w:t>
                  </w:r>
                </w:p>
              </w:tc>
            </w:tr>
            <w:tr w14:paraId="1AF8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65AFCB7F">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57C9D765">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4.禁止在九大高原湖泊（抚仙湖、星云湖、杞麓湖）流域内新建、改建、扩建污染环境、高耗水、高耗能、破坏生态平衡和自然景观的项目。</w:t>
                  </w:r>
                </w:p>
              </w:tc>
              <w:tc>
                <w:tcPr>
                  <w:tcW w:w="3031" w:type="dxa"/>
                  <w:vAlign w:val="center"/>
                </w:tcPr>
                <w:p w14:paraId="73934FB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textAlignment w:val="auto"/>
                    <w:rPr>
                      <w:rFonts w:hint="eastAsia"/>
                      <w:color w:val="auto"/>
                      <w:sz w:val="21"/>
                      <w:szCs w:val="21"/>
                      <w:lang w:val="en-US" w:eastAsia="zh-CN"/>
                    </w:rPr>
                  </w:pPr>
                  <w:r>
                    <w:rPr>
                      <w:rFonts w:cs="Times New Roman"/>
                      <w:b w:val="0"/>
                      <w:bCs/>
                      <w:color w:val="auto"/>
                      <w:sz w:val="21"/>
                      <w:szCs w:val="21"/>
                    </w:rPr>
                    <w:t>本项目不位于</w:t>
                  </w:r>
                  <w:r>
                    <w:rPr>
                      <w:rFonts w:hint="default" w:ascii="Times New Roman" w:hAnsi="Times New Roman" w:eastAsia="宋体" w:cs="Times New Roman"/>
                      <w:b w:val="0"/>
                      <w:bCs/>
                      <w:color w:val="auto"/>
                      <w:sz w:val="21"/>
                      <w:szCs w:val="21"/>
                    </w:rPr>
                    <w:t>九大高原湖泊</w:t>
                  </w:r>
                  <w:r>
                    <w:rPr>
                      <w:rFonts w:hint="eastAsia" w:ascii="Times New Roman" w:hAnsi="Times New Roman" w:eastAsia="宋体" w:cs="Times New Roman"/>
                      <w:b w:val="0"/>
                      <w:bCs/>
                      <w:color w:val="auto"/>
                      <w:sz w:val="21"/>
                      <w:szCs w:val="21"/>
                      <w:lang w:val="en-US" w:eastAsia="zh-CN"/>
                    </w:rPr>
                    <w:t>流域内</w:t>
                  </w:r>
                  <w:r>
                    <w:rPr>
                      <w:rFonts w:hint="eastAsia"/>
                      <w:color w:val="auto"/>
                      <w:sz w:val="21"/>
                      <w:szCs w:val="21"/>
                      <w:highlight w:val="none"/>
                      <w:lang w:val="en-US" w:eastAsia="zh-CN"/>
                    </w:rPr>
                    <w:t>。</w:t>
                  </w:r>
                </w:p>
              </w:tc>
              <w:tc>
                <w:tcPr>
                  <w:tcW w:w="726" w:type="dxa"/>
                  <w:vAlign w:val="center"/>
                </w:tcPr>
                <w:p w14:paraId="2581C6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19F0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B7E7B5A">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EF918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5.落实云南省碳达峰碳中和相关要求，处理好发展和减排、整体和局部、长远目标和短期目标、政府和市场的关系，坚定不移走生态优先、绿色低碳的高质量发展道路。</w:t>
                  </w:r>
                </w:p>
              </w:tc>
              <w:tc>
                <w:tcPr>
                  <w:tcW w:w="3031" w:type="dxa"/>
                  <w:vAlign w:val="center"/>
                </w:tcPr>
                <w:p w14:paraId="556DDF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本项目不涉及</w:t>
                  </w:r>
                </w:p>
              </w:tc>
              <w:tc>
                <w:tcPr>
                  <w:tcW w:w="726" w:type="dxa"/>
                  <w:vAlign w:val="center"/>
                </w:tcPr>
                <w:p w14:paraId="797C3B4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r>
            <w:tr w14:paraId="6DC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34DB7EF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污染物排放管控</w:t>
                  </w:r>
                </w:p>
              </w:tc>
              <w:tc>
                <w:tcPr>
                  <w:tcW w:w="3211" w:type="dxa"/>
                  <w:vAlign w:val="center"/>
                </w:tcPr>
                <w:p w14:paraId="6E020458">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1.严格落实强制性清洁生产审核要求，引导重点行业实施清洁生产改造，到2025年底，重点行业企业基本达到国内清洁生产先进水平。</w:t>
                  </w:r>
                </w:p>
              </w:tc>
              <w:tc>
                <w:tcPr>
                  <w:tcW w:w="3031" w:type="dxa"/>
                  <w:vAlign w:val="center"/>
                </w:tcPr>
                <w:p w14:paraId="56DB41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本项目不涉及</w:t>
                  </w:r>
                </w:p>
              </w:tc>
              <w:tc>
                <w:tcPr>
                  <w:tcW w:w="726" w:type="dxa"/>
                  <w:vAlign w:val="center"/>
                </w:tcPr>
                <w:p w14:paraId="3BEDC2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7DF3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0E5E69A7">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3CAF2292">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加大“三湖”（抚仙湖、星云湖、杞麓湖）及“两江”（南盘江干流、红河水系玉溪段）流域的保护和治理，推进流域环湖截污治污，加强湖泊内源污染风险防范，开展污水处理提质增效、农业面源污染治理、入河排污口整治、开发区污染治理、“三磷”和重金属行业排查等专项行动，建立水环境质量管理长效机制，持续巩固治理成效。持续打好城市黑臭水体治理攻坚战，有效控制入河污染物排放，强化溯源整治，推进城镇污水管网全覆盖。</w:t>
                  </w:r>
                </w:p>
              </w:tc>
              <w:tc>
                <w:tcPr>
                  <w:tcW w:w="3031" w:type="dxa"/>
                  <w:vAlign w:val="center"/>
                </w:tcPr>
                <w:p w14:paraId="5C9A1AB2">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eastAsia"/>
                      <w:color w:val="auto"/>
                      <w:sz w:val="21"/>
                      <w:szCs w:val="21"/>
                      <w:lang w:val="en-US" w:eastAsia="zh-CN"/>
                    </w:rPr>
                  </w:pPr>
                  <w:r>
                    <w:rPr>
                      <w:rFonts w:hint="eastAsia"/>
                      <w:b w:val="0"/>
                      <w:bCs/>
                      <w:color w:val="auto"/>
                      <w:sz w:val="21"/>
                      <w:szCs w:val="21"/>
                      <w:lang w:val="en-US" w:eastAsia="zh-CN"/>
                    </w:rPr>
                    <w:t>项目产生的废水主要为生活污水、蒸汽发生器排水、软水制备废水，废水产生量较小，生活污水排入钧澄公司化粪池处理后综合利用；蒸汽发生器排水、离子交换树脂再生废水经絮凝沉淀后排入钧澄公司冷却循环水池处理后循环使用，项目废水不外排。</w:t>
                  </w:r>
                </w:p>
              </w:tc>
              <w:tc>
                <w:tcPr>
                  <w:tcW w:w="726" w:type="dxa"/>
                  <w:vAlign w:val="center"/>
                </w:tcPr>
                <w:p w14:paraId="1BCE551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2279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289C79D2">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F7F9B2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highlight w:val="none"/>
                    </w:rPr>
                    <w:t>3.严格保护城乡饮用水水源地，整治饮用水水源保护区内的污染源，确保饮水安全。</w:t>
                  </w:r>
                </w:p>
              </w:tc>
              <w:tc>
                <w:tcPr>
                  <w:tcW w:w="3031" w:type="dxa"/>
                  <w:vAlign w:val="center"/>
                </w:tcPr>
                <w:p w14:paraId="08F854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本项目不涉及</w:t>
                  </w:r>
                </w:p>
              </w:tc>
              <w:tc>
                <w:tcPr>
                  <w:tcW w:w="726" w:type="dxa"/>
                  <w:vAlign w:val="center"/>
                </w:tcPr>
                <w:p w14:paraId="535DE1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r>
            <w:tr w14:paraId="70E9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A8F1840">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B1812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开展细颗粒物和臭氧协同控制、挥发性有机物和氮氧化物协同减排。石化、化工、包装印刷、工业涂装等VOCs排放重点源，纳入重点排污单位名录，推进挥发性有机物综合治理，实施原辅材料和产品源头替代工程，排污口安装自动监控设施。推进运输结构调整，开展清洁柴油车（机）、清洁油品、车用尿素等专项行动，开展建筑施工工地扬尘专项治理；加大餐饮油烟污染、恶臭异味治理力度，强化秸秆综合利用和禁烧管控。推动有色金属、钢铁、磷化工、建材等重点行业节能降碳升级改造，淘汰落后工艺技术和生产装置，实施煤电、水泥、焦化企业超低排放改造，到2025年，钢铁行业全面完成超低排放改造。</w:t>
                  </w:r>
                </w:p>
              </w:tc>
              <w:tc>
                <w:tcPr>
                  <w:tcW w:w="3031" w:type="dxa"/>
                  <w:vAlign w:val="center"/>
                </w:tcPr>
                <w:p w14:paraId="722C064D">
                  <w:pPr>
                    <w:keepNext w:val="0"/>
                    <w:keepLines w:val="0"/>
                    <w:suppressLineNumbers w:val="0"/>
                    <w:autoSpaceDE w:val="0"/>
                    <w:autoSpaceDN w:val="0"/>
                    <w:adjustRightInd w:val="0"/>
                    <w:snapToGrid w:val="0"/>
                    <w:spacing w:before="0" w:beforeAutospacing="0" w:after="0" w:afterAutospacing="0"/>
                    <w:ind w:left="0" w:leftChars="0" w:right="0" w:rightChars="0"/>
                    <w:jc w:val="both"/>
                    <w:rPr>
                      <w:rFonts w:hint="eastAsia"/>
                      <w:color w:val="auto"/>
                      <w:sz w:val="21"/>
                      <w:szCs w:val="21"/>
                      <w:lang w:val="en-US" w:eastAsia="zh-CN"/>
                    </w:rPr>
                  </w:pPr>
                  <w:r>
                    <w:rPr>
                      <w:rFonts w:hint="default" w:ascii="Times New Roman" w:hAnsi="Times New Roman" w:eastAsia="宋体" w:cs="Times New Roman"/>
                      <w:b w:val="0"/>
                      <w:bCs/>
                      <w:color w:val="auto"/>
                      <w:sz w:val="21"/>
                      <w:szCs w:val="21"/>
                      <w:lang w:val="en-US" w:eastAsia="zh-CN"/>
                    </w:rPr>
                    <w:t>本</w:t>
                  </w:r>
                  <w:r>
                    <w:rPr>
                      <w:rFonts w:hint="eastAsia" w:ascii="Times New Roman" w:hAnsi="Times New Roman" w:cs="Times New Roman"/>
                      <w:color w:val="auto"/>
                      <w:sz w:val="21"/>
                      <w:szCs w:val="21"/>
                      <w:highlight w:val="none"/>
                      <w:lang w:val="en-US" w:eastAsia="zh-CN"/>
                    </w:rPr>
                    <w:t>项目</w:t>
                  </w:r>
                  <w:r>
                    <w:rPr>
                      <w:rFonts w:hint="eastAsia" w:ascii="Times New Roman" w:hAnsi="Times New Roman" w:eastAsia="宋体" w:cs="Times New Roman"/>
                      <w:b w:val="0"/>
                      <w:bCs/>
                      <w:color w:val="auto"/>
                      <w:sz w:val="21"/>
                      <w:szCs w:val="21"/>
                      <w:lang w:val="en-US" w:eastAsia="zh-CN"/>
                    </w:rPr>
                    <w:t>生物质蒸汽发生器</w:t>
                  </w:r>
                  <w:r>
                    <w:rPr>
                      <w:rFonts w:hint="default" w:ascii="Times New Roman" w:hAnsi="Times New Roman" w:eastAsia="宋体" w:cs="Times New Roman"/>
                      <w:b w:val="0"/>
                      <w:bCs/>
                      <w:color w:val="auto"/>
                      <w:sz w:val="21"/>
                      <w:szCs w:val="21"/>
                      <w:lang w:val="en-US" w:eastAsia="zh-CN"/>
                    </w:rPr>
                    <w:t>废气采用低氮燃烧</w:t>
                  </w:r>
                  <w:r>
                    <w:rPr>
                      <w:rFonts w:hint="eastAsia" w:ascii="Times New Roman" w:hAnsi="Times New Roman" w:cs="Times New Roman"/>
                      <w:b w:val="0"/>
                      <w:bCs/>
                      <w:color w:val="auto"/>
                      <w:sz w:val="21"/>
                      <w:szCs w:val="21"/>
                      <w:lang w:val="en-US" w:eastAsia="zh-CN"/>
                    </w:rPr>
                    <w:t>技术，减少氮氧化物的排放，颗粒物采用</w:t>
                  </w:r>
                  <w:r>
                    <w:rPr>
                      <w:rFonts w:hint="default" w:ascii="Times New Roman" w:hAnsi="Times New Roman" w:eastAsia="宋体" w:cs="Times New Roman"/>
                      <w:b w:val="0"/>
                      <w:bCs/>
                      <w:color w:val="auto"/>
                      <w:sz w:val="21"/>
                      <w:szCs w:val="21"/>
                      <w:lang w:val="en-US" w:eastAsia="zh-CN"/>
                    </w:rPr>
                    <w:t>旋风除尘+布袋除尘器处理后外排</w:t>
                  </w:r>
                  <w:r>
                    <w:rPr>
                      <w:rFonts w:hint="eastAsia" w:ascii="Times New Roman" w:cs="Times New Roman"/>
                      <w:color w:val="auto"/>
                      <w:sz w:val="21"/>
                      <w:szCs w:val="21"/>
                      <w:highlight w:val="none"/>
                      <w:vertAlign w:val="baseline"/>
                      <w:lang w:val="en-US" w:eastAsia="zh-CN"/>
                    </w:rPr>
                    <w:t>，采取的废气治理技术为可行技术，</w:t>
                  </w:r>
                  <w:r>
                    <w:rPr>
                      <w:rFonts w:hint="default" w:ascii="Times New Roman" w:hAnsi="Times New Roman" w:eastAsia="宋体" w:cs="Times New Roman"/>
                      <w:color w:val="auto"/>
                      <w:sz w:val="21"/>
                      <w:szCs w:val="21"/>
                      <w:highlight w:val="none"/>
                      <w:vertAlign w:val="baseline"/>
                      <w:lang w:val="en-US" w:eastAsia="zh-CN"/>
                    </w:rPr>
                    <w:t>能够保证废气达标排放</w:t>
                  </w:r>
                  <w:r>
                    <w:rPr>
                      <w:color w:val="auto"/>
                      <w:sz w:val="21"/>
                      <w:szCs w:val="21"/>
                      <w:highlight w:val="none"/>
                    </w:rPr>
                    <w:t>，不会对区域大气环境质量造成影响</w:t>
                  </w:r>
                  <w:r>
                    <w:rPr>
                      <w:rFonts w:hint="default" w:ascii="Times New Roman" w:hAnsi="Times New Roman" w:cs="Times New Roman"/>
                      <w:color w:val="auto"/>
                      <w:sz w:val="21"/>
                      <w:szCs w:val="21"/>
                      <w:highlight w:val="none"/>
                      <w:lang w:val="en-US" w:eastAsia="zh-CN"/>
                    </w:rPr>
                    <w:t>。</w:t>
                  </w:r>
                </w:p>
              </w:tc>
              <w:tc>
                <w:tcPr>
                  <w:tcW w:w="726" w:type="dxa"/>
                  <w:vAlign w:val="center"/>
                </w:tcPr>
                <w:p w14:paraId="50B977F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027F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68448EA">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669913B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5.加大环境污染物减排力度，到2025年，实现氮氧化物减排1224吨，挥发性有机物减排1393吨，化学需氧量减排2461吨，氨氮减排230吨。</w:t>
                  </w:r>
                </w:p>
              </w:tc>
              <w:tc>
                <w:tcPr>
                  <w:tcW w:w="3031" w:type="dxa"/>
                  <w:vAlign w:val="center"/>
                </w:tcPr>
                <w:p w14:paraId="2BE7B7E8">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color w:val="auto"/>
                      <w:sz w:val="21"/>
                      <w:szCs w:val="21"/>
                      <w:lang w:val="en-US" w:eastAsia="zh-CN"/>
                    </w:rPr>
                  </w:pPr>
                  <w:r>
                    <w:rPr>
                      <w:rFonts w:hint="default" w:ascii="Times New Roman" w:hAnsi="Times New Roman" w:eastAsia="宋体" w:cs="Times New Roman"/>
                      <w:b w:val="0"/>
                      <w:bCs/>
                      <w:color w:val="auto"/>
                      <w:sz w:val="21"/>
                      <w:szCs w:val="21"/>
                      <w:lang w:val="en-US" w:eastAsia="zh-CN"/>
                    </w:rPr>
                    <w:t>项目</w:t>
                  </w:r>
                  <w:r>
                    <w:rPr>
                      <w:rFonts w:hint="eastAsia" w:ascii="Times New Roman" w:hAnsi="Times New Roman" w:eastAsia="宋体" w:cs="Times New Roman"/>
                      <w:b w:val="0"/>
                      <w:bCs/>
                      <w:color w:val="auto"/>
                      <w:sz w:val="21"/>
                      <w:szCs w:val="21"/>
                      <w:lang w:val="en-US" w:eastAsia="zh-CN"/>
                    </w:rPr>
                    <w:t>生物质蒸汽发生器</w:t>
                  </w:r>
                  <w:r>
                    <w:rPr>
                      <w:rFonts w:hint="default" w:ascii="Times New Roman" w:hAnsi="Times New Roman" w:eastAsia="宋体" w:cs="Times New Roman"/>
                      <w:b w:val="0"/>
                      <w:bCs/>
                      <w:color w:val="auto"/>
                      <w:sz w:val="21"/>
                      <w:szCs w:val="21"/>
                      <w:lang w:val="en-US" w:eastAsia="zh-CN"/>
                    </w:rPr>
                    <w:t>废气采用低氮燃烧</w:t>
                  </w:r>
                  <w:r>
                    <w:rPr>
                      <w:rFonts w:hint="eastAsia" w:ascii="Times New Roman" w:hAnsi="Times New Roman" w:cs="Times New Roman"/>
                      <w:b w:val="0"/>
                      <w:bCs/>
                      <w:color w:val="auto"/>
                      <w:sz w:val="21"/>
                      <w:szCs w:val="21"/>
                      <w:lang w:val="en-US" w:eastAsia="zh-CN"/>
                    </w:rPr>
                    <w:t>技术，减少氮氧化物的排放，颗粒物采用</w:t>
                  </w:r>
                  <w:r>
                    <w:rPr>
                      <w:rFonts w:hint="default" w:ascii="Times New Roman" w:hAnsi="Times New Roman" w:eastAsia="宋体" w:cs="Times New Roman"/>
                      <w:b w:val="0"/>
                      <w:bCs/>
                      <w:color w:val="auto"/>
                      <w:sz w:val="21"/>
                      <w:szCs w:val="21"/>
                      <w:lang w:val="en-US" w:eastAsia="zh-CN"/>
                    </w:rPr>
                    <w:t>旋风除尘+布袋除尘器处理后外排，采取的废气治理技术为可行技术，能够保证废气达标排放，不会对区域大气环境质量造成影响。</w:t>
                  </w:r>
                </w:p>
              </w:tc>
              <w:tc>
                <w:tcPr>
                  <w:tcW w:w="726" w:type="dxa"/>
                  <w:vAlign w:val="center"/>
                </w:tcPr>
                <w:p w14:paraId="5EB74A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36FA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CCC0991">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469286D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严格管控农用地，不得在特定农产品禁止生产区域种植食用农产品；安全利用农用地，制定受污染耕地安全利用方案，降低农产品超标风险。合理规划污染地块土地用途，从严管控农药、化工、有色金属等行业企业重度污染地块开发利用，对列入建设用地土壤污染风险管控和修复名录的地块不得作为住宅、公共管理与公共服务用地，不得办理土地征收、收回、收购、土地供应以及改变土地用途等手续，应当依法开展土壤污染状况调查、治理与修复，并符合相应规划用地土壤环境质量要求后，方可进入用地程序。</w:t>
                  </w:r>
                </w:p>
              </w:tc>
              <w:tc>
                <w:tcPr>
                  <w:tcW w:w="3031" w:type="dxa"/>
                  <w:vAlign w:val="center"/>
                </w:tcPr>
                <w:p w14:paraId="0B71AA53">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eastAsia"/>
                      <w:color w:val="auto"/>
                      <w:sz w:val="21"/>
                      <w:szCs w:val="21"/>
                      <w:lang w:val="en-US" w:eastAsia="zh-CN"/>
                    </w:rPr>
                  </w:pPr>
                  <w:r>
                    <w:rPr>
                      <w:rFonts w:hint="default" w:ascii="Times New Roman" w:hAnsi="Times New Roman" w:eastAsia="宋体" w:cs="Times New Roman"/>
                      <w:b w:val="0"/>
                      <w:bCs/>
                      <w:color w:val="auto"/>
                      <w:sz w:val="21"/>
                      <w:szCs w:val="21"/>
                      <w:lang w:val="en-US" w:eastAsia="zh-CN"/>
                    </w:rPr>
                    <w:t>本项目不涉及</w:t>
                  </w:r>
                </w:p>
              </w:tc>
              <w:tc>
                <w:tcPr>
                  <w:tcW w:w="726" w:type="dxa"/>
                  <w:vAlign w:val="center"/>
                </w:tcPr>
                <w:p w14:paraId="30DBD5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r>
            <w:tr w14:paraId="515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5E42EBDC">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6C0AC3C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加快“无废城市”建设，产生工业固体废物的单位应当建立健全工业固体废物产生、收集、贮存、运输、利用、处置全过程的污染环境防治责任制度，按照国家有关规定建立工业固体废物管理台账，加强重金属污染物排放管理，落实区域“减量替代”和“等量替代”要求，重金属污染物排放量2025年比2020年削减4%。</w:t>
                  </w:r>
                </w:p>
              </w:tc>
              <w:tc>
                <w:tcPr>
                  <w:tcW w:w="3031" w:type="dxa"/>
                  <w:vAlign w:val="center"/>
                </w:tcPr>
                <w:p w14:paraId="1E93D757">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color w:val="auto"/>
                      <w:sz w:val="21"/>
                      <w:szCs w:val="21"/>
                      <w:lang w:val="en-US" w:eastAsia="zh-CN"/>
                    </w:rPr>
                  </w:pPr>
                  <w:r>
                    <w:rPr>
                      <w:rFonts w:hint="default" w:ascii="Times New Roman" w:hAnsi="Times New Roman" w:eastAsia="宋体" w:cs="Times New Roman"/>
                      <w:b w:val="0"/>
                      <w:bCs/>
                      <w:color w:val="auto"/>
                      <w:sz w:val="21"/>
                      <w:szCs w:val="21"/>
                    </w:rPr>
                    <w:t>项目产生的固体废物均通过建立污染环境防治责任制度进行管理，按照国家规定建立工业固体废物管理台账。</w:t>
                  </w:r>
                  <w:r>
                    <w:rPr>
                      <w:rFonts w:hint="default" w:ascii="Times New Roman" w:hAnsi="Times New Roman" w:eastAsia="宋体" w:cs="Times New Roman"/>
                      <w:b w:val="0"/>
                      <w:bCs/>
                      <w:color w:val="auto"/>
                      <w:sz w:val="21"/>
                      <w:szCs w:val="21"/>
                      <w:lang w:val="en-US" w:eastAsia="zh-CN"/>
                    </w:rPr>
                    <w:t>产生的固体废物均得到100%处置。</w:t>
                  </w:r>
                </w:p>
              </w:tc>
              <w:tc>
                <w:tcPr>
                  <w:tcW w:w="726" w:type="dxa"/>
                  <w:vAlign w:val="center"/>
                </w:tcPr>
                <w:p w14:paraId="3537F2C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2E54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EAF8898">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AEF94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到2025年，中心城区细颗粒物（PM2.5）平均浓度控制在21微克/立方米以内，城市空气质量优良天数比率达到98.5%以上，坚决防范重度及以上污染天气发生，全市地表水国控断面优良水体比例达80%，消除城市黑臭水体，消除劣Ⅴ类水体。</w:t>
                  </w:r>
                </w:p>
              </w:tc>
              <w:tc>
                <w:tcPr>
                  <w:tcW w:w="3031" w:type="dxa"/>
                  <w:vAlign w:val="center"/>
                </w:tcPr>
                <w:p w14:paraId="29DBEE02">
                  <w:pPr>
                    <w:keepNext w:val="0"/>
                    <w:keepLines w:val="0"/>
                    <w:suppressLineNumbers w:val="0"/>
                    <w:spacing w:before="0" w:beforeAutospacing="0" w:after="0" w:afterAutospacing="0"/>
                    <w:ind w:left="0" w:leftChars="0" w:right="0" w:rightChars="0"/>
                    <w:jc w:val="left"/>
                    <w:rPr>
                      <w:rFonts w:hint="eastAsia"/>
                      <w:color w:val="auto"/>
                      <w:sz w:val="21"/>
                      <w:szCs w:val="21"/>
                      <w:lang w:val="en-US" w:eastAsia="zh-CN"/>
                    </w:rPr>
                  </w:pPr>
                  <w:r>
                    <w:rPr>
                      <w:rFonts w:hint="default" w:ascii="Times New Roman" w:hAnsi="Times New Roman" w:eastAsia="宋体" w:cs="Times New Roman"/>
                      <w:color w:val="auto"/>
                      <w:kern w:val="0"/>
                      <w:sz w:val="21"/>
                      <w:szCs w:val="21"/>
                      <w:lang w:bidi="ar"/>
                    </w:rPr>
                    <w:t>项目在运营期间采取了严格的环境保护措施，包括废气治理、废水</w:t>
                  </w:r>
                  <w:r>
                    <w:rPr>
                      <w:rFonts w:hint="default" w:ascii="Times New Roman" w:hAnsi="Times New Roman" w:eastAsia="宋体" w:cs="Times New Roman"/>
                      <w:color w:val="auto"/>
                      <w:kern w:val="0"/>
                      <w:sz w:val="21"/>
                      <w:szCs w:val="21"/>
                      <w:lang w:val="en-US" w:eastAsia="zh-CN" w:bidi="ar"/>
                    </w:rPr>
                    <w:t>处理</w:t>
                  </w:r>
                  <w:r>
                    <w:rPr>
                      <w:rFonts w:hint="default" w:ascii="Times New Roman" w:hAnsi="Times New Roman" w:eastAsia="宋体" w:cs="Times New Roman"/>
                      <w:color w:val="auto"/>
                      <w:kern w:val="0"/>
                      <w:sz w:val="21"/>
                      <w:szCs w:val="21"/>
                      <w:lang w:bidi="ar"/>
                    </w:rPr>
                    <w:t>、固体废物回收利用等，有效控制了污染物的排放。</w:t>
                  </w:r>
                  <w:r>
                    <w:rPr>
                      <w:rFonts w:hint="default" w:ascii="Times New Roman" w:hAnsi="Times New Roman" w:eastAsia="宋体" w:cs="Times New Roman"/>
                      <w:b w:val="0"/>
                      <w:bCs/>
                      <w:color w:val="auto"/>
                      <w:sz w:val="21"/>
                      <w:szCs w:val="21"/>
                      <w:lang w:val="en-US" w:eastAsia="zh-CN"/>
                    </w:rPr>
                    <w:t>锅炉废气采用低氮燃烧</w:t>
                  </w:r>
                  <w:r>
                    <w:rPr>
                      <w:rFonts w:hint="eastAsia" w:ascii="Times New Roman" w:hAnsi="Times New Roman" w:cs="Times New Roman"/>
                      <w:b w:val="0"/>
                      <w:bCs/>
                      <w:color w:val="auto"/>
                      <w:sz w:val="21"/>
                      <w:szCs w:val="21"/>
                      <w:lang w:val="en-US" w:eastAsia="zh-CN"/>
                    </w:rPr>
                    <w:t>技术，减少氮氧化物的排放，颗粒物采用</w:t>
                  </w:r>
                  <w:r>
                    <w:rPr>
                      <w:rFonts w:hint="default" w:ascii="Times New Roman" w:hAnsi="Times New Roman" w:eastAsia="宋体" w:cs="Times New Roman"/>
                      <w:b w:val="0"/>
                      <w:bCs/>
                      <w:color w:val="auto"/>
                      <w:sz w:val="21"/>
                      <w:szCs w:val="21"/>
                      <w:lang w:val="en-US" w:eastAsia="zh-CN"/>
                    </w:rPr>
                    <w:t>旋风除尘+布袋除尘器处理后外排，采取的废气治理技术为可行技术，能够保证废气达标排放，不会对区域大气环境质量造成影响</w:t>
                  </w:r>
                  <w:r>
                    <w:rPr>
                      <w:rFonts w:hint="default" w:ascii="Times New Roman" w:hAnsi="Times New Roman" w:eastAsia="宋体" w:cs="Times New Roman"/>
                      <w:color w:val="auto"/>
                      <w:kern w:val="0"/>
                      <w:sz w:val="21"/>
                      <w:szCs w:val="21"/>
                      <w:lang w:val="en-US" w:eastAsia="zh-CN" w:bidi="ar"/>
                    </w:rPr>
                    <w:t>。</w:t>
                  </w:r>
                </w:p>
              </w:tc>
              <w:tc>
                <w:tcPr>
                  <w:tcW w:w="726" w:type="dxa"/>
                  <w:vAlign w:val="center"/>
                </w:tcPr>
                <w:p w14:paraId="6C1D54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7686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67F2583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ascii="Times New Roman" w:hAnsi="Times New Roman" w:eastAsia="宋体" w:cs="Times New Roman"/>
                      <w:color w:val="auto"/>
                      <w:sz w:val="21"/>
                      <w:szCs w:val="21"/>
                    </w:rPr>
                    <w:t>环境风险防控</w:t>
                  </w:r>
                </w:p>
              </w:tc>
              <w:tc>
                <w:tcPr>
                  <w:tcW w:w="3211" w:type="dxa"/>
                  <w:vAlign w:val="center"/>
                </w:tcPr>
                <w:p w14:paraId="2AFA7D7D">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1.强化与其他滇中城市的大气、水污染防治联防联控协作机制，加强区域内重污染天气和跨界水体风险应急联动。</w:t>
                  </w:r>
                </w:p>
              </w:tc>
              <w:tc>
                <w:tcPr>
                  <w:tcW w:w="3031" w:type="dxa"/>
                  <w:vAlign w:val="center"/>
                </w:tcPr>
                <w:p w14:paraId="3DF5C4C9">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b w:val="0"/>
                      <w:bCs w:val="0"/>
                      <w:color w:val="auto"/>
                      <w:sz w:val="21"/>
                      <w:szCs w:val="21"/>
                      <w:lang w:val="en-US" w:eastAsia="zh-CN"/>
                    </w:rPr>
                    <w:t>企业将积极配合环保主管部门与其他滇中城市的大气污染防治联防联控协作，加强区域内重污染天气和跨界水体风险应急联动。</w:t>
                  </w:r>
                </w:p>
              </w:tc>
              <w:tc>
                <w:tcPr>
                  <w:tcW w:w="726" w:type="dxa"/>
                  <w:vAlign w:val="center"/>
                </w:tcPr>
                <w:p w14:paraId="5FD28A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73E6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A51A2EE">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99D58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开展涉危险废物涉重金属企业、化工园区等重点领域环境风险调查评估，加强危险化学品运输全链条安全监管。完善环境应急管理体系，提升市县两级环境应急响应能力，推进应急物资库建设。开展涉铊企业排查整治行动。建立“平战结合”医疗废物应急处置体系。</w:t>
                  </w:r>
                </w:p>
              </w:tc>
              <w:tc>
                <w:tcPr>
                  <w:tcW w:w="3031" w:type="dxa"/>
                  <w:vAlign w:val="center"/>
                </w:tcPr>
                <w:p w14:paraId="7DC9E02C">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bidi="ar"/>
                    </w:rPr>
                  </w:pPr>
                  <w:r>
                    <w:rPr>
                      <w:rFonts w:hint="eastAsia" w:ascii="Times New Roman" w:hAnsi="Times New Roman" w:cs="Times New Roman"/>
                      <w:b w:val="0"/>
                      <w:bCs/>
                      <w:color w:val="auto"/>
                      <w:sz w:val="21"/>
                      <w:szCs w:val="21"/>
                      <w:lang w:val="en-US" w:eastAsia="zh-CN"/>
                    </w:rPr>
                    <w:t>本项目不涉及危化品的使用，不属于涉重金属企业</w:t>
                  </w:r>
                  <w:r>
                    <w:rPr>
                      <w:rFonts w:hint="default" w:ascii="Times New Roman" w:hAnsi="Times New Roman" w:eastAsia="宋体" w:cs="Times New Roman"/>
                      <w:b w:val="0"/>
                      <w:bCs/>
                      <w:color w:val="auto"/>
                      <w:sz w:val="21"/>
                      <w:szCs w:val="21"/>
                      <w:lang w:eastAsia="zh-CN"/>
                    </w:rPr>
                    <w:t>。</w:t>
                  </w:r>
                </w:p>
              </w:tc>
              <w:tc>
                <w:tcPr>
                  <w:tcW w:w="726" w:type="dxa"/>
                  <w:vAlign w:val="center"/>
                </w:tcPr>
                <w:p w14:paraId="2361AA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r>
            <w:tr w14:paraId="7DD0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19" w:type="dxa"/>
                  <w:vMerge w:val="restart"/>
                  <w:vAlign w:val="center"/>
                </w:tcPr>
                <w:p w14:paraId="292EC63D">
                  <w:pPr>
                    <w:autoSpaceDE w:val="0"/>
                    <w:autoSpaceDN w:val="0"/>
                    <w:adjustRightInd w:val="0"/>
                    <w:snapToGrid w:val="0"/>
                    <w:jc w:val="left"/>
                    <w:rPr>
                      <w:rFonts w:hint="eastAsia" w:ascii="宋体" w:hAnsi="宋体" w:eastAsia="宋体" w:cs="宋体"/>
                      <w:color w:val="auto"/>
                      <w:kern w:val="0"/>
                      <w:sz w:val="21"/>
                      <w:szCs w:val="21"/>
                      <w:highlight w:val="none"/>
                    </w:rPr>
                  </w:pPr>
                  <w:r>
                    <w:rPr>
                      <w:rFonts w:hint="default" w:ascii="Times New Roman" w:hAnsi="Times New Roman" w:eastAsia="宋体" w:cs="Times New Roman"/>
                      <w:color w:val="auto"/>
                      <w:sz w:val="21"/>
                      <w:szCs w:val="21"/>
                    </w:rPr>
                    <w:t>资源开发利用效率</w:t>
                  </w:r>
                </w:p>
              </w:tc>
              <w:tc>
                <w:tcPr>
                  <w:tcW w:w="3211" w:type="dxa"/>
                  <w:vAlign w:val="center"/>
                </w:tcPr>
                <w:p w14:paraId="1F93F299">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1.降低水、土地、能源、矿产资源消耗强度，强化约束性指标管理。</w:t>
                  </w:r>
                </w:p>
              </w:tc>
              <w:tc>
                <w:tcPr>
                  <w:tcW w:w="3031" w:type="dxa"/>
                  <w:vAlign w:val="center"/>
                </w:tcPr>
                <w:p w14:paraId="35D38851">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cs="Times New Roman"/>
                      <w:b w:val="0"/>
                      <w:bCs/>
                      <w:color w:val="auto"/>
                      <w:sz w:val="21"/>
                      <w:szCs w:val="21"/>
                      <w:lang w:val="en-US" w:eastAsia="zh-CN"/>
                    </w:rPr>
                  </w:pPr>
                  <w:r>
                    <w:rPr>
                      <w:rFonts w:hint="default"/>
                      <w:b w:val="0"/>
                      <w:bCs/>
                      <w:color w:val="auto"/>
                      <w:sz w:val="21"/>
                      <w:szCs w:val="21"/>
                      <w:lang w:val="en-US"/>
                    </w:rPr>
                    <w:t>本项目供水搭接</w:t>
                  </w:r>
                  <w:r>
                    <w:rPr>
                      <w:rFonts w:hint="default"/>
                      <w:b w:val="0"/>
                      <w:bCs/>
                      <w:color w:val="auto"/>
                      <w:sz w:val="21"/>
                      <w:szCs w:val="21"/>
                      <w:lang w:val="en-US" w:eastAsia="zh-CN"/>
                    </w:rPr>
                    <w:t>钧澄公司</w:t>
                  </w:r>
                  <w:r>
                    <w:rPr>
                      <w:rFonts w:hint="default"/>
                      <w:b w:val="0"/>
                      <w:bCs/>
                      <w:color w:val="auto"/>
                      <w:sz w:val="21"/>
                      <w:szCs w:val="21"/>
                      <w:lang w:val="en-US"/>
                    </w:rPr>
                    <w:t>供水管网，用水主要为员工生活用水、纯水制备用水，不会突破水资源利用上线；本项目不属于高耗能行业，符合能源利用上线；本项目不占用基本农田和耕地，符合当地规划要求，符合土地资源利用上线要求。</w:t>
                  </w:r>
                </w:p>
              </w:tc>
              <w:tc>
                <w:tcPr>
                  <w:tcW w:w="726" w:type="dxa"/>
                  <w:vAlign w:val="center"/>
                </w:tcPr>
                <w:p w14:paraId="6BDACD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符合</w:t>
                  </w:r>
                </w:p>
              </w:tc>
            </w:tr>
            <w:tr w14:paraId="53F3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9" w:type="dxa"/>
                  <w:vMerge w:val="continue"/>
                  <w:vAlign w:val="center"/>
                </w:tcPr>
                <w:p w14:paraId="47D700B5">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0B1C342">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2.实行最严格的水资源管理制度，严格用水总量、强度指标管理，严格取水管控，建立重点监控取水单位名录，强化重点监控取水单位管理。全市年用水总量、万元工业增加值用水量降幅等指标达到省考核要求。</w:t>
                  </w:r>
                </w:p>
              </w:tc>
              <w:tc>
                <w:tcPr>
                  <w:tcW w:w="3031" w:type="dxa"/>
                  <w:vAlign w:val="center"/>
                </w:tcPr>
                <w:p w14:paraId="4E1B8FC7">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2"/>
                      <w:sz w:val="21"/>
                      <w:szCs w:val="21"/>
                      <w:lang w:val="en-US" w:eastAsia="zh-CN" w:bidi="ar-SA"/>
                    </w:rPr>
                    <w:t>本项目不属于重点监控取水单位，用水量不触及资源利用上线，符合资源利用上线要求。</w:t>
                  </w:r>
                </w:p>
              </w:tc>
              <w:tc>
                <w:tcPr>
                  <w:tcW w:w="726" w:type="dxa"/>
                  <w:vAlign w:val="center"/>
                </w:tcPr>
                <w:p w14:paraId="67C0019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14:paraId="5E7F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9" w:type="dxa"/>
                  <w:vMerge w:val="continue"/>
                  <w:vAlign w:val="center"/>
                </w:tcPr>
                <w:p w14:paraId="59B59AD6">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37041E02">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3.坚持最严格的耕地保护制度，守住耕地保护红线。坚持节约用地，严格执行耕地占补平衡等制度，提高土地投资强度和单位面积产出水平。</w:t>
                  </w:r>
                </w:p>
              </w:tc>
              <w:tc>
                <w:tcPr>
                  <w:tcW w:w="3031" w:type="dxa"/>
                  <w:vAlign w:val="center"/>
                </w:tcPr>
                <w:p w14:paraId="2D2D3933">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sz w:val="21"/>
                      <w:szCs w:val="21"/>
                      <w:lang w:val="en-US" w:eastAsia="zh-CN"/>
                    </w:rPr>
                    <w:t>本项目用地范围不涉及占用永久基本农田。</w:t>
                  </w:r>
                </w:p>
              </w:tc>
              <w:tc>
                <w:tcPr>
                  <w:tcW w:w="726" w:type="dxa"/>
                  <w:vAlign w:val="center"/>
                </w:tcPr>
                <w:p w14:paraId="326FE7C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w:t>
                  </w:r>
                </w:p>
              </w:tc>
            </w:tr>
            <w:tr w14:paraId="0FC7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9" w:type="dxa"/>
                  <w:vMerge w:val="continue"/>
                  <w:vAlign w:val="center"/>
                </w:tcPr>
                <w:p w14:paraId="7A079582">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1DF38FB">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4.全市单位GDP二氧化碳排放累计下降率完成云南省下达的指标；单位GDP能耗持续下降，到2025年，全市单位GDP能耗累计下降率14%。</w:t>
                  </w:r>
                </w:p>
              </w:tc>
              <w:tc>
                <w:tcPr>
                  <w:tcW w:w="3031" w:type="dxa"/>
                  <w:vAlign w:val="center"/>
                </w:tcPr>
                <w:p w14:paraId="547AE4C9">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sz w:val="21"/>
                      <w:szCs w:val="21"/>
                      <w:lang w:val="en-US" w:eastAsia="zh-CN"/>
                    </w:rPr>
                    <w:t>本项目不涉及</w:t>
                  </w:r>
                </w:p>
              </w:tc>
              <w:tc>
                <w:tcPr>
                  <w:tcW w:w="726" w:type="dxa"/>
                  <w:vAlign w:val="center"/>
                </w:tcPr>
                <w:p w14:paraId="6D6E19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7862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19" w:type="dxa"/>
                  <w:vMerge w:val="continue"/>
                  <w:vAlign w:val="center"/>
                </w:tcPr>
                <w:p w14:paraId="4095B118">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078536C0">
                  <w:pPr>
                    <w:pStyle w:val="62"/>
                    <w:keepNext w:val="0"/>
                    <w:keepLines w:val="0"/>
                    <w:pageBreakBefore w:val="0"/>
                    <w:widowControl w:val="0"/>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5.高污染燃料禁燃区按照《高污染燃料目录》及当地有关禁燃区管理规定执行。</w:t>
                  </w:r>
                </w:p>
              </w:tc>
              <w:tc>
                <w:tcPr>
                  <w:tcW w:w="3031" w:type="dxa"/>
                  <w:vAlign w:val="center"/>
                </w:tcPr>
                <w:p w14:paraId="3476F243">
                  <w:pPr>
                    <w:pStyle w:val="96"/>
                    <w:spacing w:line="240" w:lineRule="auto"/>
                    <w:ind w:firstLine="0" w:firstLineChars="0"/>
                    <w:jc w:val="both"/>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sz w:val="21"/>
                      <w:szCs w:val="21"/>
                      <w:lang w:val="en-US" w:eastAsia="zh-CN"/>
                    </w:rPr>
                    <w:t>本项目所在地不属于高污染燃料禁燃区。</w:t>
                  </w:r>
                  <w:r>
                    <w:rPr>
                      <w:rFonts w:hint="eastAsia" w:ascii="宋体" w:hAnsi="宋体" w:eastAsia="宋体" w:cs="宋体"/>
                      <w:bCs/>
                      <w:color w:val="auto"/>
                      <w:kern w:val="24"/>
                      <w:szCs w:val="21"/>
                      <w:highlight w:val="none"/>
                    </w:rPr>
                    <w:t>根据关于发布《高污染燃料目录》的通知（国环规大气〔2017〕2号）</w:t>
                  </w:r>
                  <w:r>
                    <w:rPr>
                      <w:rFonts w:hint="eastAsia" w:ascii="宋体" w:hAnsi="宋体" w:eastAsia="宋体" w:cs="宋体"/>
                      <w:bCs/>
                      <w:color w:val="auto"/>
                      <w:kern w:val="24"/>
                      <w:szCs w:val="21"/>
                      <w:highlight w:val="none"/>
                      <w:lang w:eastAsia="zh-CN"/>
                    </w:rPr>
                    <w:t>：“Ⅲ类区禁止所有煤炭及其制品、油类燃料，以及非专用锅炉或未配置高效除尘设施的生物质成型燃料。”</w:t>
                  </w:r>
                  <w:r>
                    <w:rPr>
                      <w:rFonts w:hint="eastAsia" w:ascii="宋体" w:hAnsi="宋体" w:eastAsia="宋体" w:cs="宋体"/>
                      <w:bCs/>
                      <w:color w:val="auto"/>
                      <w:kern w:val="24"/>
                      <w:szCs w:val="21"/>
                      <w:highlight w:val="none"/>
                      <w:lang w:val="en-US" w:eastAsia="zh-CN"/>
                    </w:rPr>
                    <w:t>本</w:t>
                  </w:r>
                  <w:r>
                    <w:rPr>
                      <w:rFonts w:hint="eastAsia" w:ascii="宋体" w:hAnsi="宋体" w:eastAsia="宋体" w:cs="宋体"/>
                      <w:bCs/>
                      <w:color w:val="auto"/>
                      <w:kern w:val="24"/>
                      <w:szCs w:val="21"/>
                      <w:highlight w:val="none"/>
                    </w:rPr>
                    <w:t>项目</w:t>
                  </w:r>
                  <w:r>
                    <w:rPr>
                      <w:rFonts w:hint="eastAsia" w:ascii="宋体" w:hAnsi="宋体" w:cs="宋体"/>
                      <w:bCs/>
                      <w:color w:val="auto"/>
                      <w:kern w:val="24"/>
                      <w:szCs w:val="21"/>
                      <w:highlight w:val="none"/>
                      <w:lang w:val="en-US" w:eastAsia="zh-CN"/>
                    </w:rPr>
                    <w:t>生物质蒸汽发生器</w:t>
                  </w:r>
                  <w:r>
                    <w:rPr>
                      <w:rFonts w:hint="eastAsia" w:ascii="宋体" w:hAnsi="宋体" w:eastAsia="宋体" w:cs="宋体"/>
                      <w:bCs/>
                      <w:color w:val="auto"/>
                      <w:kern w:val="24"/>
                      <w:szCs w:val="21"/>
                      <w:highlight w:val="none"/>
                      <w:lang w:val="en-US" w:eastAsia="zh-CN"/>
                    </w:rPr>
                    <w:t>型号为XSJ2500-1.0-B，</w:t>
                  </w:r>
                  <w:r>
                    <w:rPr>
                      <w:rFonts w:hint="eastAsia" w:ascii="宋体" w:hAnsi="宋体" w:eastAsia="宋体" w:cs="宋体"/>
                      <w:bCs/>
                      <w:color w:val="auto"/>
                      <w:kern w:val="24"/>
                      <w:szCs w:val="21"/>
                      <w:highlight w:val="none"/>
                    </w:rPr>
                    <w:t>为专用的</w:t>
                  </w:r>
                  <w:r>
                    <w:rPr>
                      <w:rFonts w:hint="eastAsia" w:ascii="宋体" w:hAnsi="宋体" w:eastAsia="宋体" w:cs="宋体"/>
                      <w:bCs/>
                      <w:color w:val="auto"/>
                      <w:kern w:val="24"/>
                      <w:szCs w:val="21"/>
                      <w:highlight w:val="none"/>
                      <w:lang w:val="en-US" w:eastAsia="zh-CN"/>
                    </w:rPr>
                    <w:t>生物质蒸汽发生器</w:t>
                  </w:r>
                  <w:r>
                    <w:rPr>
                      <w:rFonts w:hint="eastAsia" w:ascii="宋体" w:hAnsi="宋体" w:eastAsia="宋体" w:cs="宋体"/>
                      <w:bCs/>
                      <w:color w:val="auto"/>
                      <w:kern w:val="24"/>
                      <w:szCs w:val="21"/>
                      <w:highlight w:val="none"/>
                    </w:rPr>
                    <w:t>，配置了高效除尘设施</w:t>
                  </w:r>
                  <w:r>
                    <w:rPr>
                      <w:rFonts w:hint="eastAsia" w:ascii="宋体" w:hAnsi="宋体" w:eastAsia="宋体" w:cs="宋体"/>
                      <w:bCs/>
                      <w:color w:val="auto"/>
                      <w:kern w:val="24"/>
                      <w:szCs w:val="21"/>
                      <w:highlight w:val="none"/>
                      <w:lang w:eastAsia="zh-CN"/>
                    </w:rPr>
                    <w:t>，</w:t>
                  </w:r>
                  <w:r>
                    <w:rPr>
                      <w:rFonts w:hint="eastAsia" w:ascii="宋体" w:hAnsi="宋体" w:eastAsia="宋体" w:cs="宋体"/>
                      <w:bCs/>
                      <w:color w:val="auto"/>
                      <w:kern w:val="24"/>
                      <w:szCs w:val="21"/>
                      <w:highlight w:val="none"/>
                      <w:lang w:val="en-US" w:eastAsia="zh-CN"/>
                    </w:rPr>
                    <w:t>不属于</w:t>
                  </w:r>
                  <w:r>
                    <w:rPr>
                      <w:rFonts w:hint="eastAsia" w:ascii="宋体" w:hAnsi="宋体" w:eastAsia="宋体" w:cs="宋体"/>
                      <w:bCs/>
                      <w:color w:val="auto"/>
                      <w:kern w:val="24"/>
                      <w:szCs w:val="21"/>
                      <w:highlight w:val="none"/>
                    </w:rPr>
                    <w:t>《高污染燃料目录》（国环规大气〔2017〕2号）</w:t>
                  </w:r>
                  <w:r>
                    <w:rPr>
                      <w:rFonts w:hint="eastAsia" w:ascii="宋体" w:hAnsi="宋体" w:eastAsia="宋体" w:cs="宋体"/>
                      <w:bCs/>
                      <w:color w:val="auto"/>
                      <w:kern w:val="24"/>
                      <w:szCs w:val="21"/>
                      <w:highlight w:val="none"/>
                      <w:lang w:val="en-US" w:eastAsia="zh-CN"/>
                    </w:rPr>
                    <w:t>中禁止燃用的燃料。同时，</w:t>
                  </w:r>
                  <w:r>
                    <w:rPr>
                      <w:rFonts w:hint="eastAsia" w:ascii="宋体" w:hAnsi="宋体" w:eastAsia="宋体" w:cs="宋体"/>
                      <w:color w:val="auto"/>
                      <w:highlight w:val="none"/>
                      <w:lang w:val="en-US" w:eastAsia="zh-CN"/>
                    </w:rPr>
                    <w:t>根据《玉溪市红塔区人民政府关于进一步扩大高污染燃料禁燃区的通知》，红塔区禁燃区内禁止燃用的燃料类别采用《高污染燃料目录》中I类燃料组合，具体为：（一）单台出力小于20蒸吨/小时的锅炉和民用燃煤设备燃用的：含硫量大于0.5%、灰分大于10%的煤炭及其制品；含硫量大于0.5%、挥发分大于12.0%的型煤；含硫量大于0.5%、灰分大于10.0%、挥发分大于5.0%的焦炭；含硫量大于0.5%、灰分大于10.0%、挥发分大于10.0%的兰炭；（二）石油焦、油页岩、原油、重油、渣油、煤焦油。本项目</w:t>
                  </w:r>
                  <w:r>
                    <w:rPr>
                      <w:rFonts w:hint="eastAsia" w:ascii="宋体" w:hAnsi="宋体" w:cs="宋体"/>
                      <w:color w:val="auto"/>
                      <w:highlight w:val="none"/>
                      <w:lang w:val="en-US" w:eastAsia="zh-CN"/>
                    </w:rPr>
                    <w:t>蒸汽发生器</w:t>
                  </w:r>
                  <w:r>
                    <w:rPr>
                      <w:rFonts w:hint="eastAsia" w:ascii="宋体" w:hAnsi="宋体" w:eastAsia="宋体" w:cs="宋体"/>
                      <w:color w:val="auto"/>
                      <w:highlight w:val="none"/>
                      <w:lang w:val="en-US" w:eastAsia="zh-CN"/>
                    </w:rPr>
                    <w:t>燃料采用生物质成型燃料，不属于红塔区禁燃区内禁止燃用的燃料。</w:t>
                  </w:r>
                </w:p>
              </w:tc>
              <w:tc>
                <w:tcPr>
                  <w:tcW w:w="726" w:type="dxa"/>
                  <w:vAlign w:val="center"/>
                </w:tcPr>
                <w:p w14:paraId="7EF2B51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14:paraId="295E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887" w:type="dxa"/>
                  <w:gridSpan w:val="4"/>
                  <w:vAlign w:val="center"/>
                </w:tcPr>
                <w:p w14:paraId="050A7B23">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红塔区城区生活污染重点管控</w:t>
                  </w:r>
                  <w:r>
                    <w:rPr>
                      <w:rFonts w:hint="eastAsia" w:ascii="宋体" w:hAnsi="宋体" w:eastAsia="宋体" w:cs="宋体"/>
                      <w:color w:val="auto"/>
                      <w:kern w:val="0"/>
                      <w:sz w:val="21"/>
                      <w:szCs w:val="21"/>
                      <w:highlight w:val="none"/>
                    </w:rPr>
                    <w:t>单元</w:t>
                  </w:r>
                </w:p>
              </w:tc>
            </w:tr>
            <w:tr w14:paraId="73B4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30D31B9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空间布局约束</w:t>
                  </w:r>
                </w:p>
              </w:tc>
              <w:tc>
                <w:tcPr>
                  <w:tcW w:w="3211" w:type="dxa"/>
                  <w:vAlign w:val="center"/>
                </w:tcPr>
                <w:p w14:paraId="12FBA99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中心城区及周边严重影响城区环境空气质量的建材、钢铁、化工、有色金属冶炼等重污染企业和危险化学品企业，应与居住、商业等人口密集的地区保持安全距离，限期搬迁改造。</w:t>
                  </w:r>
                </w:p>
              </w:tc>
              <w:tc>
                <w:tcPr>
                  <w:tcW w:w="3031" w:type="dxa"/>
                  <w:vAlign w:val="center"/>
                </w:tcPr>
                <w:p w14:paraId="571AAE12">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64BAF9D1">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32BB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 w:type="dxa"/>
                  <w:vMerge w:val="continue"/>
                  <w:vAlign w:val="center"/>
                </w:tcPr>
                <w:p w14:paraId="44DF19F7">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2D8DD19">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禁止在居民住宅楼、未配套设立专用烟道的商住综合楼以及商住综合楼内与居住层相邻的商业楼层内新建、改建、扩建产生油烟、异味、废气的餐饮服务项目。</w:t>
                  </w:r>
                </w:p>
              </w:tc>
              <w:tc>
                <w:tcPr>
                  <w:tcW w:w="3031" w:type="dxa"/>
                  <w:vAlign w:val="center"/>
                </w:tcPr>
                <w:p w14:paraId="53EA7E09">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6BAAA0DA">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7334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 w:type="dxa"/>
                  <w:vMerge w:val="continue"/>
                  <w:vAlign w:val="center"/>
                </w:tcPr>
                <w:p w14:paraId="37ABD922">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6E87886F">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高污染燃料禁燃区，禁止新建、改建、扩建高污染燃料燃用设施。</w:t>
                  </w:r>
                </w:p>
              </w:tc>
              <w:tc>
                <w:tcPr>
                  <w:tcW w:w="3031" w:type="dxa"/>
                  <w:vAlign w:val="center"/>
                </w:tcPr>
                <w:p w14:paraId="6E6EF7E7">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本项目不在高污染燃料禁燃区</w:t>
                  </w:r>
                </w:p>
              </w:tc>
              <w:tc>
                <w:tcPr>
                  <w:tcW w:w="726" w:type="dxa"/>
                  <w:vAlign w:val="center"/>
                </w:tcPr>
                <w:p w14:paraId="7DEEDC44">
                  <w:pPr>
                    <w:autoSpaceDE w:val="0"/>
                    <w:autoSpaceDN w:val="0"/>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符合</w:t>
                  </w:r>
                </w:p>
              </w:tc>
            </w:tr>
            <w:tr w14:paraId="3880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7FB0CB6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污染物排放管控</w:t>
                  </w:r>
                </w:p>
              </w:tc>
              <w:tc>
                <w:tcPr>
                  <w:tcW w:w="3211" w:type="dxa"/>
                  <w:vAlign w:val="center"/>
                </w:tcPr>
                <w:p w14:paraId="0A7BC99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禁止在人口集中地区、交通干线附近和其他依法需要特殊保护的区域内焚烧沥青、油毡、橡胶、塑料、皮革、秸秆、落叶、垃圾以及其他产生有毒有害烟尘和恶臭气体的物质。</w:t>
                  </w:r>
                </w:p>
              </w:tc>
              <w:tc>
                <w:tcPr>
                  <w:tcW w:w="3031" w:type="dxa"/>
                  <w:vAlign w:val="center"/>
                </w:tcPr>
                <w:p w14:paraId="54A37C7A">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6C7B9B00">
                  <w:pPr>
                    <w:autoSpaceDE w:val="0"/>
                    <w:autoSpaceDN w:val="0"/>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w:t>
                  </w:r>
                </w:p>
              </w:tc>
            </w:tr>
            <w:tr w14:paraId="1069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0B9FF41">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40406B49">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现有城市建成区及周边严重影响城区环境空气质量的建材、钢铁、化工、有色金属冶炼等重污染企业和危险化学品企业应限期搬迁改造。</w:t>
                  </w:r>
                </w:p>
              </w:tc>
              <w:tc>
                <w:tcPr>
                  <w:tcW w:w="3031" w:type="dxa"/>
                  <w:vAlign w:val="center"/>
                </w:tcPr>
                <w:p w14:paraId="5AB42B13">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222935C4">
                  <w:pPr>
                    <w:autoSpaceDE w:val="0"/>
                    <w:autoSpaceDN w:val="0"/>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w:t>
                  </w:r>
                </w:p>
              </w:tc>
            </w:tr>
            <w:tr w14:paraId="363D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60BBAC43">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0B5199F4">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城市新建及改造区域严格实行雨污分流，完善城区污水管网，建设海绵城市，加快扩建第二污水处理厂。现有城镇污水处理设施确保稳定达到《城镇污水处理厂污染物排放标准》（GB18918－2002）一级标准的A标准</w:t>
                  </w:r>
                  <w:r>
                    <w:rPr>
                      <w:rFonts w:hint="eastAsia" w:ascii="宋体" w:hAnsi="宋体" w:eastAsia="宋体" w:cs="宋体"/>
                      <w:color w:val="auto"/>
                      <w:kern w:val="0"/>
                      <w:sz w:val="21"/>
                      <w:szCs w:val="21"/>
                      <w:highlight w:val="none"/>
                    </w:rPr>
                    <w:t>。</w:t>
                  </w:r>
                </w:p>
              </w:tc>
              <w:tc>
                <w:tcPr>
                  <w:tcW w:w="3031" w:type="dxa"/>
                  <w:vAlign w:val="center"/>
                </w:tcPr>
                <w:p w14:paraId="0DC2E46F">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项目产生的废水主要为生活污水、</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排水、软水制备废水，废水产生量较小，生活污水排入</w:t>
                  </w:r>
                  <w:r>
                    <w:rPr>
                      <w:rFonts w:hint="eastAsia" w:ascii="宋体" w:hAnsi="宋体" w:eastAsia="宋体" w:cs="宋体"/>
                      <w:color w:val="auto"/>
                      <w:kern w:val="0"/>
                      <w:sz w:val="21"/>
                      <w:szCs w:val="21"/>
                      <w:highlight w:val="none"/>
                      <w:lang w:val="en-US" w:eastAsia="zh-CN"/>
                    </w:rPr>
                    <w:t>钧澄公司</w:t>
                  </w:r>
                  <w:r>
                    <w:rPr>
                      <w:rFonts w:hint="eastAsia" w:ascii="宋体" w:hAnsi="宋体" w:eastAsia="宋体" w:cs="宋体"/>
                      <w:color w:val="auto"/>
                      <w:kern w:val="0"/>
                      <w:sz w:val="21"/>
                      <w:szCs w:val="21"/>
                      <w:highlight w:val="none"/>
                    </w:rPr>
                    <w:t>化粪池处理</w:t>
                  </w:r>
                  <w:r>
                    <w:rPr>
                      <w:rFonts w:hint="eastAsia" w:ascii="宋体" w:hAnsi="宋体" w:eastAsia="宋体" w:cs="宋体"/>
                      <w:color w:val="auto"/>
                      <w:kern w:val="0"/>
                      <w:sz w:val="21"/>
                      <w:szCs w:val="21"/>
                      <w:highlight w:val="none"/>
                      <w:lang w:val="en-US" w:eastAsia="zh-CN"/>
                    </w:rPr>
                    <w:t>后综合利用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排水、离子交换树脂再生废水经絮凝沉淀后排入</w:t>
                  </w:r>
                  <w:r>
                    <w:rPr>
                      <w:rFonts w:hint="eastAsia" w:ascii="宋体" w:hAnsi="宋体" w:eastAsia="宋体" w:cs="宋体"/>
                      <w:color w:val="auto"/>
                      <w:kern w:val="0"/>
                      <w:sz w:val="21"/>
                      <w:szCs w:val="21"/>
                      <w:highlight w:val="none"/>
                      <w:lang w:val="en-US" w:eastAsia="zh-CN"/>
                    </w:rPr>
                    <w:t>钧澄公司冷却循环水池</w:t>
                  </w:r>
                  <w:r>
                    <w:rPr>
                      <w:rFonts w:hint="eastAsia" w:ascii="宋体" w:hAnsi="宋体" w:eastAsia="宋体" w:cs="宋体"/>
                      <w:color w:val="auto"/>
                      <w:kern w:val="0"/>
                      <w:sz w:val="21"/>
                      <w:szCs w:val="21"/>
                      <w:highlight w:val="none"/>
                    </w:rPr>
                    <w:t>处理</w:t>
                  </w:r>
                  <w:r>
                    <w:rPr>
                      <w:rFonts w:hint="eastAsia" w:ascii="宋体" w:hAnsi="宋体" w:eastAsia="宋体" w:cs="宋体"/>
                      <w:color w:val="auto"/>
                      <w:kern w:val="0"/>
                      <w:sz w:val="21"/>
                      <w:szCs w:val="21"/>
                      <w:highlight w:val="none"/>
                      <w:lang w:val="en-US" w:eastAsia="zh-CN"/>
                    </w:rPr>
                    <w:t>后循环使用，项目废水不外排</w:t>
                  </w:r>
                  <w:r>
                    <w:rPr>
                      <w:rFonts w:hint="eastAsia" w:ascii="宋体" w:hAnsi="宋体" w:eastAsia="宋体" w:cs="宋体"/>
                      <w:color w:val="auto"/>
                      <w:kern w:val="0"/>
                      <w:sz w:val="21"/>
                      <w:szCs w:val="21"/>
                      <w:highlight w:val="none"/>
                    </w:rPr>
                    <w:t>。</w:t>
                  </w:r>
                </w:p>
              </w:tc>
              <w:tc>
                <w:tcPr>
                  <w:tcW w:w="726" w:type="dxa"/>
                  <w:vAlign w:val="center"/>
                </w:tcPr>
                <w:p w14:paraId="4649C8A1">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0034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312F37C">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E420E34">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val="en-US" w:eastAsia="zh-CN"/>
                    </w:rPr>
                    <w:t>严禁洗车污水、餐饮泔水、施工泥浆等通过雨水口进入管网后直排入河。</w:t>
                  </w:r>
                </w:p>
              </w:tc>
              <w:tc>
                <w:tcPr>
                  <w:tcW w:w="3031" w:type="dxa"/>
                  <w:vAlign w:val="center"/>
                </w:tcPr>
                <w:p w14:paraId="7E9BE085">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5E417870">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319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1D337935">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52BAE7B7">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推进四库三河环境综合整治。</w:t>
                  </w:r>
                </w:p>
              </w:tc>
              <w:tc>
                <w:tcPr>
                  <w:tcW w:w="3031" w:type="dxa"/>
                  <w:vAlign w:val="center"/>
                </w:tcPr>
                <w:p w14:paraId="24F18836">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316603B1">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5192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5D35281D">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2595F16">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6.优化能源消费结构，远期城镇燃气气化率达到90%以上，农村燃气气化率达到60%以上。</w:t>
                  </w:r>
                </w:p>
              </w:tc>
              <w:tc>
                <w:tcPr>
                  <w:tcW w:w="3031" w:type="dxa"/>
                  <w:vAlign w:val="center"/>
                </w:tcPr>
                <w:p w14:paraId="7CD909C2">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本项目使用生物质燃</w:t>
                  </w:r>
                </w:p>
                <w:p w14:paraId="3D34DFF6">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料属于清洁能源</w:t>
                  </w:r>
                </w:p>
              </w:tc>
              <w:tc>
                <w:tcPr>
                  <w:tcW w:w="726" w:type="dxa"/>
                  <w:vAlign w:val="center"/>
                </w:tcPr>
                <w:p w14:paraId="4D006C60">
                  <w:pPr>
                    <w:autoSpaceDE w:val="0"/>
                    <w:autoSpaceDN w:val="0"/>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w:t>
                  </w:r>
                </w:p>
              </w:tc>
            </w:tr>
            <w:tr w14:paraId="4AD2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422CFB03">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00100B8">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7.全面推行建筑工地扬尘污染防治网格化管理，严格渣土运输车辆规范化管理，严格执行餐饮业油烟排放标准。</w:t>
                  </w:r>
                </w:p>
              </w:tc>
              <w:tc>
                <w:tcPr>
                  <w:tcW w:w="3031" w:type="dxa"/>
                  <w:vAlign w:val="center"/>
                </w:tcPr>
                <w:p w14:paraId="75892924">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530097F0">
                  <w:pPr>
                    <w:autoSpaceDE w:val="0"/>
                    <w:autoSpaceDN w:val="0"/>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r>
            <w:tr w14:paraId="3985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0B73D25D">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572AC84A">
                  <w:pPr>
                    <w:keepNext w:val="0"/>
                    <w:keepLines w:val="0"/>
                    <w:widowControl/>
                    <w:suppressLineNumbers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8.建立现代化城市垃圾处理系统，至2025年城镇生活垃圾回收利用率达到40%，2035年城镇生活垃圾回收利用率达到60%，生活垃圾无害化处理率提高到100%。</w:t>
                  </w:r>
                </w:p>
              </w:tc>
              <w:tc>
                <w:tcPr>
                  <w:tcW w:w="3031" w:type="dxa"/>
                  <w:vAlign w:val="center"/>
                </w:tcPr>
                <w:p w14:paraId="60520FD2">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项目生活垃圾经收集</w:t>
                  </w:r>
                </w:p>
                <w:p w14:paraId="3E135A0C">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后委托环卫部门清运处置，处置率100%。</w:t>
                  </w:r>
                </w:p>
                <w:p w14:paraId="0CE318C4">
                  <w:pPr>
                    <w:autoSpaceDE w:val="0"/>
                    <w:autoSpaceDN w:val="0"/>
                    <w:adjustRightInd w:val="0"/>
                    <w:snapToGrid w:val="0"/>
                    <w:jc w:val="center"/>
                    <w:rPr>
                      <w:rFonts w:hint="eastAsia" w:ascii="宋体" w:hAnsi="宋体" w:eastAsia="宋体" w:cs="宋体"/>
                      <w:color w:val="auto"/>
                      <w:kern w:val="0"/>
                      <w:sz w:val="21"/>
                      <w:szCs w:val="21"/>
                      <w:highlight w:val="none"/>
                    </w:rPr>
                  </w:pPr>
                </w:p>
              </w:tc>
              <w:tc>
                <w:tcPr>
                  <w:tcW w:w="726" w:type="dxa"/>
                  <w:vAlign w:val="center"/>
                </w:tcPr>
                <w:p w14:paraId="51B69EBE">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符合</w:t>
                  </w:r>
                </w:p>
              </w:tc>
            </w:tr>
            <w:tr w14:paraId="4948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restart"/>
                  <w:vAlign w:val="center"/>
                </w:tcPr>
                <w:p w14:paraId="32FA41E1">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环境风险防控</w:t>
                  </w:r>
                </w:p>
              </w:tc>
              <w:tc>
                <w:tcPr>
                  <w:tcW w:w="3211" w:type="dxa"/>
                  <w:vAlign w:val="center"/>
                </w:tcPr>
                <w:p w14:paraId="68070EFE">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禁止建设排放重金属、“三致物”、剧毒物质污染物的项目，严格控制持久性有机污染物的项目</w:t>
                  </w:r>
                  <w:r>
                    <w:rPr>
                      <w:rFonts w:hint="eastAsia" w:ascii="宋体" w:hAnsi="宋体" w:eastAsia="宋体" w:cs="宋体"/>
                      <w:color w:val="auto"/>
                      <w:kern w:val="0"/>
                      <w:sz w:val="21"/>
                      <w:szCs w:val="21"/>
                      <w:highlight w:val="none"/>
                    </w:rPr>
                    <w:t>。</w:t>
                  </w:r>
                </w:p>
              </w:tc>
              <w:tc>
                <w:tcPr>
                  <w:tcW w:w="3031" w:type="dxa"/>
                  <w:vAlign w:val="center"/>
                </w:tcPr>
                <w:p w14:paraId="6C226CCF">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项目不涉及</w:t>
                  </w:r>
                </w:p>
              </w:tc>
              <w:tc>
                <w:tcPr>
                  <w:tcW w:w="726" w:type="dxa"/>
                  <w:vAlign w:val="center"/>
                </w:tcPr>
                <w:p w14:paraId="0C69C228">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r>
            <w:tr w14:paraId="011F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7CC3637C">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3F5E80C">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居民点与产业园区各片区之间应保留足够的安全防护距离。</w:t>
                  </w:r>
                </w:p>
              </w:tc>
              <w:tc>
                <w:tcPr>
                  <w:tcW w:w="3031" w:type="dxa"/>
                  <w:vAlign w:val="center"/>
                </w:tcPr>
                <w:p w14:paraId="1DAD11AB">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本项目周边最近保护目标为北面</w:t>
                  </w:r>
                  <w:r>
                    <w:rPr>
                      <w:rFonts w:hint="eastAsia" w:ascii="宋体" w:hAnsi="宋体" w:eastAsia="宋体" w:cs="宋体"/>
                      <w:color w:val="auto"/>
                      <w:kern w:val="0"/>
                      <w:sz w:val="21"/>
                      <w:szCs w:val="21"/>
                      <w:highlight w:val="none"/>
                      <w:lang w:val="en-US" w:eastAsia="zh-CN"/>
                    </w:rPr>
                    <w:t>234</w:t>
                  </w:r>
                  <w:r>
                    <w:rPr>
                      <w:rFonts w:hint="eastAsia" w:ascii="宋体" w:hAnsi="宋体" w:eastAsia="宋体" w:cs="宋体"/>
                      <w:color w:val="auto"/>
                      <w:kern w:val="0"/>
                      <w:sz w:val="21"/>
                      <w:szCs w:val="21"/>
                      <w:highlight w:val="none"/>
                    </w:rPr>
                    <w:t>m的</w:t>
                  </w:r>
                  <w:r>
                    <w:rPr>
                      <w:rFonts w:hint="eastAsia"/>
                      <w:color w:val="auto"/>
                      <w:sz w:val="21"/>
                      <w:szCs w:val="21"/>
                      <w:lang w:val="en-US" w:eastAsia="zh-CN"/>
                    </w:rPr>
                    <w:t>北城社区19组</w:t>
                  </w:r>
                  <w:r>
                    <w:rPr>
                      <w:rFonts w:hint="eastAsia" w:ascii="宋体" w:hAnsi="宋体" w:eastAsia="宋体" w:cs="宋体"/>
                      <w:color w:val="auto"/>
                      <w:kern w:val="0"/>
                      <w:sz w:val="21"/>
                      <w:szCs w:val="21"/>
                      <w:highlight w:val="none"/>
                    </w:rPr>
                    <w:t>，距离较远，项目不涉及重大风险源。</w:t>
                  </w:r>
                </w:p>
              </w:tc>
              <w:tc>
                <w:tcPr>
                  <w:tcW w:w="726" w:type="dxa"/>
                  <w:vAlign w:val="center"/>
                </w:tcPr>
                <w:p w14:paraId="6CBBEA4F">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4B4F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19" w:type="dxa"/>
                  <w:vMerge w:val="restart"/>
                  <w:vAlign w:val="center"/>
                </w:tcPr>
                <w:p w14:paraId="1378C6BF">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资源开发效率要求</w:t>
                  </w:r>
                </w:p>
              </w:tc>
              <w:tc>
                <w:tcPr>
                  <w:tcW w:w="3211" w:type="dxa"/>
                  <w:vAlign w:val="center"/>
                </w:tcPr>
                <w:p w14:paraId="7017F5DD">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完善城市供水干线</w:t>
                  </w:r>
                  <w:r>
                    <w:rPr>
                      <w:rFonts w:hint="eastAsia" w:ascii="宋体" w:hAnsi="宋体" w:eastAsia="宋体" w:cs="宋体"/>
                      <w:color w:val="auto"/>
                      <w:kern w:val="0"/>
                      <w:sz w:val="21"/>
                      <w:szCs w:val="21"/>
                      <w:highlight w:val="none"/>
                    </w:rPr>
                    <w:t>。</w:t>
                  </w:r>
                </w:p>
              </w:tc>
              <w:tc>
                <w:tcPr>
                  <w:tcW w:w="3031" w:type="dxa"/>
                  <w:vAlign w:val="center"/>
                </w:tcPr>
                <w:p w14:paraId="3DB3D526">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本项目供水由周边供水管网供给；</w:t>
                  </w:r>
                </w:p>
                <w:p w14:paraId="53F04B47">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726" w:type="dxa"/>
                  <w:vAlign w:val="center"/>
                </w:tcPr>
                <w:p w14:paraId="2358C5E7">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1AF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5F12FC5B">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064C80AC">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完善再生利用设施及其管道，污水处理厂处理达标后出水优先回用于城市绿化，中心城区再生水利用率达20%。</w:t>
                  </w:r>
                </w:p>
              </w:tc>
              <w:tc>
                <w:tcPr>
                  <w:tcW w:w="3031" w:type="dxa"/>
                  <w:vAlign w:val="center"/>
                </w:tcPr>
                <w:p w14:paraId="3E11D2DB">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项目产生的废水主要为生活污水、</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排水、软水制备废水，废水产生量较小，生活污水排入</w:t>
                  </w:r>
                  <w:r>
                    <w:rPr>
                      <w:rFonts w:hint="eastAsia" w:ascii="宋体" w:hAnsi="宋体" w:eastAsia="宋体" w:cs="宋体"/>
                      <w:color w:val="auto"/>
                      <w:kern w:val="0"/>
                      <w:sz w:val="21"/>
                      <w:szCs w:val="21"/>
                      <w:highlight w:val="none"/>
                      <w:lang w:val="en-US" w:eastAsia="zh-CN"/>
                    </w:rPr>
                    <w:t>钧澄公司</w:t>
                  </w:r>
                  <w:r>
                    <w:rPr>
                      <w:rFonts w:hint="eastAsia" w:ascii="宋体" w:hAnsi="宋体" w:eastAsia="宋体" w:cs="宋体"/>
                      <w:color w:val="auto"/>
                      <w:kern w:val="0"/>
                      <w:sz w:val="21"/>
                      <w:szCs w:val="21"/>
                      <w:highlight w:val="none"/>
                    </w:rPr>
                    <w:t>化粪池处理</w:t>
                  </w:r>
                  <w:r>
                    <w:rPr>
                      <w:rFonts w:hint="eastAsia" w:ascii="宋体" w:hAnsi="宋体" w:eastAsia="宋体" w:cs="宋体"/>
                      <w:color w:val="auto"/>
                      <w:kern w:val="0"/>
                      <w:sz w:val="21"/>
                      <w:szCs w:val="21"/>
                      <w:highlight w:val="none"/>
                      <w:lang w:val="en-US" w:eastAsia="zh-CN"/>
                    </w:rPr>
                    <w:t>后综合利用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蒸汽发生器</w:t>
                  </w:r>
                  <w:r>
                    <w:rPr>
                      <w:rFonts w:hint="eastAsia" w:ascii="宋体" w:hAnsi="宋体" w:eastAsia="宋体" w:cs="宋体"/>
                      <w:color w:val="auto"/>
                      <w:kern w:val="0"/>
                      <w:sz w:val="21"/>
                      <w:szCs w:val="21"/>
                      <w:highlight w:val="none"/>
                    </w:rPr>
                    <w:t>排水、离子交换树脂再生废水经絮凝沉淀后排入</w:t>
                  </w:r>
                  <w:r>
                    <w:rPr>
                      <w:rFonts w:hint="eastAsia" w:ascii="宋体" w:hAnsi="宋体" w:eastAsia="宋体" w:cs="宋体"/>
                      <w:color w:val="auto"/>
                      <w:kern w:val="0"/>
                      <w:sz w:val="21"/>
                      <w:szCs w:val="21"/>
                      <w:highlight w:val="none"/>
                      <w:lang w:val="en-US" w:eastAsia="zh-CN"/>
                    </w:rPr>
                    <w:t>钧澄公司冷却循环水池</w:t>
                  </w:r>
                  <w:r>
                    <w:rPr>
                      <w:rFonts w:hint="eastAsia" w:ascii="宋体" w:hAnsi="宋体" w:eastAsia="宋体" w:cs="宋体"/>
                      <w:color w:val="auto"/>
                      <w:kern w:val="0"/>
                      <w:sz w:val="21"/>
                      <w:szCs w:val="21"/>
                      <w:highlight w:val="none"/>
                    </w:rPr>
                    <w:t>处理</w:t>
                  </w:r>
                  <w:r>
                    <w:rPr>
                      <w:rFonts w:hint="eastAsia" w:ascii="宋体" w:hAnsi="宋体" w:eastAsia="宋体" w:cs="宋体"/>
                      <w:color w:val="auto"/>
                      <w:kern w:val="0"/>
                      <w:sz w:val="21"/>
                      <w:szCs w:val="21"/>
                      <w:highlight w:val="none"/>
                      <w:lang w:val="en-US" w:eastAsia="zh-CN"/>
                    </w:rPr>
                    <w:t>后循环使用，项目废水不外排</w:t>
                  </w:r>
                  <w:r>
                    <w:rPr>
                      <w:rFonts w:hint="eastAsia" w:ascii="宋体" w:hAnsi="宋体" w:eastAsia="宋体" w:cs="宋体"/>
                      <w:color w:val="auto"/>
                      <w:kern w:val="0"/>
                      <w:sz w:val="21"/>
                      <w:szCs w:val="21"/>
                      <w:highlight w:val="none"/>
                    </w:rPr>
                    <w:t>。</w:t>
                  </w:r>
                </w:p>
              </w:tc>
              <w:tc>
                <w:tcPr>
                  <w:tcW w:w="726" w:type="dxa"/>
                  <w:vAlign w:val="center"/>
                </w:tcPr>
                <w:p w14:paraId="28BEE69C">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2D38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5F19461E">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7E48569A">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3.高污染燃料禁燃区按照《玉溪市红塔区人民政府关于划定红塔区高污染燃料禁燃区的通告》执行，逐步将高污染燃料禁燃区扩大到城区近郊。</w:t>
                  </w:r>
                </w:p>
              </w:tc>
              <w:tc>
                <w:tcPr>
                  <w:tcW w:w="3031" w:type="dxa"/>
                  <w:vAlign w:val="center"/>
                </w:tcPr>
                <w:p w14:paraId="6B4B72D6">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本项目不在高污染燃料禁燃区</w:t>
                  </w:r>
                </w:p>
              </w:tc>
              <w:tc>
                <w:tcPr>
                  <w:tcW w:w="726" w:type="dxa"/>
                  <w:vAlign w:val="center"/>
                </w:tcPr>
                <w:p w14:paraId="17C17339">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51F5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3E1717FA">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1D84B9FB">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4.推进“煤改气”、“煤改电”。</w:t>
                  </w:r>
                </w:p>
              </w:tc>
              <w:tc>
                <w:tcPr>
                  <w:tcW w:w="3031" w:type="dxa"/>
                  <w:vAlign w:val="center"/>
                </w:tcPr>
                <w:p w14:paraId="5FB38177">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本项目不使用煤</w:t>
                  </w:r>
                </w:p>
              </w:tc>
              <w:tc>
                <w:tcPr>
                  <w:tcW w:w="726" w:type="dxa"/>
                  <w:vAlign w:val="center"/>
                </w:tcPr>
                <w:p w14:paraId="7B92175A">
                  <w:pPr>
                    <w:autoSpaceDE w:val="0"/>
                    <w:autoSpaceDN w:val="0"/>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p>
              </w:tc>
            </w:tr>
            <w:tr w14:paraId="006D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9" w:type="dxa"/>
                  <w:vMerge w:val="continue"/>
                  <w:vAlign w:val="center"/>
                </w:tcPr>
                <w:p w14:paraId="0D377ACE">
                  <w:pPr>
                    <w:autoSpaceDE w:val="0"/>
                    <w:autoSpaceDN w:val="0"/>
                    <w:adjustRightInd w:val="0"/>
                    <w:snapToGrid w:val="0"/>
                    <w:jc w:val="left"/>
                    <w:rPr>
                      <w:rFonts w:hint="eastAsia" w:ascii="宋体" w:hAnsi="宋体" w:eastAsia="宋体" w:cs="宋体"/>
                      <w:color w:val="auto"/>
                      <w:kern w:val="0"/>
                      <w:sz w:val="21"/>
                      <w:szCs w:val="21"/>
                      <w:highlight w:val="none"/>
                    </w:rPr>
                  </w:pPr>
                </w:p>
              </w:tc>
              <w:tc>
                <w:tcPr>
                  <w:tcW w:w="3211" w:type="dxa"/>
                  <w:vAlign w:val="center"/>
                </w:tcPr>
                <w:p w14:paraId="2A621120">
                  <w:pPr>
                    <w:autoSpaceDE w:val="0"/>
                    <w:autoSpaceDN w:val="0"/>
                    <w:adjustRightInd w:val="0"/>
                    <w:snapToGrid w:val="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5.提高土地节约集约利用水平。</w:t>
                  </w:r>
                </w:p>
              </w:tc>
              <w:tc>
                <w:tcPr>
                  <w:tcW w:w="3031" w:type="dxa"/>
                  <w:vAlign w:val="center"/>
                </w:tcPr>
                <w:p w14:paraId="555D41F5">
                  <w:pPr>
                    <w:autoSpaceDE w:val="0"/>
                    <w:autoSpaceDN w:val="0"/>
                    <w:adjustRightInd w:val="0"/>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本项目租用现有厂房，不新增用地。</w:t>
                  </w:r>
                </w:p>
              </w:tc>
              <w:tc>
                <w:tcPr>
                  <w:tcW w:w="726" w:type="dxa"/>
                  <w:vAlign w:val="center"/>
                </w:tcPr>
                <w:p w14:paraId="07A443A9">
                  <w:pPr>
                    <w:autoSpaceDE w:val="0"/>
                    <w:autoSpaceDN w:val="0"/>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w:t>
                  </w:r>
                </w:p>
              </w:tc>
            </w:tr>
          </w:tbl>
          <w:p w14:paraId="10E71BC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b/>
                <w:color w:val="auto"/>
                <w:szCs w:val="21"/>
                <w:highlight w:val="none"/>
              </w:rPr>
            </w:pPr>
            <w:r>
              <w:rPr>
                <w:rFonts w:hint="eastAsia"/>
                <w:b/>
                <w:bCs/>
                <w:color w:val="auto"/>
                <w:sz w:val="24"/>
                <w:highlight w:val="none"/>
                <w:lang w:val="en-US" w:eastAsia="zh-CN"/>
              </w:rPr>
              <w:t>4、</w:t>
            </w:r>
            <w:r>
              <w:rPr>
                <w:b/>
                <w:bCs/>
                <w:color w:val="auto"/>
                <w:sz w:val="24"/>
                <w:highlight w:val="none"/>
              </w:rPr>
              <w:t>与</w:t>
            </w:r>
            <w:r>
              <w:rPr>
                <w:rFonts w:hint="eastAsia"/>
                <w:b/>
                <w:bCs/>
                <w:color w:val="auto"/>
                <w:sz w:val="24"/>
                <w:highlight w:val="none"/>
              </w:rPr>
              <w:t>《中华人民共和国大气污染防治法》</w:t>
            </w:r>
            <w:r>
              <w:rPr>
                <w:b/>
                <w:bCs/>
                <w:color w:val="auto"/>
                <w:sz w:val="24"/>
                <w:highlight w:val="none"/>
              </w:rPr>
              <w:t>符合性分析</w:t>
            </w:r>
          </w:p>
          <w:p w14:paraId="60D31A0A">
            <w:pPr>
              <w:autoSpaceDE w:val="0"/>
              <w:autoSpaceDN w:val="0"/>
              <w:adjustRightInd w:val="0"/>
              <w:snapToGrid w:val="0"/>
              <w:spacing w:line="360" w:lineRule="auto"/>
              <w:ind w:firstLine="482" w:firstLineChars="200"/>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rPr>
              <w:t>1-</w:t>
            </w:r>
            <w:r>
              <w:rPr>
                <w:rFonts w:hint="eastAsia"/>
                <w:b/>
                <w:bCs/>
                <w:color w:val="auto"/>
                <w:kern w:val="0"/>
                <w:sz w:val="24"/>
                <w:highlight w:val="none"/>
                <w:lang w:val="en-US" w:eastAsia="zh-CN"/>
              </w:rPr>
              <w:t>3</w:t>
            </w:r>
            <w:r>
              <w:rPr>
                <w:b/>
                <w:bCs/>
                <w:color w:val="auto"/>
                <w:kern w:val="0"/>
                <w:sz w:val="24"/>
                <w:highlight w:val="none"/>
              </w:rPr>
              <w:tab/>
            </w:r>
            <w:r>
              <w:rPr>
                <w:b/>
                <w:bCs/>
                <w:color w:val="auto"/>
                <w:kern w:val="0"/>
                <w:sz w:val="24"/>
                <w:highlight w:val="none"/>
              </w:rPr>
              <w:t>与</w:t>
            </w:r>
            <w:r>
              <w:rPr>
                <w:rFonts w:hint="eastAsia"/>
                <w:b/>
                <w:bCs/>
                <w:color w:val="auto"/>
                <w:sz w:val="24"/>
                <w:highlight w:val="none"/>
              </w:rPr>
              <w:t>《中华人民共和国大气污染防治法》</w:t>
            </w:r>
            <w:r>
              <w:rPr>
                <w:b/>
                <w:bCs/>
                <w:color w:val="auto"/>
                <w:kern w:val="0"/>
                <w:sz w:val="24"/>
                <w:highlight w:val="none"/>
              </w:rPr>
              <w:t>符合性分析一览表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3"/>
              <w:gridCol w:w="3432"/>
              <w:gridCol w:w="772"/>
            </w:tblGrid>
            <w:tr w14:paraId="0DE7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24C70F01">
                  <w:pPr>
                    <w:pStyle w:val="94"/>
                    <w:adjustRightInd w:val="0"/>
                    <w:snapToGrid w:val="0"/>
                    <w:ind w:firstLine="0" w:firstLineChars="0"/>
                    <w:jc w:val="center"/>
                    <w:rPr>
                      <w:caps/>
                      <w:color w:val="auto"/>
                      <w:szCs w:val="21"/>
                      <w:highlight w:val="none"/>
                    </w:rPr>
                  </w:pPr>
                  <w:r>
                    <w:rPr>
                      <w:rFonts w:hint="eastAsia"/>
                      <w:color w:val="auto"/>
                      <w:szCs w:val="21"/>
                      <w:highlight w:val="none"/>
                    </w:rPr>
                    <w:t>防治法要求</w:t>
                  </w:r>
                </w:p>
              </w:tc>
              <w:tc>
                <w:tcPr>
                  <w:tcW w:w="3432" w:type="dxa"/>
                  <w:vAlign w:val="center"/>
                </w:tcPr>
                <w:p w14:paraId="6A7A121B">
                  <w:pPr>
                    <w:pStyle w:val="94"/>
                    <w:adjustRightInd w:val="0"/>
                    <w:snapToGrid w:val="0"/>
                    <w:ind w:firstLine="0" w:firstLineChars="0"/>
                    <w:jc w:val="center"/>
                    <w:rPr>
                      <w:caps/>
                      <w:color w:val="auto"/>
                      <w:szCs w:val="21"/>
                      <w:highlight w:val="none"/>
                    </w:rPr>
                  </w:pPr>
                  <w:r>
                    <w:rPr>
                      <w:rFonts w:hint="eastAsia"/>
                      <w:color w:val="auto"/>
                      <w:szCs w:val="21"/>
                      <w:highlight w:val="none"/>
                    </w:rPr>
                    <w:t>本项目</w:t>
                  </w:r>
                </w:p>
              </w:tc>
              <w:tc>
                <w:tcPr>
                  <w:tcW w:w="772" w:type="dxa"/>
                  <w:vAlign w:val="center"/>
                </w:tcPr>
                <w:p w14:paraId="232B811B">
                  <w:pPr>
                    <w:pStyle w:val="94"/>
                    <w:adjustRightInd w:val="0"/>
                    <w:snapToGrid w:val="0"/>
                    <w:ind w:firstLine="0" w:firstLineChars="0"/>
                    <w:jc w:val="center"/>
                    <w:rPr>
                      <w:caps/>
                      <w:color w:val="auto"/>
                      <w:szCs w:val="21"/>
                      <w:highlight w:val="none"/>
                    </w:rPr>
                  </w:pPr>
                  <w:r>
                    <w:rPr>
                      <w:rFonts w:hint="eastAsia"/>
                      <w:color w:val="auto"/>
                      <w:szCs w:val="21"/>
                      <w:highlight w:val="none"/>
                    </w:rPr>
                    <w:t>符合性</w:t>
                  </w:r>
                </w:p>
              </w:tc>
            </w:tr>
            <w:tr w14:paraId="2D96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66B2802B">
                  <w:pPr>
                    <w:pStyle w:val="94"/>
                    <w:adjustRightInd w:val="0"/>
                    <w:snapToGrid w:val="0"/>
                    <w:ind w:firstLine="0" w:firstLineChars="0"/>
                    <w:jc w:val="center"/>
                    <w:rPr>
                      <w:caps/>
                      <w:color w:val="auto"/>
                      <w:szCs w:val="21"/>
                      <w:highlight w:val="none"/>
                    </w:rPr>
                  </w:pPr>
                  <w:r>
                    <w:rPr>
                      <w:rFonts w:hint="eastAsia"/>
                      <w:color w:val="auto"/>
                      <w:szCs w:val="21"/>
                      <w:highlight w:val="none"/>
                    </w:rPr>
                    <w:t>总则</w:t>
                  </w:r>
                </w:p>
              </w:tc>
            </w:tr>
            <w:tr w14:paraId="1311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745AF896">
                  <w:pPr>
                    <w:pStyle w:val="94"/>
                    <w:adjustRightInd w:val="0"/>
                    <w:snapToGrid w:val="0"/>
                    <w:ind w:firstLine="0" w:firstLineChars="0"/>
                    <w:jc w:val="center"/>
                    <w:rPr>
                      <w:caps/>
                      <w:color w:val="auto"/>
                      <w:szCs w:val="21"/>
                      <w:highlight w:val="none"/>
                    </w:rPr>
                  </w:pPr>
                  <w:r>
                    <w:rPr>
                      <w:rFonts w:hint="eastAsia"/>
                      <w:caps/>
                      <w:color w:val="auto"/>
                      <w:szCs w:val="21"/>
                      <w:highlight w:val="none"/>
                    </w:rPr>
                    <w:t>企业事业单位和其他生产经营者应当采取有效措施，防止、减少大气污染，对所造成的损害依法承担责任。</w:t>
                  </w:r>
                </w:p>
              </w:tc>
              <w:tc>
                <w:tcPr>
                  <w:tcW w:w="3432" w:type="dxa"/>
                  <w:vAlign w:val="center"/>
                </w:tcPr>
                <w:p w14:paraId="762EB508">
                  <w:pPr>
                    <w:pStyle w:val="94"/>
                    <w:adjustRightInd w:val="0"/>
                    <w:snapToGrid w:val="0"/>
                    <w:ind w:firstLine="0" w:firstLineChars="0"/>
                    <w:jc w:val="center"/>
                    <w:rPr>
                      <w:caps/>
                      <w:color w:val="auto"/>
                      <w:szCs w:val="21"/>
                      <w:highlight w:val="none"/>
                    </w:rPr>
                  </w:pPr>
                  <w:r>
                    <w:rPr>
                      <w:rFonts w:hint="eastAsia"/>
                      <w:color w:val="auto"/>
                      <w:highlight w:val="none"/>
                    </w:rPr>
                    <w:t>项目</w:t>
                  </w:r>
                  <w:r>
                    <w:rPr>
                      <w:rFonts w:hint="eastAsia"/>
                      <w:color w:val="auto"/>
                      <w:szCs w:val="21"/>
                      <w:highlight w:val="none"/>
                    </w:rPr>
                    <w:t>产生的</w:t>
                  </w:r>
                  <w:r>
                    <w:rPr>
                      <w:rFonts w:hint="eastAsia"/>
                      <w:color w:val="auto"/>
                      <w:szCs w:val="21"/>
                      <w:highlight w:val="none"/>
                      <w:lang w:eastAsia="zh-CN"/>
                    </w:rPr>
                    <w:t>蒸汽发生器</w:t>
                  </w:r>
                  <w:r>
                    <w:rPr>
                      <w:rFonts w:hint="eastAsia"/>
                      <w:color w:val="auto"/>
                      <w:szCs w:val="21"/>
                      <w:highlight w:val="none"/>
                    </w:rPr>
                    <w:t>废气经采取“低氮燃烧技术+旋风</w:t>
                  </w:r>
                  <w:r>
                    <w:rPr>
                      <w:rFonts w:hint="eastAsia"/>
                      <w:color w:val="auto"/>
                      <w:szCs w:val="21"/>
                      <w:highlight w:val="none"/>
                      <w:lang w:val="en-US" w:eastAsia="zh-CN"/>
                    </w:rPr>
                    <w:t>除尘+布袋除尘器”后经35</w:t>
                  </w:r>
                  <w:r>
                    <w:rPr>
                      <w:rFonts w:hint="eastAsia"/>
                      <w:color w:val="auto"/>
                      <w:szCs w:val="21"/>
                      <w:highlight w:val="none"/>
                    </w:rPr>
                    <w:t>m高排气筒（DA001）外排，能够达到</w:t>
                  </w:r>
                  <w:r>
                    <w:rPr>
                      <w:rFonts w:hint="eastAsia"/>
                      <w:color w:val="auto"/>
                      <w:szCs w:val="21"/>
                      <w:highlight w:val="none"/>
                      <w:lang w:eastAsia="zh-CN"/>
                    </w:rPr>
                    <w:t>《锅炉大气污染物排放标准》（GB13271-2014）中新建燃煤锅炉大气污染物排放限值</w:t>
                  </w:r>
                  <w:r>
                    <w:rPr>
                      <w:rFonts w:hint="eastAsia"/>
                      <w:color w:val="auto"/>
                      <w:szCs w:val="21"/>
                      <w:highlight w:val="none"/>
                    </w:rPr>
                    <w:t>。</w:t>
                  </w:r>
                  <w:r>
                    <w:rPr>
                      <w:bCs/>
                      <w:color w:val="auto"/>
                      <w:highlight w:val="none"/>
                    </w:rPr>
                    <w:t>项目运营期废气均能够实现达标排放，不会改变区域环境空气质量功能</w:t>
                  </w:r>
                  <w:r>
                    <w:rPr>
                      <w:rFonts w:hint="eastAsia"/>
                      <w:bCs/>
                      <w:color w:val="auto"/>
                      <w:highlight w:val="none"/>
                    </w:rPr>
                    <w:t>。</w:t>
                  </w:r>
                </w:p>
              </w:tc>
              <w:tc>
                <w:tcPr>
                  <w:tcW w:w="772" w:type="dxa"/>
                  <w:vAlign w:val="center"/>
                </w:tcPr>
                <w:p w14:paraId="3DF2676F">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5399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6847524F">
                  <w:pPr>
                    <w:pStyle w:val="94"/>
                    <w:adjustRightInd w:val="0"/>
                    <w:snapToGrid w:val="0"/>
                    <w:ind w:firstLine="0" w:firstLineChars="0"/>
                    <w:jc w:val="center"/>
                    <w:rPr>
                      <w:caps/>
                      <w:color w:val="auto"/>
                      <w:szCs w:val="21"/>
                      <w:highlight w:val="none"/>
                    </w:rPr>
                  </w:pPr>
                  <w:r>
                    <w:rPr>
                      <w:rFonts w:hint="eastAsia"/>
                      <w:color w:val="auto"/>
                      <w:szCs w:val="21"/>
                      <w:highlight w:val="none"/>
                    </w:rPr>
                    <w:t>大气污染防治的监督管理</w:t>
                  </w:r>
                </w:p>
              </w:tc>
            </w:tr>
            <w:tr w14:paraId="3889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684D00D9">
                  <w:pPr>
                    <w:pStyle w:val="94"/>
                    <w:adjustRightInd w:val="0"/>
                    <w:snapToGrid w:val="0"/>
                    <w:ind w:firstLine="0" w:firstLineChars="0"/>
                    <w:jc w:val="center"/>
                    <w:rPr>
                      <w:caps/>
                      <w:color w:val="auto"/>
                      <w:szCs w:val="21"/>
                      <w:highlight w:val="none"/>
                    </w:rPr>
                  </w:pPr>
                  <w:r>
                    <w:rPr>
                      <w:rFonts w:hint="eastAsia"/>
                      <w:caps/>
                      <w:color w:val="auto"/>
                      <w:szCs w:val="21"/>
                      <w:highlight w:val="none"/>
                    </w:rPr>
                    <w:t>企业事业单位和其他生产经营者建设对大气环境有影响的项目，应当依法进行环境影响评价、公开环境影响评价文件；向大气排放污染物的，应当符合大气污染物排放标准，遵守重点大气污染物排放总量控制要求。</w:t>
                  </w:r>
                </w:p>
              </w:tc>
              <w:tc>
                <w:tcPr>
                  <w:tcW w:w="3432" w:type="dxa"/>
                  <w:vAlign w:val="center"/>
                </w:tcPr>
                <w:p w14:paraId="6BFEBE59">
                  <w:pPr>
                    <w:pStyle w:val="94"/>
                    <w:adjustRightInd w:val="0"/>
                    <w:snapToGrid w:val="0"/>
                    <w:ind w:firstLine="0" w:firstLineChars="0"/>
                    <w:jc w:val="left"/>
                    <w:rPr>
                      <w:caps/>
                      <w:color w:val="auto"/>
                      <w:szCs w:val="21"/>
                      <w:highlight w:val="none"/>
                    </w:rPr>
                  </w:pPr>
                  <w:r>
                    <w:rPr>
                      <w:rFonts w:hint="eastAsia"/>
                      <w:caps/>
                      <w:color w:val="auto"/>
                      <w:szCs w:val="21"/>
                      <w:highlight w:val="none"/>
                    </w:rPr>
                    <w:t>根据《建设项目环境影响评价分类管理名录（2021年版）》，本项目应编制环境影响评价报告表，本项目依法进行环境影响评价、公开环境影响评价文件。</w:t>
                  </w:r>
                  <w:r>
                    <w:rPr>
                      <w:rFonts w:hint="eastAsia"/>
                      <w:color w:val="auto"/>
                      <w:highlight w:val="none"/>
                    </w:rPr>
                    <w:t>项目</w:t>
                  </w:r>
                  <w:r>
                    <w:rPr>
                      <w:rFonts w:hint="eastAsia"/>
                      <w:color w:val="auto"/>
                      <w:szCs w:val="21"/>
                      <w:highlight w:val="none"/>
                    </w:rPr>
                    <w:t>产生的</w:t>
                  </w:r>
                  <w:r>
                    <w:rPr>
                      <w:rFonts w:hint="eastAsia"/>
                      <w:color w:val="auto"/>
                      <w:szCs w:val="21"/>
                      <w:highlight w:val="none"/>
                      <w:lang w:eastAsia="zh-CN"/>
                    </w:rPr>
                    <w:t>蒸汽发生器</w:t>
                  </w:r>
                  <w:r>
                    <w:rPr>
                      <w:rFonts w:hint="eastAsia"/>
                      <w:color w:val="auto"/>
                      <w:szCs w:val="21"/>
                      <w:highlight w:val="none"/>
                    </w:rPr>
                    <w:t>废气经采取“低氮燃烧技术+旋风除尘+布袋除尘器”处理后由1根</w:t>
                  </w:r>
                  <w:r>
                    <w:rPr>
                      <w:rFonts w:hint="eastAsia"/>
                      <w:color w:val="auto"/>
                      <w:szCs w:val="21"/>
                      <w:highlight w:val="none"/>
                      <w:lang w:val="en-US" w:eastAsia="zh-CN"/>
                    </w:rPr>
                    <w:t>35</w:t>
                  </w:r>
                  <w:r>
                    <w:rPr>
                      <w:rFonts w:hint="eastAsia"/>
                      <w:color w:val="auto"/>
                      <w:szCs w:val="21"/>
                      <w:highlight w:val="none"/>
                    </w:rPr>
                    <w:t>m高排气筒（DA001）外排，能够达到</w:t>
                  </w:r>
                  <w:r>
                    <w:rPr>
                      <w:rFonts w:hint="eastAsia"/>
                      <w:color w:val="auto"/>
                      <w:szCs w:val="21"/>
                      <w:highlight w:val="none"/>
                      <w:lang w:eastAsia="zh-CN"/>
                    </w:rPr>
                    <w:t>《锅炉大气污染物排放标准》（GB13271-2014）中新建燃煤锅炉大气污染物排放限值</w:t>
                  </w:r>
                  <w:r>
                    <w:rPr>
                      <w:rFonts w:hint="eastAsia"/>
                      <w:color w:val="auto"/>
                      <w:szCs w:val="21"/>
                      <w:highlight w:val="none"/>
                    </w:rPr>
                    <w:t>，</w:t>
                  </w:r>
                  <w:r>
                    <w:rPr>
                      <w:rFonts w:hint="eastAsia"/>
                      <w:caps/>
                      <w:color w:val="auto"/>
                      <w:szCs w:val="21"/>
                      <w:highlight w:val="none"/>
                    </w:rPr>
                    <w:t>遵守重点大气污染物排放总量控制要求</w:t>
                  </w:r>
                  <w:r>
                    <w:rPr>
                      <w:rFonts w:hint="eastAsia"/>
                      <w:color w:val="auto"/>
                      <w:szCs w:val="21"/>
                      <w:highlight w:val="none"/>
                    </w:rPr>
                    <w:t>。</w:t>
                  </w:r>
                </w:p>
              </w:tc>
              <w:tc>
                <w:tcPr>
                  <w:tcW w:w="772" w:type="dxa"/>
                  <w:vAlign w:val="center"/>
                </w:tcPr>
                <w:p w14:paraId="7C5C8C8B">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6979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57ECAD08">
                  <w:pPr>
                    <w:pStyle w:val="94"/>
                    <w:adjustRightInd w:val="0"/>
                    <w:snapToGrid w:val="0"/>
                    <w:ind w:firstLine="0" w:firstLineChars="0"/>
                    <w:jc w:val="center"/>
                    <w:rPr>
                      <w:caps/>
                      <w:color w:val="auto"/>
                      <w:szCs w:val="21"/>
                      <w:highlight w:val="none"/>
                    </w:rPr>
                  </w:pPr>
                  <w:r>
                    <w:rPr>
                      <w:rFonts w:hint="eastAsia"/>
                      <w:caps/>
                      <w:color w:val="auto"/>
                      <w:szCs w:val="21"/>
                      <w:highlight w:val="none"/>
                    </w:rPr>
                    <w:t>排放工业废气或者本法第七十八条规定名录中所列有毒有害大气污染物的企业事业单位、集中供热设施的燃煤热源生产运营单位以及其他依法实行排污许可管理的单位，应当取得排污许可证。</w:t>
                  </w:r>
                </w:p>
              </w:tc>
              <w:tc>
                <w:tcPr>
                  <w:tcW w:w="3432" w:type="dxa"/>
                  <w:vAlign w:val="center"/>
                </w:tcPr>
                <w:p w14:paraId="318D53EA">
                  <w:pPr>
                    <w:pStyle w:val="94"/>
                    <w:adjustRightInd w:val="0"/>
                    <w:snapToGrid w:val="0"/>
                    <w:ind w:firstLine="0" w:firstLineChars="0"/>
                    <w:rPr>
                      <w:caps/>
                      <w:color w:val="auto"/>
                      <w:szCs w:val="21"/>
                      <w:highlight w:val="none"/>
                    </w:rPr>
                  </w:pPr>
                  <w:r>
                    <w:rPr>
                      <w:rFonts w:hint="eastAsia"/>
                      <w:caps/>
                      <w:color w:val="auto"/>
                      <w:szCs w:val="21"/>
                      <w:highlight w:val="none"/>
                    </w:rPr>
                    <w:t>本项目属于其他依法实行排污许可管理的单位，根据《固定污染源排污许可分类管理名录》（2019年版），本项目属于排污许可简化管理单位，实行排污许可简化管理。本项目在启动生产设施或者发生实际排污之前，向玉溪市生态环境局申请取得排污许可证。</w:t>
                  </w:r>
                </w:p>
              </w:tc>
              <w:tc>
                <w:tcPr>
                  <w:tcW w:w="772" w:type="dxa"/>
                  <w:vAlign w:val="center"/>
                </w:tcPr>
                <w:p w14:paraId="2316A461">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4A9C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6C424073">
                  <w:pPr>
                    <w:pStyle w:val="94"/>
                    <w:adjustRightInd w:val="0"/>
                    <w:snapToGrid w:val="0"/>
                    <w:ind w:firstLine="0" w:firstLineChars="0"/>
                    <w:jc w:val="center"/>
                    <w:rPr>
                      <w:caps/>
                      <w:color w:val="auto"/>
                      <w:szCs w:val="21"/>
                      <w:highlight w:val="none"/>
                    </w:rPr>
                  </w:pPr>
                  <w:r>
                    <w:rPr>
                      <w:rFonts w:hint="eastAsia"/>
                      <w:caps/>
                      <w:color w:val="auto"/>
                      <w:szCs w:val="21"/>
                      <w:highlight w:val="none"/>
                    </w:rPr>
                    <w:t>企业事业单位和其他生产经营者向大气排放污染物的，应当依照法律法规和国务院环境保护主管部门的规定设置大气污染物排放口。</w:t>
                  </w:r>
                </w:p>
              </w:tc>
              <w:tc>
                <w:tcPr>
                  <w:tcW w:w="3432" w:type="dxa"/>
                  <w:vAlign w:val="center"/>
                </w:tcPr>
                <w:p w14:paraId="44C6C5F8">
                  <w:pPr>
                    <w:pStyle w:val="94"/>
                    <w:adjustRightInd w:val="0"/>
                    <w:snapToGrid w:val="0"/>
                    <w:ind w:firstLine="0" w:firstLineChars="0"/>
                    <w:jc w:val="left"/>
                    <w:rPr>
                      <w:caps/>
                      <w:color w:val="auto"/>
                      <w:szCs w:val="21"/>
                      <w:highlight w:val="none"/>
                    </w:rPr>
                  </w:pPr>
                  <w:r>
                    <w:rPr>
                      <w:rFonts w:hint="eastAsia"/>
                      <w:caps/>
                      <w:color w:val="auto"/>
                      <w:szCs w:val="21"/>
                      <w:highlight w:val="none"/>
                    </w:rPr>
                    <w:t>本项目设置1个废气排放口，并设置便于采样、监测的采样口。采样口的设置符合《污染源监测技术规范》要求。</w:t>
                  </w:r>
                </w:p>
              </w:tc>
              <w:tc>
                <w:tcPr>
                  <w:tcW w:w="772" w:type="dxa"/>
                  <w:vAlign w:val="center"/>
                </w:tcPr>
                <w:p w14:paraId="5BF5CC04">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401E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102E14AC">
                  <w:pPr>
                    <w:pStyle w:val="94"/>
                    <w:adjustRightInd w:val="0"/>
                    <w:snapToGrid w:val="0"/>
                    <w:ind w:firstLine="0" w:firstLineChars="0"/>
                    <w:jc w:val="center"/>
                    <w:rPr>
                      <w:caps/>
                      <w:color w:val="auto"/>
                      <w:szCs w:val="21"/>
                      <w:highlight w:val="none"/>
                    </w:rPr>
                  </w:pPr>
                  <w:r>
                    <w:rPr>
                      <w:rFonts w:hint="eastAsia"/>
                      <w:caps/>
                      <w:color w:val="auto"/>
                      <w:szCs w:val="21"/>
                      <w:highlight w:val="none"/>
                    </w:rPr>
                    <w:t>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环境保护主管部门的监控设备联网，保证监测设备正常运行并依法公开排放信息。</w:t>
                  </w:r>
                </w:p>
              </w:tc>
              <w:tc>
                <w:tcPr>
                  <w:tcW w:w="3432" w:type="dxa"/>
                  <w:vAlign w:val="center"/>
                </w:tcPr>
                <w:p w14:paraId="4BF7B0C4">
                  <w:pPr>
                    <w:pStyle w:val="94"/>
                    <w:adjustRightInd w:val="0"/>
                    <w:snapToGrid w:val="0"/>
                    <w:ind w:firstLine="0" w:firstLineChars="0"/>
                    <w:jc w:val="left"/>
                    <w:rPr>
                      <w:caps/>
                      <w:color w:val="auto"/>
                      <w:szCs w:val="21"/>
                      <w:highlight w:val="none"/>
                    </w:rPr>
                  </w:pPr>
                  <w:r>
                    <w:rPr>
                      <w:rFonts w:hint="eastAsia"/>
                      <w:caps/>
                      <w:color w:val="auto"/>
                      <w:szCs w:val="21"/>
                      <w:highlight w:val="none"/>
                    </w:rPr>
                    <w:t>本项目按照</w:t>
                  </w:r>
                  <w:r>
                    <w:rPr>
                      <w:rFonts w:hint="eastAsia"/>
                      <w:caps/>
                      <w:color w:val="auto"/>
                      <w:szCs w:val="21"/>
                      <w:highlight w:val="none"/>
                      <w:lang w:eastAsia="zh-CN"/>
                    </w:rPr>
                    <w:t>《排污许可证申请与核发技术规范 锅炉》(HJ953-2018)</w:t>
                  </w:r>
                  <w:r>
                    <w:rPr>
                      <w:rFonts w:hint="eastAsia"/>
                      <w:caps/>
                      <w:color w:val="auto"/>
                      <w:szCs w:val="21"/>
                      <w:highlight w:val="none"/>
                    </w:rPr>
                    <w:t>、</w:t>
                  </w:r>
                  <w:r>
                    <w:rPr>
                      <w:rFonts w:hint="eastAsia"/>
                      <w:caps/>
                      <w:color w:val="auto"/>
                      <w:szCs w:val="21"/>
                      <w:highlight w:val="none"/>
                      <w:lang w:eastAsia="zh-CN"/>
                    </w:rPr>
                    <w:t>《排污单位自行监测技术指南</w:t>
                  </w:r>
                  <w:r>
                    <w:rPr>
                      <w:rFonts w:hint="eastAsia"/>
                      <w:caps/>
                      <w:color w:val="auto"/>
                      <w:szCs w:val="21"/>
                      <w:highlight w:val="none"/>
                      <w:lang w:val="en-US" w:eastAsia="zh-CN"/>
                    </w:rPr>
                    <w:t xml:space="preserve"> </w:t>
                  </w:r>
                  <w:r>
                    <w:rPr>
                      <w:rFonts w:hint="eastAsia"/>
                      <w:caps/>
                      <w:color w:val="auto"/>
                      <w:szCs w:val="21"/>
                      <w:highlight w:val="none"/>
                      <w:lang w:eastAsia="zh-CN"/>
                    </w:rPr>
                    <w:t>火力发电及锅炉》(HJ820-2017)</w:t>
                  </w:r>
                  <w:r>
                    <w:rPr>
                      <w:rFonts w:hint="eastAsia"/>
                      <w:caps/>
                      <w:color w:val="auto"/>
                      <w:szCs w:val="21"/>
                      <w:highlight w:val="none"/>
                    </w:rPr>
                    <w:t>的相关要求对</w:t>
                  </w:r>
                  <w:r>
                    <w:rPr>
                      <w:rFonts w:hint="eastAsia"/>
                      <w:caps/>
                      <w:color w:val="auto"/>
                      <w:szCs w:val="21"/>
                      <w:highlight w:val="none"/>
                      <w:lang w:eastAsia="zh-CN"/>
                    </w:rPr>
                    <w:t>蒸汽发生器</w:t>
                  </w:r>
                  <w:r>
                    <w:rPr>
                      <w:rFonts w:hint="eastAsia"/>
                      <w:caps/>
                      <w:color w:val="auto"/>
                      <w:szCs w:val="21"/>
                      <w:highlight w:val="none"/>
                    </w:rPr>
                    <w:t>废气开展自行监测，并保存原始监测记录。本项目不属于重点排污单位。</w:t>
                  </w:r>
                </w:p>
              </w:tc>
              <w:tc>
                <w:tcPr>
                  <w:tcW w:w="772" w:type="dxa"/>
                  <w:vAlign w:val="center"/>
                </w:tcPr>
                <w:p w14:paraId="1D1F1002">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4B0E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0CA96748">
                  <w:pPr>
                    <w:pStyle w:val="94"/>
                    <w:adjustRightInd w:val="0"/>
                    <w:snapToGrid w:val="0"/>
                    <w:ind w:firstLine="0" w:firstLineChars="0"/>
                    <w:jc w:val="center"/>
                    <w:rPr>
                      <w:caps/>
                      <w:color w:val="auto"/>
                      <w:szCs w:val="21"/>
                      <w:highlight w:val="none"/>
                    </w:rPr>
                  </w:pPr>
                  <w:r>
                    <w:rPr>
                      <w:rFonts w:hint="eastAsia"/>
                      <w:caps/>
                      <w:color w:val="auto"/>
                      <w:szCs w:val="21"/>
                      <w:highlight w:val="none"/>
                    </w:rPr>
                    <w:t>大气污染防治措施</w:t>
                  </w:r>
                </w:p>
              </w:tc>
            </w:tr>
            <w:tr w14:paraId="11DD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4A54DCD2">
                  <w:pPr>
                    <w:pStyle w:val="94"/>
                    <w:adjustRightInd w:val="0"/>
                    <w:snapToGrid w:val="0"/>
                    <w:ind w:firstLine="0" w:firstLineChars="0"/>
                    <w:jc w:val="center"/>
                    <w:rPr>
                      <w:caps/>
                      <w:color w:val="auto"/>
                      <w:szCs w:val="21"/>
                      <w:highlight w:val="none"/>
                    </w:rPr>
                  </w:pPr>
                  <w:r>
                    <w:rPr>
                      <w:rFonts w:hint="eastAsia"/>
                      <w:caps/>
                      <w:color w:val="auto"/>
                      <w:szCs w:val="21"/>
                      <w:highlight w:val="none"/>
                    </w:rPr>
                    <w:t>城市人民政府可以划定并公布高污染燃料禁燃区，并根据大气环境质量改善要求，逐步扩大高污染燃料禁燃区范围。高污染燃料的目录由国务院环境保护主管部门确定。在禁燃区内，禁止销售、燃用高污染燃料；禁止新建、扩建燃用高污染燃料的设施，已建成的，应当在城市人民政府规定的期限内改用天然气、页岩气、液化石油气、电或者其他清洁能源。</w:t>
                  </w:r>
                </w:p>
              </w:tc>
              <w:tc>
                <w:tcPr>
                  <w:tcW w:w="3432" w:type="dxa"/>
                  <w:vAlign w:val="center"/>
                </w:tcPr>
                <w:p w14:paraId="5C907CC3">
                  <w:pPr>
                    <w:pStyle w:val="94"/>
                    <w:adjustRightInd w:val="0"/>
                    <w:snapToGrid w:val="0"/>
                    <w:ind w:firstLine="0" w:firstLineChars="0"/>
                    <w:jc w:val="left"/>
                    <w:rPr>
                      <w:b/>
                      <w:color w:val="auto"/>
                      <w:kern w:val="24"/>
                      <w:sz w:val="24"/>
                      <w:highlight w:val="none"/>
                    </w:rPr>
                  </w:pPr>
                  <w:r>
                    <w:rPr>
                      <w:rFonts w:hint="eastAsia"/>
                      <w:caps/>
                      <w:color w:val="auto"/>
                      <w:szCs w:val="21"/>
                      <w:highlight w:val="none"/>
                    </w:rPr>
                    <w:t>本项目所在地不属于高污染燃料禁燃区。</w:t>
                  </w:r>
                </w:p>
                <w:p w14:paraId="25086B29">
                  <w:pPr>
                    <w:pStyle w:val="94"/>
                    <w:adjustRightInd w:val="0"/>
                    <w:snapToGrid w:val="0"/>
                    <w:ind w:firstLine="0" w:firstLineChars="0"/>
                    <w:jc w:val="center"/>
                    <w:rPr>
                      <w:caps/>
                      <w:color w:val="auto"/>
                      <w:szCs w:val="21"/>
                      <w:highlight w:val="none"/>
                    </w:rPr>
                  </w:pPr>
                  <w:r>
                    <w:rPr>
                      <w:rFonts w:hint="eastAsia"/>
                      <w:bCs/>
                      <w:color w:val="auto"/>
                      <w:kern w:val="24"/>
                      <w:szCs w:val="21"/>
                      <w:highlight w:val="none"/>
                    </w:rPr>
                    <w:t>本项目</w:t>
                  </w:r>
                  <w:r>
                    <w:rPr>
                      <w:rFonts w:hint="eastAsia"/>
                      <w:bCs/>
                      <w:color w:val="auto"/>
                      <w:kern w:val="24"/>
                      <w:szCs w:val="21"/>
                      <w:highlight w:val="none"/>
                      <w:lang w:eastAsia="zh-CN"/>
                    </w:rPr>
                    <w:t>蒸汽发生器</w:t>
                  </w:r>
                  <w:r>
                    <w:rPr>
                      <w:rFonts w:hint="eastAsia"/>
                      <w:bCs/>
                      <w:color w:val="auto"/>
                      <w:kern w:val="24"/>
                      <w:szCs w:val="21"/>
                      <w:highlight w:val="none"/>
                    </w:rPr>
                    <w:t>为生物质专用</w:t>
                  </w:r>
                  <w:r>
                    <w:rPr>
                      <w:rFonts w:hint="eastAsia"/>
                      <w:bCs/>
                      <w:color w:val="auto"/>
                      <w:kern w:val="24"/>
                      <w:szCs w:val="21"/>
                      <w:highlight w:val="none"/>
                      <w:lang w:eastAsia="zh-CN"/>
                    </w:rPr>
                    <w:t>蒸汽发生器</w:t>
                  </w:r>
                  <w:r>
                    <w:rPr>
                      <w:rFonts w:hint="eastAsia"/>
                      <w:bCs/>
                      <w:color w:val="auto"/>
                      <w:kern w:val="24"/>
                      <w:szCs w:val="21"/>
                      <w:highlight w:val="none"/>
                    </w:rPr>
                    <w:t>，燃料采用生物质燃料，根据关于发布《高污染燃料目录》的通知（国环规大气〔2017〕2号），该目录仅适用于城市人民政府依法划定的高污染燃料禁燃区（以下简称禁燃区）的管理，不作为禁燃区外燃料的禁燃管理依据。根据《玉溪市红塔区人民政府关于进一步扩大高污染燃料禁燃区的通知》，本项目所在地不属于高污染燃料禁燃区，且本项目</w:t>
                  </w:r>
                  <w:r>
                    <w:rPr>
                      <w:rFonts w:hint="eastAsia"/>
                      <w:bCs/>
                      <w:color w:val="auto"/>
                      <w:kern w:val="24"/>
                      <w:szCs w:val="21"/>
                      <w:highlight w:val="none"/>
                      <w:lang w:eastAsia="zh-CN"/>
                    </w:rPr>
                    <w:t>蒸汽发生器</w:t>
                  </w:r>
                  <w:r>
                    <w:rPr>
                      <w:rFonts w:hint="eastAsia"/>
                      <w:bCs/>
                      <w:color w:val="auto"/>
                      <w:kern w:val="24"/>
                      <w:szCs w:val="21"/>
                      <w:highlight w:val="none"/>
                    </w:rPr>
                    <w:t>为专用的生物质</w:t>
                  </w:r>
                  <w:r>
                    <w:rPr>
                      <w:rFonts w:hint="eastAsia"/>
                      <w:bCs/>
                      <w:color w:val="auto"/>
                      <w:kern w:val="24"/>
                      <w:szCs w:val="21"/>
                      <w:highlight w:val="none"/>
                      <w:lang w:eastAsia="zh-CN"/>
                    </w:rPr>
                    <w:t>蒸汽发生器</w:t>
                  </w:r>
                  <w:r>
                    <w:rPr>
                      <w:rFonts w:hint="eastAsia"/>
                      <w:bCs/>
                      <w:color w:val="auto"/>
                      <w:kern w:val="24"/>
                      <w:szCs w:val="21"/>
                      <w:highlight w:val="none"/>
                    </w:rPr>
                    <w:t>，配置了高效除尘设施。</w:t>
                  </w:r>
                </w:p>
              </w:tc>
              <w:tc>
                <w:tcPr>
                  <w:tcW w:w="772" w:type="dxa"/>
                  <w:vAlign w:val="center"/>
                </w:tcPr>
                <w:p w14:paraId="4055E640">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13D1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6CE8DB6C">
                  <w:pPr>
                    <w:pStyle w:val="94"/>
                    <w:adjustRightInd w:val="0"/>
                    <w:snapToGrid w:val="0"/>
                    <w:ind w:firstLine="0" w:firstLineChars="0"/>
                    <w:jc w:val="center"/>
                    <w:rPr>
                      <w:caps/>
                      <w:color w:val="auto"/>
                      <w:szCs w:val="21"/>
                      <w:highlight w:val="none"/>
                    </w:rPr>
                  </w:pPr>
                  <w:r>
                    <w:rPr>
                      <w:rFonts w:hint="eastAsia"/>
                      <w:caps/>
                      <w:color w:val="auto"/>
                      <w:szCs w:val="21"/>
                      <w:highlight w:val="none"/>
                    </w:rPr>
                    <w:t>工业生产企业应当采取密闭、围挡、遮盖、清扫、洒水等措施，减少内部物料的堆存、传输、装卸等环节产生的粉尘和气态污染物的排放。</w:t>
                  </w:r>
                </w:p>
              </w:tc>
              <w:tc>
                <w:tcPr>
                  <w:tcW w:w="3432" w:type="dxa"/>
                  <w:vAlign w:val="center"/>
                </w:tcPr>
                <w:p w14:paraId="72DBA377">
                  <w:pPr>
                    <w:pStyle w:val="94"/>
                    <w:adjustRightInd w:val="0"/>
                    <w:snapToGrid w:val="0"/>
                    <w:ind w:firstLine="0" w:firstLineChars="0"/>
                    <w:jc w:val="center"/>
                    <w:rPr>
                      <w:caps/>
                      <w:color w:val="auto"/>
                      <w:szCs w:val="21"/>
                      <w:highlight w:val="none"/>
                    </w:rPr>
                  </w:pPr>
                  <w:r>
                    <w:rPr>
                      <w:rFonts w:hint="eastAsia"/>
                      <w:caps/>
                      <w:color w:val="auto"/>
                      <w:szCs w:val="21"/>
                      <w:highlight w:val="none"/>
                    </w:rPr>
                    <w:t>本项目采取密闭、清扫等措施减少内部物料的堆存、传输、装卸等环节产生的粉尘。</w:t>
                  </w:r>
                </w:p>
              </w:tc>
              <w:tc>
                <w:tcPr>
                  <w:tcW w:w="772" w:type="dxa"/>
                  <w:vAlign w:val="center"/>
                </w:tcPr>
                <w:p w14:paraId="59EE60E9">
                  <w:pPr>
                    <w:pStyle w:val="94"/>
                    <w:adjustRightInd w:val="0"/>
                    <w:snapToGrid w:val="0"/>
                    <w:ind w:firstLine="0" w:firstLineChars="0"/>
                    <w:jc w:val="center"/>
                    <w:rPr>
                      <w:caps/>
                      <w:color w:val="auto"/>
                      <w:szCs w:val="21"/>
                      <w:highlight w:val="none"/>
                    </w:rPr>
                  </w:pPr>
                  <w:r>
                    <w:rPr>
                      <w:rFonts w:hint="eastAsia"/>
                      <w:color w:val="auto"/>
                      <w:szCs w:val="21"/>
                      <w:highlight w:val="none"/>
                    </w:rPr>
                    <w:t>符合</w:t>
                  </w:r>
                </w:p>
              </w:tc>
            </w:tr>
            <w:tr w14:paraId="6BAE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65BE4B49">
                  <w:pPr>
                    <w:pStyle w:val="94"/>
                    <w:adjustRightInd w:val="0"/>
                    <w:snapToGrid w:val="0"/>
                    <w:ind w:firstLine="0" w:firstLineChars="0"/>
                    <w:jc w:val="center"/>
                    <w:rPr>
                      <w:caps/>
                      <w:color w:val="auto"/>
                      <w:szCs w:val="21"/>
                      <w:highlight w:val="none"/>
                    </w:rPr>
                  </w:pPr>
                  <w:r>
                    <w:rPr>
                      <w:rFonts w:hint="eastAsia"/>
                      <w:caps/>
                      <w:color w:val="auto"/>
                      <w:szCs w:val="21"/>
                      <w:highlight w:val="none"/>
                    </w:rPr>
                    <w:t>建设单位应当将防治扬尘污染的费用列入工程造价，并在施工承包合同中明确施工单位扬尘污染防治责任。施工单位应当制定具体的施工扬尘污染防治实施方案。</w:t>
                  </w:r>
                </w:p>
              </w:tc>
              <w:tc>
                <w:tcPr>
                  <w:tcW w:w="3432" w:type="dxa"/>
                  <w:vAlign w:val="center"/>
                </w:tcPr>
                <w:p w14:paraId="343A2F7C">
                  <w:pPr>
                    <w:pStyle w:val="94"/>
                    <w:adjustRightInd w:val="0"/>
                    <w:snapToGrid w:val="0"/>
                    <w:ind w:firstLine="0" w:firstLineChars="0"/>
                    <w:jc w:val="left"/>
                    <w:rPr>
                      <w:caps/>
                      <w:color w:val="auto"/>
                      <w:szCs w:val="21"/>
                      <w:highlight w:val="none"/>
                    </w:rPr>
                  </w:pPr>
                  <w:r>
                    <w:rPr>
                      <w:rFonts w:hint="eastAsia"/>
                      <w:caps/>
                      <w:color w:val="auto"/>
                      <w:szCs w:val="21"/>
                      <w:highlight w:val="none"/>
                    </w:rPr>
                    <w:t>本项目建设单位将防治扬尘污染的费用列入工程造价，并在施工承包合同中明确施工单位扬尘污染防治责任。施工单位制定具体的施工扬尘污染防治实施方案。</w:t>
                  </w:r>
                </w:p>
              </w:tc>
              <w:tc>
                <w:tcPr>
                  <w:tcW w:w="772" w:type="dxa"/>
                  <w:vAlign w:val="center"/>
                </w:tcPr>
                <w:p w14:paraId="252FCCC3">
                  <w:pPr>
                    <w:pStyle w:val="94"/>
                    <w:adjustRightInd w:val="0"/>
                    <w:snapToGrid w:val="0"/>
                    <w:ind w:firstLine="0" w:firstLineChars="0"/>
                    <w:jc w:val="center"/>
                    <w:rPr>
                      <w:color w:val="auto"/>
                      <w:szCs w:val="21"/>
                      <w:highlight w:val="none"/>
                    </w:rPr>
                  </w:pPr>
                  <w:r>
                    <w:rPr>
                      <w:rFonts w:hint="eastAsia"/>
                      <w:color w:val="auto"/>
                      <w:szCs w:val="21"/>
                      <w:highlight w:val="none"/>
                    </w:rPr>
                    <w:t>符合</w:t>
                  </w:r>
                </w:p>
              </w:tc>
            </w:tr>
            <w:tr w14:paraId="01B6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3" w:type="dxa"/>
                  <w:vAlign w:val="center"/>
                </w:tcPr>
                <w:p w14:paraId="5F61EAAB">
                  <w:pPr>
                    <w:pStyle w:val="94"/>
                    <w:adjustRightInd w:val="0"/>
                    <w:snapToGrid w:val="0"/>
                    <w:ind w:firstLine="0" w:firstLineChars="0"/>
                    <w:jc w:val="center"/>
                    <w:rPr>
                      <w:caps/>
                      <w:color w:val="auto"/>
                      <w:szCs w:val="21"/>
                      <w:highlight w:val="none"/>
                    </w:rPr>
                  </w:pPr>
                  <w:r>
                    <w:rPr>
                      <w:rFonts w:hint="eastAsia"/>
                      <w:caps/>
                      <w:color w:val="auto"/>
                      <w:szCs w:val="21"/>
                      <w:highlight w:val="none"/>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施工单位应当在施工工地公示扬尘污染防治措施、负责人、扬尘监督管理主管部门等信息。</w:t>
                  </w:r>
                </w:p>
              </w:tc>
              <w:tc>
                <w:tcPr>
                  <w:tcW w:w="3432" w:type="dxa"/>
                  <w:vAlign w:val="center"/>
                </w:tcPr>
                <w:p w14:paraId="0DF2C3F6">
                  <w:pPr>
                    <w:pStyle w:val="94"/>
                    <w:adjustRightInd w:val="0"/>
                    <w:snapToGrid w:val="0"/>
                    <w:ind w:firstLine="0" w:firstLineChars="0"/>
                    <w:jc w:val="center"/>
                    <w:rPr>
                      <w:caps/>
                      <w:color w:val="auto"/>
                      <w:szCs w:val="21"/>
                      <w:highlight w:val="none"/>
                    </w:rPr>
                  </w:pPr>
                  <w:r>
                    <w:rPr>
                      <w:rFonts w:hint="eastAsia"/>
                      <w:caps/>
                      <w:color w:val="auto"/>
                      <w:szCs w:val="21"/>
                      <w:highlight w:val="none"/>
                    </w:rPr>
                    <w:t>本项目施工单位应在施工工地设置硬质围挡，并采取覆盖、洒水抑尘、冲洗地面和车辆等有效防尘降尘措施。建筑土方、工程渣土、建筑垃圾及时清运；在场地内堆存的，采用密闭式防尘网遮盖。工程渣土、建筑垃圾进行资源化处理。施工单位在施工工地公示扬尘污染防治措施、负责人、扬尘监督管理主管部门等信息。</w:t>
                  </w:r>
                </w:p>
              </w:tc>
              <w:tc>
                <w:tcPr>
                  <w:tcW w:w="772" w:type="dxa"/>
                  <w:vAlign w:val="center"/>
                </w:tcPr>
                <w:p w14:paraId="14B8939C">
                  <w:pPr>
                    <w:pStyle w:val="94"/>
                    <w:adjustRightInd w:val="0"/>
                    <w:snapToGrid w:val="0"/>
                    <w:ind w:firstLine="0" w:firstLineChars="0"/>
                    <w:jc w:val="center"/>
                    <w:rPr>
                      <w:color w:val="auto"/>
                      <w:szCs w:val="21"/>
                      <w:highlight w:val="none"/>
                    </w:rPr>
                  </w:pPr>
                  <w:r>
                    <w:rPr>
                      <w:rFonts w:hint="eastAsia"/>
                      <w:color w:val="auto"/>
                      <w:szCs w:val="21"/>
                      <w:highlight w:val="none"/>
                    </w:rPr>
                    <w:t>符合</w:t>
                  </w:r>
                </w:p>
              </w:tc>
            </w:tr>
            <w:tr w14:paraId="3783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3E4A93ED">
                  <w:pPr>
                    <w:pStyle w:val="94"/>
                    <w:adjustRightInd w:val="0"/>
                    <w:snapToGrid w:val="0"/>
                    <w:ind w:firstLine="0" w:firstLineChars="0"/>
                    <w:rPr>
                      <w:color w:val="auto"/>
                      <w:szCs w:val="21"/>
                      <w:highlight w:val="none"/>
                    </w:rPr>
                  </w:pPr>
                  <w:r>
                    <w:rPr>
                      <w:b/>
                      <w:color w:val="auto"/>
                      <w:szCs w:val="21"/>
                      <w:highlight w:val="none"/>
                    </w:rPr>
                    <w:t>备注：其它与项目无关项未列入</w:t>
                  </w:r>
                  <w:r>
                    <w:rPr>
                      <w:rFonts w:hint="eastAsia"/>
                      <w:b/>
                      <w:color w:val="auto"/>
                      <w:szCs w:val="21"/>
                      <w:highlight w:val="none"/>
                    </w:rPr>
                    <w:t>。</w:t>
                  </w:r>
                </w:p>
              </w:tc>
            </w:tr>
          </w:tbl>
          <w:p w14:paraId="745BC282">
            <w:pPr>
              <w:rPr>
                <w:color w:val="auto"/>
                <w:highlight w:val="none"/>
              </w:rPr>
            </w:pPr>
          </w:p>
          <w:p w14:paraId="24259BDE">
            <w:pPr>
              <w:autoSpaceDE w:val="0"/>
              <w:autoSpaceDN w:val="0"/>
              <w:adjustRightInd w:val="0"/>
              <w:snapToGrid w:val="0"/>
              <w:spacing w:line="360" w:lineRule="auto"/>
              <w:ind w:firstLine="480" w:firstLineChars="200"/>
              <w:jc w:val="left"/>
              <w:rPr>
                <w:bCs/>
                <w:color w:val="auto"/>
                <w:kern w:val="0"/>
                <w:sz w:val="24"/>
                <w:highlight w:val="none"/>
              </w:rPr>
            </w:pPr>
            <w:r>
              <w:rPr>
                <w:color w:val="auto"/>
                <w:kern w:val="0"/>
                <w:sz w:val="24"/>
                <w:highlight w:val="none"/>
              </w:rPr>
              <w:t>根据表</w:t>
            </w:r>
            <w:r>
              <w:rPr>
                <w:rFonts w:hint="eastAsia"/>
                <w:color w:val="auto"/>
                <w:kern w:val="0"/>
                <w:sz w:val="24"/>
                <w:highlight w:val="none"/>
              </w:rPr>
              <w:t>1-</w:t>
            </w:r>
            <w:r>
              <w:rPr>
                <w:color w:val="auto"/>
                <w:kern w:val="0"/>
                <w:sz w:val="24"/>
                <w:highlight w:val="none"/>
              </w:rPr>
              <w:t>5可知</w:t>
            </w:r>
            <w:r>
              <w:rPr>
                <w:rFonts w:hint="eastAsia"/>
                <w:bCs/>
                <w:color w:val="auto"/>
                <w:kern w:val="0"/>
                <w:sz w:val="24"/>
                <w:highlight w:val="none"/>
              </w:rPr>
              <w:t>，项目的建设符合</w:t>
            </w:r>
            <w:bookmarkStart w:id="8" w:name="_Hlk161928014"/>
            <w:r>
              <w:rPr>
                <w:rFonts w:hint="eastAsia"/>
                <w:bCs/>
                <w:color w:val="auto"/>
                <w:kern w:val="0"/>
                <w:sz w:val="24"/>
                <w:highlight w:val="none"/>
              </w:rPr>
              <w:t>《中华人民共和国大气污染防治法》</w:t>
            </w:r>
            <w:bookmarkEnd w:id="8"/>
            <w:r>
              <w:rPr>
                <w:rFonts w:hint="eastAsia"/>
                <w:bCs/>
                <w:color w:val="auto"/>
                <w:kern w:val="0"/>
                <w:sz w:val="24"/>
                <w:highlight w:val="none"/>
              </w:rPr>
              <w:t>的相关要求。</w:t>
            </w:r>
          </w:p>
          <w:p w14:paraId="2CAEFFC4">
            <w:pPr>
              <w:spacing w:line="360" w:lineRule="auto"/>
              <w:rPr>
                <w:b/>
                <w:color w:val="auto"/>
                <w:szCs w:val="21"/>
                <w:highlight w:val="none"/>
              </w:rPr>
            </w:pPr>
            <w:r>
              <w:rPr>
                <w:rFonts w:hint="eastAsia"/>
                <w:b/>
                <w:bCs/>
                <w:color w:val="auto"/>
                <w:sz w:val="24"/>
                <w:highlight w:val="none"/>
                <w:lang w:val="en-US" w:eastAsia="zh-CN"/>
              </w:rPr>
              <w:t>5</w:t>
            </w:r>
            <w:r>
              <w:rPr>
                <w:rFonts w:hint="eastAsia"/>
                <w:b/>
                <w:bCs/>
                <w:color w:val="auto"/>
                <w:sz w:val="24"/>
                <w:highlight w:val="none"/>
              </w:rPr>
              <w:t>、</w:t>
            </w:r>
            <w:r>
              <w:rPr>
                <w:b/>
                <w:bCs/>
                <w:color w:val="auto"/>
                <w:sz w:val="24"/>
                <w:highlight w:val="none"/>
              </w:rPr>
              <w:t>与</w:t>
            </w:r>
            <w:bookmarkStart w:id="9" w:name="_Hlk161928022"/>
            <w:r>
              <w:rPr>
                <w:b/>
                <w:bCs/>
                <w:color w:val="auto"/>
                <w:sz w:val="24"/>
                <w:highlight w:val="none"/>
              </w:rPr>
              <w:t>《长江经济带发展负面清单指南</w:t>
            </w:r>
            <w:r>
              <w:rPr>
                <w:rFonts w:hint="eastAsia"/>
                <w:b/>
                <w:bCs/>
                <w:color w:val="auto"/>
                <w:sz w:val="24"/>
                <w:highlight w:val="none"/>
              </w:rPr>
              <w:t>（</w:t>
            </w:r>
            <w:r>
              <w:rPr>
                <w:b/>
                <w:bCs/>
                <w:color w:val="auto"/>
                <w:sz w:val="24"/>
                <w:highlight w:val="none"/>
              </w:rPr>
              <w:t>试行</w:t>
            </w:r>
            <w:r>
              <w:rPr>
                <w:rFonts w:hint="eastAsia"/>
                <w:b/>
                <w:bCs/>
                <w:color w:val="auto"/>
                <w:sz w:val="24"/>
                <w:highlight w:val="none"/>
              </w:rPr>
              <w:t>，</w:t>
            </w:r>
            <w:r>
              <w:rPr>
                <w:b/>
                <w:bCs/>
                <w:color w:val="auto"/>
                <w:sz w:val="24"/>
                <w:highlight w:val="none"/>
              </w:rPr>
              <w:t>2022年版</w:t>
            </w:r>
            <w:r>
              <w:rPr>
                <w:rFonts w:hint="eastAsia"/>
                <w:b/>
                <w:bCs/>
                <w:color w:val="auto"/>
                <w:sz w:val="24"/>
                <w:highlight w:val="none"/>
              </w:rPr>
              <w:t>）</w:t>
            </w:r>
            <w:r>
              <w:rPr>
                <w:b/>
                <w:bCs/>
                <w:color w:val="auto"/>
                <w:sz w:val="24"/>
                <w:highlight w:val="none"/>
              </w:rPr>
              <w:t>》</w:t>
            </w:r>
            <w:bookmarkEnd w:id="9"/>
            <w:r>
              <w:rPr>
                <w:b/>
                <w:bCs/>
                <w:color w:val="auto"/>
                <w:sz w:val="24"/>
                <w:highlight w:val="none"/>
              </w:rPr>
              <w:t>符合性分析</w:t>
            </w:r>
          </w:p>
          <w:p w14:paraId="2B73698A">
            <w:pPr>
              <w:pStyle w:val="15"/>
              <w:spacing w:line="360" w:lineRule="auto"/>
              <w:jc w:val="center"/>
              <w:rPr>
                <w:rFonts w:hint="default" w:ascii="Times New Roman" w:hAnsi="Times New Roman"/>
                <w:b/>
                <w:color w:val="auto"/>
                <w:sz w:val="24"/>
                <w:highlight w:val="none"/>
              </w:rPr>
            </w:pPr>
            <w:r>
              <w:rPr>
                <w:rFonts w:hint="default" w:ascii="Times New Roman" w:hAnsi="Times New Roman"/>
                <w:b/>
                <w:color w:val="auto"/>
                <w:sz w:val="24"/>
                <w:highlight w:val="none"/>
              </w:rPr>
              <w:t>表1-</w:t>
            </w:r>
            <w:r>
              <w:rPr>
                <w:rFonts w:hint="eastAsia" w:ascii="Times New Roman" w:hAnsi="Times New Roman"/>
                <w:b/>
                <w:color w:val="auto"/>
                <w:sz w:val="24"/>
                <w:highlight w:val="none"/>
                <w:lang w:val="en-US" w:eastAsia="zh-CN"/>
              </w:rPr>
              <w:t>4</w:t>
            </w:r>
            <w:r>
              <w:rPr>
                <w:rFonts w:hint="default" w:ascii="Times New Roman" w:hAnsi="Times New Roman"/>
                <w:b/>
                <w:color w:val="auto"/>
                <w:sz w:val="24"/>
                <w:highlight w:val="none"/>
              </w:rPr>
              <w:t xml:space="preserve"> </w:t>
            </w:r>
            <w:r>
              <w:rPr>
                <w:rFonts w:hint="eastAsia" w:ascii="Times New Roman" w:hAnsi="Times New Roman"/>
                <w:b/>
                <w:color w:val="auto"/>
                <w:sz w:val="24"/>
                <w:highlight w:val="none"/>
                <w:lang w:val="en-US" w:eastAsia="zh-CN"/>
              </w:rPr>
              <w:t xml:space="preserve"> </w:t>
            </w:r>
            <w:r>
              <w:rPr>
                <w:rFonts w:hint="default" w:ascii="Times New Roman" w:hAnsi="Times New Roman"/>
                <w:b/>
                <w:color w:val="auto"/>
                <w:sz w:val="24"/>
                <w:highlight w:val="none"/>
              </w:rPr>
              <w:t>项目与《长江经济带发展负面清单指南</w:t>
            </w:r>
            <w:r>
              <w:rPr>
                <w:rFonts w:ascii="Times New Roman" w:hAnsi="Times New Roman"/>
                <w:b/>
                <w:color w:val="auto"/>
                <w:sz w:val="24"/>
                <w:highlight w:val="none"/>
              </w:rPr>
              <w:t>（</w:t>
            </w:r>
            <w:r>
              <w:rPr>
                <w:rFonts w:hint="default" w:ascii="Times New Roman" w:hAnsi="Times New Roman"/>
                <w:b/>
                <w:color w:val="auto"/>
                <w:sz w:val="24"/>
                <w:highlight w:val="none"/>
              </w:rPr>
              <w:t>试行</w:t>
            </w:r>
            <w:r>
              <w:rPr>
                <w:rFonts w:ascii="Times New Roman" w:hAnsi="Times New Roman"/>
                <w:b/>
                <w:color w:val="auto"/>
                <w:sz w:val="24"/>
                <w:highlight w:val="none"/>
              </w:rPr>
              <w:t>，</w:t>
            </w:r>
            <w:r>
              <w:rPr>
                <w:rFonts w:hint="default" w:ascii="Times New Roman" w:hAnsi="Times New Roman"/>
                <w:b/>
                <w:color w:val="auto"/>
                <w:sz w:val="24"/>
                <w:highlight w:val="none"/>
              </w:rPr>
              <w:t>2022年版</w:t>
            </w:r>
            <w:r>
              <w:rPr>
                <w:rFonts w:ascii="Times New Roman" w:hAnsi="Times New Roman"/>
                <w:b/>
                <w:color w:val="auto"/>
                <w:sz w:val="24"/>
                <w:highlight w:val="none"/>
              </w:rPr>
              <w:t>）</w:t>
            </w:r>
            <w:r>
              <w:rPr>
                <w:rFonts w:hint="default" w:ascii="Times New Roman" w:hAnsi="Times New Roman"/>
                <w:b/>
                <w:color w:val="auto"/>
                <w:sz w:val="24"/>
                <w:highlight w:val="none"/>
              </w:rPr>
              <w:t>)》</w:t>
            </w:r>
          </w:p>
          <w:p w14:paraId="07BCF4E6">
            <w:pPr>
              <w:pStyle w:val="15"/>
              <w:spacing w:line="360" w:lineRule="auto"/>
              <w:jc w:val="center"/>
              <w:rPr>
                <w:rFonts w:hint="default" w:ascii="Times New Roman" w:hAnsi="Times New Roman"/>
                <w:color w:val="auto"/>
                <w:sz w:val="24"/>
                <w:highlight w:val="none"/>
              </w:rPr>
            </w:pPr>
            <w:r>
              <w:rPr>
                <w:rFonts w:hint="default" w:ascii="Times New Roman" w:hAnsi="Times New Roman"/>
                <w:b/>
                <w:color w:val="auto"/>
                <w:sz w:val="24"/>
                <w:highlight w:val="none"/>
              </w:rPr>
              <w:t>符合性分析</w:t>
            </w:r>
          </w:p>
          <w:tbl>
            <w:tblPr>
              <w:tblStyle w:val="26"/>
              <w:tblW w:w="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
              <w:gridCol w:w="3478"/>
              <w:gridCol w:w="3486"/>
              <w:gridCol w:w="473"/>
            </w:tblGrid>
            <w:tr w14:paraId="1241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0" w:type="auto"/>
                  <w:vAlign w:val="center"/>
                </w:tcPr>
                <w:p w14:paraId="6E464717">
                  <w:pPr>
                    <w:jc w:val="center"/>
                    <w:rPr>
                      <w:b/>
                      <w:color w:val="auto"/>
                      <w:szCs w:val="21"/>
                      <w:highlight w:val="none"/>
                    </w:rPr>
                  </w:pPr>
                  <w:r>
                    <w:rPr>
                      <w:b/>
                      <w:color w:val="auto"/>
                      <w:szCs w:val="21"/>
                      <w:highlight w:val="none"/>
                    </w:rPr>
                    <w:t>序号</w:t>
                  </w:r>
                </w:p>
              </w:tc>
              <w:tc>
                <w:tcPr>
                  <w:tcW w:w="0" w:type="auto"/>
                  <w:vAlign w:val="center"/>
                </w:tcPr>
                <w:p w14:paraId="1DBDC037">
                  <w:pPr>
                    <w:jc w:val="center"/>
                    <w:rPr>
                      <w:b/>
                      <w:color w:val="auto"/>
                      <w:szCs w:val="21"/>
                      <w:highlight w:val="none"/>
                    </w:rPr>
                  </w:pPr>
                  <w:r>
                    <w:rPr>
                      <w:b/>
                      <w:color w:val="auto"/>
                      <w:szCs w:val="21"/>
                      <w:highlight w:val="none"/>
                    </w:rPr>
                    <w:t>文件内容</w:t>
                  </w:r>
                </w:p>
              </w:tc>
              <w:tc>
                <w:tcPr>
                  <w:tcW w:w="0" w:type="auto"/>
                  <w:vAlign w:val="center"/>
                </w:tcPr>
                <w:p w14:paraId="03783D8D">
                  <w:pPr>
                    <w:jc w:val="center"/>
                    <w:rPr>
                      <w:b/>
                      <w:color w:val="auto"/>
                      <w:szCs w:val="21"/>
                      <w:highlight w:val="none"/>
                    </w:rPr>
                  </w:pPr>
                  <w:r>
                    <w:rPr>
                      <w:b/>
                      <w:color w:val="auto"/>
                      <w:szCs w:val="21"/>
                      <w:highlight w:val="none"/>
                    </w:rPr>
                    <w:t>相符性分析</w:t>
                  </w:r>
                </w:p>
              </w:tc>
              <w:tc>
                <w:tcPr>
                  <w:tcW w:w="0" w:type="auto"/>
                  <w:vAlign w:val="center"/>
                </w:tcPr>
                <w:p w14:paraId="114F50C1">
                  <w:pPr>
                    <w:jc w:val="center"/>
                    <w:rPr>
                      <w:b/>
                      <w:color w:val="auto"/>
                      <w:szCs w:val="21"/>
                      <w:highlight w:val="none"/>
                    </w:rPr>
                  </w:pPr>
                  <w:r>
                    <w:rPr>
                      <w:b/>
                      <w:color w:val="auto"/>
                      <w:szCs w:val="21"/>
                      <w:highlight w:val="none"/>
                    </w:rPr>
                    <w:t>符合性</w:t>
                  </w:r>
                </w:p>
              </w:tc>
            </w:tr>
            <w:tr w14:paraId="3217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6EEFB5E">
                  <w:pPr>
                    <w:jc w:val="center"/>
                    <w:rPr>
                      <w:bCs/>
                      <w:color w:val="auto"/>
                      <w:szCs w:val="21"/>
                      <w:highlight w:val="none"/>
                    </w:rPr>
                  </w:pPr>
                  <w:r>
                    <w:rPr>
                      <w:bCs/>
                      <w:color w:val="auto"/>
                      <w:szCs w:val="21"/>
                      <w:highlight w:val="none"/>
                    </w:rPr>
                    <w:t>1</w:t>
                  </w:r>
                </w:p>
              </w:tc>
              <w:tc>
                <w:tcPr>
                  <w:tcW w:w="0" w:type="auto"/>
                  <w:vAlign w:val="center"/>
                </w:tcPr>
                <w:p w14:paraId="3C3A95F2">
                  <w:pPr>
                    <w:jc w:val="center"/>
                    <w:rPr>
                      <w:bCs/>
                      <w:color w:val="auto"/>
                      <w:szCs w:val="21"/>
                      <w:highlight w:val="none"/>
                    </w:rPr>
                  </w:pPr>
                  <w:r>
                    <w:rPr>
                      <w:bCs/>
                      <w:color w:val="auto"/>
                      <w:szCs w:val="21"/>
                      <w:highlight w:val="none"/>
                    </w:rPr>
                    <w:t>禁止建设不符合全国和省级港口布局规划以及港口总体规划的码头项目禁止建设不符合《长江干线过江通道布局规划》的过长江通道项目。</w:t>
                  </w:r>
                </w:p>
              </w:tc>
              <w:tc>
                <w:tcPr>
                  <w:tcW w:w="0" w:type="auto"/>
                  <w:vAlign w:val="center"/>
                </w:tcPr>
                <w:p w14:paraId="1A4A21EA">
                  <w:pPr>
                    <w:jc w:val="center"/>
                    <w:rPr>
                      <w:bCs/>
                      <w:color w:val="auto"/>
                      <w:szCs w:val="21"/>
                      <w:highlight w:val="none"/>
                    </w:rPr>
                  </w:pPr>
                  <w:r>
                    <w:rPr>
                      <w:bCs/>
                      <w:color w:val="auto"/>
                      <w:szCs w:val="21"/>
                      <w:highlight w:val="none"/>
                    </w:rPr>
                    <w:t>项目不涉及长江通道建设</w:t>
                  </w:r>
                </w:p>
              </w:tc>
              <w:tc>
                <w:tcPr>
                  <w:tcW w:w="0" w:type="auto"/>
                  <w:vAlign w:val="center"/>
                </w:tcPr>
                <w:p w14:paraId="168CB017">
                  <w:pPr>
                    <w:jc w:val="center"/>
                    <w:rPr>
                      <w:b/>
                      <w:color w:val="auto"/>
                      <w:szCs w:val="21"/>
                      <w:highlight w:val="none"/>
                    </w:rPr>
                  </w:pPr>
                  <w:r>
                    <w:rPr>
                      <w:b/>
                      <w:color w:val="auto"/>
                      <w:szCs w:val="21"/>
                      <w:highlight w:val="none"/>
                    </w:rPr>
                    <w:t>符合</w:t>
                  </w:r>
                </w:p>
              </w:tc>
            </w:tr>
            <w:tr w14:paraId="56BB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09F8E12">
                  <w:pPr>
                    <w:jc w:val="center"/>
                    <w:rPr>
                      <w:bCs/>
                      <w:color w:val="auto"/>
                      <w:szCs w:val="21"/>
                      <w:highlight w:val="none"/>
                    </w:rPr>
                  </w:pPr>
                  <w:r>
                    <w:rPr>
                      <w:bCs/>
                      <w:color w:val="auto"/>
                      <w:szCs w:val="21"/>
                      <w:highlight w:val="none"/>
                    </w:rPr>
                    <w:t>2</w:t>
                  </w:r>
                </w:p>
              </w:tc>
              <w:tc>
                <w:tcPr>
                  <w:tcW w:w="0" w:type="auto"/>
                  <w:vAlign w:val="center"/>
                </w:tcPr>
                <w:p w14:paraId="49A55114">
                  <w:pPr>
                    <w:jc w:val="center"/>
                    <w:rPr>
                      <w:bCs/>
                      <w:color w:val="auto"/>
                      <w:szCs w:val="21"/>
                      <w:highlight w:val="none"/>
                    </w:rPr>
                  </w:pPr>
                  <w:r>
                    <w:rPr>
                      <w:bCs/>
                      <w:color w:val="auto"/>
                      <w:szCs w:val="21"/>
                      <w:highlight w:val="none"/>
                    </w:rPr>
                    <w:t>禁止在自然保护区核心区、缓冲区的岸线和河段范围内投资建设旅游和生产经营项目。禁止在风景名胜区核心景区的岸线和河段范围内投资建设与风景名</w:t>
                  </w:r>
                  <w:r>
                    <w:rPr>
                      <w:rFonts w:hint="eastAsia"/>
                      <w:bCs/>
                      <w:color w:val="auto"/>
                      <w:szCs w:val="21"/>
                      <w:highlight w:val="none"/>
                      <w:lang w:eastAsia="zh-CN"/>
                    </w:rPr>
                    <w:t>胜区</w:t>
                  </w:r>
                  <w:r>
                    <w:rPr>
                      <w:bCs/>
                      <w:color w:val="auto"/>
                      <w:szCs w:val="21"/>
                      <w:highlight w:val="none"/>
                    </w:rPr>
                    <w:t>资源保护无关的项目。</w:t>
                  </w:r>
                </w:p>
              </w:tc>
              <w:tc>
                <w:tcPr>
                  <w:tcW w:w="0" w:type="auto"/>
                  <w:vAlign w:val="center"/>
                </w:tcPr>
                <w:p w14:paraId="79D2D00E">
                  <w:pPr>
                    <w:jc w:val="center"/>
                    <w:rPr>
                      <w:bCs/>
                      <w:color w:val="auto"/>
                      <w:szCs w:val="21"/>
                      <w:highlight w:val="none"/>
                    </w:rPr>
                  </w:pPr>
                  <w:r>
                    <w:rPr>
                      <w:bCs/>
                      <w:color w:val="auto"/>
                      <w:szCs w:val="21"/>
                      <w:highlight w:val="none"/>
                    </w:rPr>
                    <w:t>项目位于玉溪市</w:t>
                  </w:r>
                  <w:r>
                    <w:rPr>
                      <w:rFonts w:hint="eastAsia"/>
                      <w:bCs/>
                      <w:color w:val="auto"/>
                      <w:szCs w:val="21"/>
                      <w:highlight w:val="none"/>
                      <w:lang w:val="en-US" w:eastAsia="zh-CN"/>
                    </w:rPr>
                    <w:t>红塔区北城街道</w:t>
                  </w:r>
                  <w:r>
                    <w:rPr>
                      <w:bCs/>
                      <w:color w:val="auto"/>
                      <w:szCs w:val="21"/>
                      <w:highlight w:val="none"/>
                    </w:rPr>
                    <w:t>，不涉及自然保护区、风景名胜区</w:t>
                  </w:r>
                </w:p>
              </w:tc>
              <w:tc>
                <w:tcPr>
                  <w:tcW w:w="0" w:type="auto"/>
                  <w:vAlign w:val="center"/>
                </w:tcPr>
                <w:p w14:paraId="0D865D54">
                  <w:pPr>
                    <w:jc w:val="center"/>
                    <w:rPr>
                      <w:b/>
                      <w:color w:val="auto"/>
                      <w:szCs w:val="21"/>
                      <w:highlight w:val="none"/>
                    </w:rPr>
                  </w:pPr>
                  <w:r>
                    <w:rPr>
                      <w:b/>
                      <w:color w:val="auto"/>
                      <w:szCs w:val="21"/>
                      <w:highlight w:val="none"/>
                    </w:rPr>
                    <w:t>符合</w:t>
                  </w:r>
                </w:p>
              </w:tc>
            </w:tr>
            <w:tr w14:paraId="421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DF0BCA7">
                  <w:pPr>
                    <w:jc w:val="center"/>
                    <w:rPr>
                      <w:bCs/>
                      <w:color w:val="auto"/>
                      <w:szCs w:val="21"/>
                      <w:highlight w:val="none"/>
                    </w:rPr>
                  </w:pPr>
                  <w:r>
                    <w:rPr>
                      <w:bCs/>
                      <w:color w:val="auto"/>
                      <w:szCs w:val="21"/>
                      <w:highlight w:val="none"/>
                    </w:rPr>
                    <w:t>3</w:t>
                  </w:r>
                </w:p>
              </w:tc>
              <w:tc>
                <w:tcPr>
                  <w:tcW w:w="0" w:type="auto"/>
                  <w:vAlign w:val="center"/>
                </w:tcPr>
                <w:p w14:paraId="135F98D7">
                  <w:pPr>
                    <w:jc w:val="center"/>
                    <w:rPr>
                      <w:bCs/>
                      <w:color w:val="auto"/>
                      <w:szCs w:val="21"/>
                      <w:highlight w:val="none"/>
                    </w:rPr>
                  </w:pPr>
                  <w:r>
                    <w:rPr>
                      <w:bCs/>
                      <w:color w:val="auto"/>
                      <w:szCs w:val="21"/>
                      <w:highlight w:val="none"/>
                    </w:rPr>
                    <w:t>禁止在饮用水水源一级保护区的岸线和河段范围内新建、改建、扩建与供水设施和保护水源无关的项目</w:t>
                  </w:r>
                  <w:r>
                    <w:rPr>
                      <w:rFonts w:hint="eastAsia"/>
                      <w:bCs/>
                      <w:color w:val="auto"/>
                      <w:szCs w:val="21"/>
                      <w:highlight w:val="none"/>
                      <w:lang w:eastAsia="zh-CN"/>
                    </w:rPr>
                    <w:t>，</w:t>
                  </w:r>
                  <w:r>
                    <w:rPr>
                      <w:bCs/>
                      <w:color w:val="auto"/>
                      <w:szCs w:val="21"/>
                      <w:highlight w:val="none"/>
                    </w:rPr>
                    <w:t>以及网箱养殖、畜禽养殖、旅游等可能污染饮用水水体的投资建设项目。禁止在饮用水水源二级保护区的岸线和河段范围内新建、改建、扩建排放污染物的投资建设项目。</w:t>
                  </w:r>
                </w:p>
              </w:tc>
              <w:tc>
                <w:tcPr>
                  <w:tcW w:w="0" w:type="auto"/>
                  <w:vAlign w:val="center"/>
                </w:tcPr>
                <w:p w14:paraId="353A5E54">
                  <w:pPr>
                    <w:jc w:val="center"/>
                    <w:rPr>
                      <w:bCs/>
                      <w:color w:val="auto"/>
                      <w:szCs w:val="21"/>
                      <w:highlight w:val="none"/>
                    </w:rPr>
                  </w:pPr>
                  <w:r>
                    <w:rPr>
                      <w:bCs/>
                      <w:color w:val="auto"/>
                      <w:szCs w:val="21"/>
                      <w:highlight w:val="none"/>
                    </w:rPr>
                    <w:t>项目不涉及饮用水源保护区</w:t>
                  </w:r>
                </w:p>
              </w:tc>
              <w:tc>
                <w:tcPr>
                  <w:tcW w:w="0" w:type="auto"/>
                  <w:vAlign w:val="center"/>
                </w:tcPr>
                <w:p w14:paraId="3EB2F393">
                  <w:pPr>
                    <w:jc w:val="center"/>
                    <w:rPr>
                      <w:b/>
                      <w:color w:val="auto"/>
                      <w:szCs w:val="21"/>
                      <w:highlight w:val="none"/>
                    </w:rPr>
                  </w:pPr>
                  <w:r>
                    <w:rPr>
                      <w:b/>
                      <w:color w:val="auto"/>
                      <w:szCs w:val="21"/>
                      <w:highlight w:val="none"/>
                    </w:rPr>
                    <w:t>符合</w:t>
                  </w:r>
                </w:p>
              </w:tc>
            </w:tr>
            <w:tr w14:paraId="727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8C44A7A">
                  <w:pPr>
                    <w:jc w:val="center"/>
                    <w:rPr>
                      <w:bCs/>
                      <w:color w:val="auto"/>
                      <w:highlight w:val="none"/>
                    </w:rPr>
                  </w:pPr>
                  <w:r>
                    <w:rPr>
                      <w:bCs/>
                      <w:color w:val="auto"/>
                      <w:highlight w:val="none"/>
                    </w:rPr>
                    <w:t>4</w:t>
                  </w:r>
                </w:p>
              </w:tc>
              <w:tc>
                <w:tcPr>
                  <w:tcW w:w="0" w:type="auto"/>
                  <w:vAlign w:val="center"/>
                </w:tcPr>
                <w:p w14:paraId="7EF7FBE6">
                  <w:pPr>
                    <w:jc w:val="center"/>
                    <w:rPr>
                      <w:bCs/>
                      <w:color w:val="auto"/>
                      <w:szCs w:val="21"/>
                      <w:highlight w:val="none"/>
                    </w:rPr>
                  </w:pPr>
                  <w:r>
                    <w:rPr>
                      <w:bCs/>
                      <w:color w:val="auto"/>
                      <w:szCs w:val="21"/>
                      <w:highlight w:val="none"/>
                    </w:rPr>
                    <w:t>禁止在水产种质资源保护区的岸线和河段范围内新建围湖造田、围海造地或围填海等投资建设项目。禁止在国家湿地公园的岸线和河段范围内挖沙、采矿</w:t>
                  </w:r>
                  <w:r>
                    <w:rPr>
                      <w:rFonts w:hint="eastAsia"/>
                      <w:bCs/>
                      <w:color w:val="auto"/>
                      <w:szCs w:val="21"/>
                      <w:highlight w:val="none"/>
                      <w:lang w:eastAsia="zh-CN"/>
                    </w:rPr>
                    <w:t>以及</w:t>
                  </w:r>
                  <w:r>
                    <w:rPr>
                      <w:bCs/>
                      <w:color w:val="auto"/>
                      <w:szCs w:val="21"/>
                      <w:highlight w:val="none"/>
                    </w:rPr>
                    <w:t>任何不符合主体功能定位的投资建设项目。</w:t>
                  </w:r>
                </w:p>
              </w:tc>
              <w:tc>
                <w:tcPr>
                  <w:tcW w:w="0" w:type="auto"/>
                  <w:vAlign w:val="center"/>
                </w:tcPr>
                <w:p w14:paraId="5F38727D">
                  <w:pPr>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2E303C75">
                  <w:pPr>
                    <w:jc w:val="center"/>
                    <w:rPr>
                      <w:b/>
                      <w:color w:val="auto"/>
                      <w:szCs w:val="21"/>
                      <w:highlight w:val="none"/>
                    </w:rPr>
                  </w:pPr>
                  <w:r>
                    <w:rPr>
                      <w:rFonts w:hint="eastAsia"/>
                      <w:b/>
                      <w:color w:val="auto"/>
                      <w:szCs w:val="21"/>
                      <w:highlight w:val="none"/>
                    </w:rPr>
                    <w:t>/</w:t>
                  </w:r>
                </w:p>
              </w:tc>
            </w:tr>
            <w:tr w14:paraId="0D16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714A4C2">
                  <w:pPr>
                    <w:jc w:val="center"/>
                    <w:rPr>
                      <w:bCs/>
                      <w:color w:val="auto"/>
                      <w:szCs w:val="21"/>
                      <w:highlight w:val="none"/>
                    </w:rPr>
                  </w:pPr>
                  <w:r>
                    <w:rPr>
                      <w:bCs/>
                      <w:color w:val="auto"/>
                      <w:szCs w:val="21"/>
                      <w:highlight w:val="none"/>
                    </w:rPr>
                    <w:t>5</w:t>
                  </w:r>
                </w:p>
              </w:tc>
              <w:tc>
                <w:tcPr>
                  <w:tcW w:w="0" w:type="auto"/>
                  <w:vAlign w:val="center"/>
                </w:tcPr>
                <w:p w14:paraId="4AC6815B">
                  <w:pPr>
                    <w:pStyle w:val="97"/>
                    <w:spacing w:line="240" w:lineRule="auto"/>
                    <w:ind w:left="0" w:firstLine="0"/>
                    <w:jc w:val="both"/>
                    <w:rPr>
                      <w:rFonts w:ascii="Times New Roman" w:hAnsi="Times New Roman" w:cs="Times New Roman"/>
                      <w:color w:val="auto"/>
                      <w:highlight w:val="none"/>
                    </w:rPr>
                  </w:pPr>
                  <w:r>
                    <w:rPr>
                      <w:rFonts w:ascii="Times New Roman" w:hAnsi="Times New Roman" w:cs="Times New Roman"/>
                      <w:color w:val="auto"/>
                      <w:sz w:val="21"/>
                      <w:highlight w:val="none"/>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w:t>
                  </w:r>
                </w:p>
              </w:tc>
              <w:tc>
                <w:tcPr>
                  <w:tcW w:w="0" w:type="auto"/>
                  <w:vAlign w:val="center"/>
                </w:tcPr>
                <w:p w14:paraId="39463AB3">
                  <w:pPr>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72A41502">
                  <w:pPr>
                    <w:jc w:val="center"/>
                    <w:rPr>
                      <w:b/>
                      <w:color w:val="auto"/>
                      <w:szCs w:val="21"/>
                      <w:highlight w:val="none"/>
                    </w:rPr>
                  </w:pPr>
                  <w:r>
                    <w:rPr>
                      <w:rFonts w:hint="eastAsia"/>
                      <w:b/>
                      <w:color w:val="auto"/>
                      <w:szCs w:val="21"/>
                      <w:highlight w:val="none"/>
                    </w:rPr>
                    <w:t>/</w:t>
                  </w:r>
                </w:p>
              </w:tc>
            </w:tr>
            <w:tr w14:paraId="60FD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EA31B2A">
                  <w:pPr>
                    <w:jc w:val="center"/>
                    <w:rPr>
                      <w:bCs/>
                      <w:color w:val="auto"/>
                      <w:szCs w:val="21"/>
                      <w:highlight w:val="none"/>
                    </w:rPr>
                  </w:pPr>
                  <w:r>
                    <w:rPr>
                      <w:bCs/>
                      <w:color w:val="auto"/>
                      <w:szCs w:val="21"/>
                      <w:highlight w:val="none"/>
                    </w:rPr>
                    <w:t>6</w:t>
                  </w:r>
                </w:p>
              </w:tc>
              <w:tc>
                <w:tcPr>
                  <w:tcW w:w="0" w:type="auto"/>
                  <w:vAlign w:val="center"/>
                </w:tcPr>
                <w:p w14:paraId="2B3EBC90">
                  <w:pPr>
                    <w:jc w:val="center"/>
                    <w:rPr>
                      <w:bCs/>
                      <w:color w:val="auto"/>
                      <w:szCs w:val="21"/>
                      <w:highlight w:val="none"/>
                    </w:rPr>
                  </w:pPr>
                  <w:r>
                    <w:rPr>
                      <w:color w:val="auto"/>
                      <w:highlight w:val="none"/>
                    </w:rPr>
                    <w:t>禁止未经许可在长江干支流及湖泊新设、改设或扩大排污口。</w:t>
                  </w:r>
                </w:p>
              </w:tc>
              <w:tc>
                <w:tcPr>
                  <w:tcW w:w="0" w:type="auto"/>
                  <w:vAlign w:val="center"/>
                </w:tcPr>
                <w:p w14:paraId="03D4B8A3">
                  <w:pPr>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40C315C6">
                  <w:pPr>
                    <w:jc w:val="center"/>
                    <w:rPr>
                      <w:b/>
                      <w:color w:val="auto"/>
                      <w:szCs w:val="21"/>
                      <w:highlight w:val="none"/>
                    </w:rPr>
                  </w:pPr>
                  <w:r>
                    <w:rPr>
                      <w:rFonts w:hint="eastAsia"/>
                      <w:b/>
                      <w:color w:val="auto"/>
                      <w:szCs w:val="21"/>
                      <w:highlight w:val="none"/>
                    </w:rPr>
                    <w:t>/</w:t>
                  </w:r>
                </w:p>
              </w:tc>
            </w:tr>
            <w:tr w14:paraId="7F60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A034661">
                  <w:pPr>
                    <w:autoSpaceDE w:val="0"/>
                    <w:autoSpaceDN w:val="0"/>
                    <w:jc w:val="center"/>
                    <w:rPr>
                      <w:bCs/>
                      <w:color w:val="auto"/>
                      <w:szCs w:val="21"/>
                      <w:highlight w:val="none"/>
                    </w:rPr>
                  </w:pPr>
                  <w:r>
                    <w:rPr>
                      <w:bCs/>
                      <w:color w:val="auto"/>
                      <w:szCs w:val="21"/>
                      <w:highlight w:val="none"/>
                    </w:rPr>
                    <w:t>7</w:t>
                  </w:r>
                </w:p>
              </w:tc>
              <w:tc>
                <w:tcPr>
                  <w:tcW w:w="0" w:type="auto"/>
                  <w:vAlign w:val="center"/>
                </w:tcPr>
                <w:p w14:paraId="4DCB108C">
                  <w:pPr>
                    <w:autoSpaceDE w:val="0"/>
                    <w:autoSpaceDN w:val="0"/>
                    <w:jc w:val="center"/>
                    <w:rPr>
                      <w:bCs/>
                      <w:color w:val="auto"/>
                      <w:szCs w:val="21"/>
                      <w:highlight w:val="none"/>
                    </w:rPr>
                  </w:pPr>
                  <w:r>
                    <w:rPr>
                      <w:bCs/>
                      <w:color w:val="auto"/>
                      <w:szCs w:val="21"/>
                      <w:highlight w:val="none"/>
                    </w:rPr>
                    <w:t>禁止在“一江一口两湖七河”和332个水生生物保护区开展生产性捕捞。</w:t>
                  </w:r>
                </w:p>
              </w:tc>
              <w:tc>
                <w:tcPr>
                  <w:tcW w:w="0" w:type="auto"/>
                  <w:vAlign w:val="center"/>
                </w:tcPr>
                <w:p w14:paraId="716DE893">
                  <w:pPr>
                    <w:autoSpaceDE w:val="0"/>
                    <w:autoSpaceDN w:val="0"/>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50CE2A5B">
                  <w:pPr>
                    <w:autoSpaceDE w:val="0"/>
                    <w:autoSpaceDN w:val="0"/>
                    <w:jc w:val="center"/>
                    <w:rPr>
                      <w:b/>
                      <w:color w:val="auto"/>
                      <w:szCs w:val="21"/>
                      <w:highlight w:val="none"/>
                    </w:rPr>
                  </w:pPr>
                  <w:r>
                    <w:rPr>
                      <w:rFonts w:hint="eastAsia"/>
                      <w:b/>
                      <w:color w:val="auto"/>
                      <w:szCs w:val="21"/>
                      <w:highlight w:val="none"/>
                    </w:rPr>
                    <w:t>/</w:t>
                  </w:r>
                </w:p>
              </w:tc>
            </w:tr>
            <w:tr w14:paraId="3717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2E97BEB">
                  <w:pPr>
                    <w:autoSpaceDE w:val="0"/>
                    <w:autoSpaceDN w:val="0"/>
                    <w:jc w:val="center"/>
                    <w:rPr>
                      <w:bCs/>
                      <w:color w:val="auto"/>
                      <w:szCs w:val="21"/>
                      <w:highlight w:val="none"/>
                    </w:rPr>
                  </w:pPr>
                  <w:r>
                    <w:rPr>
                      <w:bCs/>
                      <w:color w:val="auto"/>
                      <w:szCs w:val="21"/>
                      <w:highlight w:val="none"/>
                    </w:rPr>
                    <w:t>8</w:t>
                  </w:r>
                </w:p>
              </w:tc>
              <w:tc>
                <w:tcPr>
                  <w:tcW w:w="0" w:type="auto"/>
                  <w:vAlign w:val="center"/>
                </w:tcPr>
                <w:p w14:paraId="7D0F2B79">
                  <w:pPr>
                    <w:autoSpaceDE w:val="0"/>
                    <w:autoSpaceDN w:val="0"/>
                    <w:jc w:val="center"/>
                    <w:rPr>
                      <w:bCs/>
                      <w:color w:val="auto"/>
                      <w:szCs w:val="21"/>
                      <w:highlight w:val="none"/>
                    </w:rPr>
                  </w:pPr>
                  <w:r>
                    <w:rPr>
                      <w:bCs/>
                      <w:color w:val="auto"/>
                      <w:szCs w:val="21"/>
                      <w:highlight w:val="none"/>
                    </w:rPr>
                    <w:t>禁止在长江</w:t>
                  </w:r>
                  <w:r>
                    <w:rPr>
                      <w:rFonts w:hint="eastAsia"/>
                      <w:bCs/>
                      <w:color w:val="auto"/>
                      <w:szCs w:val="21"/>
                      <w:highlight w:val="none"/>
                      <w:lang w:eastAsia="zh-CN"/>
                    </w:rPr>
                    <w:t>干支流</w:t>
                  </w:r>
                  <w:r>
                    <w:rPr>
                      <w:bCs/>
                      <w:color w:val="auto"/>
                      <w:szCs w:val="21"/>
                      <w:highlight w:val="none"/>
                    </w:rPr>
                    <w:t>、重要湖泊岸线一公里范围内新建、扩建化工园区和化工项目。禁止在长江干流岸线三公里范围内和重要支流岸线</w:t>
                  </w:r>
                  <w:r>
                    <w:rPr>
                      <w:rFonts w:hint="eastAsia"/>
                      <w:bCs/>
                      <w:color w:val="auto"/>
                      <w:szCs w:val="21"/>
                      <w:highlight w:val="none"/>
                      <w:lang w:eastAsia="zh-CN"/>
                    </w:rPr>
                    <w:t>－</w:t>
                  </w:r>
                  <w:r>
                    <w:rPr>
                      <w:bCs/>
                      <w:color w:val="auto"/>
                      <w:szCs w:val="21"/>
                      <w:highlight w:val="none"/>
                    </w:rPr>
                    <w:t>公里范围内新建、改建、扩建尾矿库、冶炼渣库和磷石膏库</w:t>
                  </w:r>
                  <w:r>
                    <w:rPr>
                      <w:rFonts w:hint="eastAsia"/>
                      <w:bCs/>
                      <w:color w:val="auto"/>
                      <w:szCs w:val="21"/>
                      <w:highlight w:val="none"/>
                      <w:lang w:eastAsia="zh-CN"/>
                    </w:rPr>
                    <w:t>，</w:t>
                  </w:r>
                  <w:r>
                    <w:rPr>
                      <w:bCs/>
                      <w:color w:val="auto"/>
                      <w:szCs w:val="21"/>
                      <w:highlight w:val="none"/>
                    </w:rPr>
                    <w:t>以提升安全、生态环境保护水平为目的的改建除外。</w:t>
                  </w:r>
                </w:p>
              </w:tc>
              <w:tc>
                <w:tcPr>
                  <w:tcW w:w="0" w:type="auto"/>
                  <w:vAlign w:val="center"/>
                </w:tcPr>
                <w:p w14:paraId="3AFD3D3E">
                  <w:pPr>
                    <w:autoSpaceDE w:val="0"/>
                    <w:autoSpaceDN w:val="0"/>
                    <w:jc w:val="center"/>
                    <w:rPr>
                      <w:bCs/>
                      <w:color w:val="auto"/>
                      <w:szCs w:val="21"/>
                      <w:highlight w:val="none"/>
                    </w:rPr>
                  </w:pPr>
                  <w:r>
                    <w:rPr>
                      <w:color w:val="auto"/>
                      <w:szCs w:val="21"/>
                      <w:highlight w:val="none"/>
                    </w:rPr>
                    <w:t>项目</w:t>
                  </w:r>
                  <w:r>
                    <w:rPr>
                      <w:rFonts w:hint="eastAsia"/>
                      <w:color w:val="auto"/>
                      <w:szCs w:val="21"/>
                      <w:highlight w:val="none"/>
                    </w:rPr>
                    <w:t>不涉及</w:t>
                  </w:r>
                  <w:r>
                    <w:rPr>
                      <w:color w:val="auto"/>
                      <w:szCs w:val="21"/>
                      <w:highlight w:val="none"/>
                    </w:rPr>
                    <w:t>。</w:t>
                  </w:r>
                </w:p>
              </w:tc>
              <w:tc>
                <w:tcPr>
                  <w:tcW w:w="0" w:type="auto"/>
                  <w:vAlign w:val="center"/>
                </w:tcPr>
                <w:p w14:paraId="3AE5E94D">
                  <w:pPr>
                    <w:autoSpaceDE w:val="0"/>
                    <w:autoSpaceDN w:val="0"/>
                    <w:jc w:val="center"/>
                    <w:rPr>
                      <w:b/>
                      <w:color w:val="auto"/>
                      <w:szCs w:val="21"/>
                      <w:highlight w:val="none"/>
                    </w:rPr>
                  </w:pPr>
                  <w:r>
                    <w:rPr>
                      <w:rFonts w:hint="eastAsia"/>
                      <w:b/>
                      <w:color w:val="auto"/>
                      <w:szCs w:val="21"/>
                      <w:highlight w:val="none"/>
                    </w:rPr>
                    <w:t>/</w:t>
                  </w:r>
                </w:p>
              </w:tc>
            </w:tr>
            <w:tr w14:paraId="671C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44BA489">
                  <w:pPr>
                    <w:autoSpaceDE w:val="0"/>
                    <w:autoSpaceDN w:val="0"/>
                    <w:jc w:val="center"/>
                    <w:rPr>
                      <w:bCs/>
                      <w:color w:val="auto"/>
                      <w:szCs w:val="21"/>
                      <w:highlight w:val="none"/>
                    </w:rPr>
                  </w:pPr>
                  <w:r>
                    <w:rPr>
                      <w:bCs/>
                      <w:color w:val="auto"/>
                      <w:szCs w:val="21"/>
                      <w:highlight w:val="none"/>
                    </w:rPr>
                    <w:t>9</w:t>
                  </w:r>
                </w:p>
              </w:tc>
              <w:tc>
                <w:tcPr>
                  <w:tcW w:w="0" w:type="auto"/>
                  <w:vAlign w:val="center"/>
                </w:tcPr>
                <w:p w14:paraId="58325F06">
                  <w:pPr>
                    <w:pStyle w:val="37"/>
                    <w:tabs>
                      <w:tab w:val="left" w:pos="3780"/>
                    </w:tabs>
                    <w:ind w:left="0" w:leftChars="0" w:firstLine="0"/>
                    <w:rPr>
                      <w:bCs/>
                      <w:color w:val="auto"/>
                      <w:szCs w:val="21"/>
                      <w:highlight w:val="none"/>
                    </w:rPr>
                  </w:pPr>
                  <w:r>
                    <w:rPr>
                      <w:bCs/>
                      <w:color w:val="auto"/>
                      <w:szCs w:val="21"/>
                      <w:highlight w:val="none"/>
                    </w:rPr>
                    <w:t>禁止在合规园区外新建、扩建钢铁、石化、化工、焦化、建材、有色、制浆造纸等高污染项目。</w:t>
                  </w:r>
                </w:p>
              </w:tc>
              <w:tc>
                <w:tcPr>
                  <w:tcW w:w="0" w:type="auto"/>
                  <w:vAlign w:val="center"/>
                </w:tcPr>
                <w:p w14:paraId="115D2C32">
                  <w:pPr>
                    <w:autoSpaceDE w:val="0"/>
                    <w:autoSpaceDN w:val="0"/>
                    <w:jc w:val="center"/>
                    <w:rPr>
                      <w:bCs/>
                      <w:color w:val="auto"/>
                      <w:szCs w:val="21"/>
                      <w:highlight w:val="none"/>
                    </w:rPr>
                  </w:pPr>
                  <w:r>
                    <w:rPr>
                      <w:bCs/>
                      <w:color w:val="auto"/>
                      <w:szCs w:val="21"/>
                      <w:highlight w:val="none"/>
                    </w:rPr>
                    <w:t>项目位于玉溪市</w:t>
                  </w:r>
                  <w:r>
                    <w:rPr>
                      <w:rFonts w:hint="eastAsia"/>
                      <w:bCs/>
                      <w:color w:val="auto"/>
                      <w:szCs w:val="21"/>
                      <w:highlight w:val="none"/>
                      <w:lang w:val="en-US" w:eastAsia="zh-CN"/>
                    </w:rPr>
                    <w:t>红塔区北城街道</w:t>
                  </w:r>
                  <w:r>
                    <w:rPr>
                      <w:bCs/>
                      <w:color w:val="auto"/>
                      <w:szCs w:val="21"/>
                      <w:highlight w:val="none"/>
                    </w:rPr>
                    <w:t>，项目属于</w:t>
                  </w:r>
                  <w:r>
                    <w:rPr>
                      <w:bCs/>
                      <w:color w:val="auto"/>
                      <w:kern w:val="0"/>
                      <w:szCs w:val="21"/>
                      <w:highlight w:val="none"/>
                    </w:rPr>
                    <w:t>热力生产和供应行业</w:t>
                  </w:r>
                  <w:r>
                    <w:rPr>
                      <w:bCs/>
                      <w:color w:val="auto"/>
                      <w:szCs w:val="21"/>
                      <w:highlight w:val="none"/>
                    </w:rPr>
                    <w:t>，不属于高污染行业</w:t>
                  </w:r>
                </w:p>
              </w:tc>
              <w:tc>
                <w:tcPr>
                  <w:tcW w:w="0" w:type="auto"/>
                  <w:vAlign w:val="center"/>
                </w:tcPr>
                <w:p w14:paraId="4F51BD8D">
                  <w:pPr>
                    <w:autoSpaceDE w:val="0"/>
                    <w:autoSpaceDN w:val="0"/>
                    <w:jc w:val="center"/>
                    <w:rPr>
                      <w:b/>
                      <w:color w:val="auto"/>
                      <w:szCs w:val="21"/>
                      <w:highlight w:val="none"/>
                    </w:rPr>
                  </w:pPr>
                  <w:r>
                    <w:rPr>
                      <w:b/>
                      <w:color w:val="auto"/>
                      <w:szCs w:val="21"/>
                      <w:highlight w:val="none"/>
                    </w:rPr>
                    <w:t>符合</w:t>
                  </w:r>
                </w:p>
              </w:tc>
            </w:tr>
            <w:tr w14:paraId="50EE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8349225">
                  <w:pPr>
                    <w:autoSpaceDE w:val="0"/>
                    <w:autoSpaceDN w:val="0"/>
                    <w:jc w:val="center"/>
                    <w:rPr>
                      <w:bCs/>
                      <w:color w:val="auto"/>
                      <w:szCs w:val="21"/>
                      <w:highlight w:val="none"/>
                    </w:rPr>
                  </w:pPr>
                  <w:r>
                    <w:rPr>
                      <w:bCs/>
                      <w:color w:val="auto"/>
                      <w:szCs w:val="21"/>
                      <w:highlight w:val="none"/>
                    </w:rPr>
                    <w:t>10</w:t>
                  </w:r>
                </w:p>
              </w:tc>
              <w:tc>
                <w:tcPr>
                  <w:tcW w:w="0" w:type="auto"/>
                  <w:vAlign w:val="center"/>
                </w:tcPr>
                <w:p w14:paraId="4BC0C862">
                  <w:pPr>
                    <w:autoSpaceDE w:val="0"/>
                    <w:autoSpaceDN w:val="0"/>
                    <w:jc w:val="center"/>
                    <w:rPr>
                      <w:bCs/>
                      <w:color w:val="auto"/>
                      <w:szCs w:val="21"/>
                      <w:highlight w:val="none"/>
                    </w:rPr>
                  </w:pPr>
                  <w:r>
                    <w:rPr>
                      <w:bCs/>
                      <w:color w:val="auto"/>
                      <w:szCs w:val="21"/>
                      <w:highlight w:val="none"/>
                    </w:rPr>
                    <w:t>禁止新建、扩建不符合国家石化、现代煤化工等产业布局规划的项目。</w:t>
                  </w:r>
                </w:p>
              </w:tc>
              <w:tc>
                <w:tcPr>
                  <w:tcW w:w="0" w:type="auto"/>
                  <w:vAlign w:val="center"/>
                </w:tcPr>
                <w:p w14:paraId="33A5F293">
                  <w:pPr>
                    <w:autoSpaceDE w:val="0"/>
                    <w:autoSpaceDN w:val="0"/>
                    <w:jc w:val="center"/>
                    <w:rPr>
                      <w:bCs/>
                      <w:color w:val="auto"/>
                      <w:szCs w:val="21"/>
                      <w:highlight w:val="none"/>
                    </w:rPr>
                  </w:pPr>
                  <w:r>
                    <w:rPr>
                      <w:bCs/>
                      <w:color w:val="auto"/>
                      <w:szCs w:val="21"/>
                      <w:highlight w:val="none"/>
                    </w:rPr>
                    <w:t>不涉及</w:t>
                  </w:r>
                </w:p>
              </w:tc>
              <w:tc>
                <w:tcPr>
                  <w:tcW w:w="0" w:type="auto"/>
                  <w:vAlign w:val="center"/>
                </w:tcPr>
                <w:p w14:paraId="76CF0DE1">
                  <w:pPr>
                    <w:autoSpaceDE w:val="0"/>
                    <w:autoSpaceDN w:val="0"/>
                    <w:jc w:val="center"/>
                    <w:rPr>
                      <w:b/>
                      <w:color w:val="auto"/>
                      <w:szCs w:val="21"/>
                      <w:highlight w:val="none"/>
                    </w:rPr>
                  </w:pPr>
                  <w:r>
                    <w:rPr>
                      <w:rFonts w:hint="eastAsia"/>
                      <w:b/>
                      <w:color w:val="auto"/>
                      <w:szCs w:val="21"/>
                      <w:highlight w:val="none"/>
                    </w:rPr>
                    <w:t>/</w:t>
                  </w:r>
                </w:p>
              </w:tc>
            </w:tr>
            <w:tr w14:paraId="6154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ABD5780">
                  <w:pPr>
                    <w:autoSpaceDE w:val="0"/>
                    <w:autoSpaceDN w:val="0"/>
                    <w:jc w:val="center"/>
                    <w:rPr>
                      <w:bCs/>
                      <w:color w:val="auto"/>
                      <w:szCs w:val="21"/>
                      <w:highlight w:val="none"/>
                    </w:rPr>
                  </w:pPr>
                  <w:r>
                    <w:rPr>
                      <w:bCs/>
                      <w:color w:val="auto"/>
                      <w:szCs w:val="21"/>
                      <w:highlight w:val="none"/>
                    </w:rPr>
                    <w:t>11</w:t>
                  </w:r>
                </w:p>
              </w:tc>
              <w:tc>
                <w:tcPr>
                  <w:tcW w:w="0" w:type="auto"/>
                  <w:vAlign w:val="center"/>
                </w:tcPr>
                <w:p w14:paraId="167EE490">
                  <w:pPr>
                    <w:pStyle w:val="37"/>
                    <w:tabs>
                      <w:tab w:val="left" w:pos="3780"/>
                    </w:tabs>
                    <w:ind w:left="0" w:leftChars="0" w:firstLine="0"/>
                    <w:rPr>
                      <w:bCs/>
                      <w:color w:val="auto"/>
                      <w:szCs w:val="21"/>
                      <w:highlight w:val="none"/>
                    </w:rPr>
                  </w:pPr>
                  <w:r>
                    <w:rPr>
                      <w:bCs/>
                      <w:color w:val="auto"/>
                      <w:szCs w:val="21"/>
                      <w:highlight w:val="none"/>
                    </w:rPr>
                    <w:t>禁止新建扩建法律法规和相关政策明令禁止的落后产能项目。禁止新建、扩建不符合国家产能置换要求的严重过剩产能行业的项目。禁止新建、扩建不符合要求的高耗能高排放项目。</w:t>
                  </w:r>
                </w:p>
              </w:tc>
              <w:tc>
                <w:tcPr>
                  <w:tcW w:w="0" w:type="auto"/>
                  <w:vAlign w:val="center"/>
                </w:tcPr>
                <w:p w14:paraId="5880D26C">
                  <w:pPr>
                    <w:pStyle w:val="10"/>
                    <w:jc w:val="center"/>
                    <w:rPr>
                      <w:bCs/>
                      <w:color w:val="auto"/>
                      <w:szCs w:val="21"/>
                      <w:highlight w:val="none"/>
                    </w:rPr>
                  </w:pPr>
                  <w:r>
                    <w:rPr>
                      <w:bCs/>
                      <w:color w:val="auto"/>
                      <w:sz w:val="21"/>
                      <w:szCs w:val="21"/>
                      <w:highlight w:val="none"/>
                    </w:rPr>
                    <w:t>本项目为热力生产和供应行业，对照《产业结构调整指导目录（</w:t>
                  </w:r>
                  <w:r>
                    <w:rPr>
                      <w:rFonts w:hint="eastAsia"/>
                      <w:bCs/>
                      <w:color w:val="auto"/>
                      <w:sz w:val="21"/>
                      <w:szCs w:val="21"/>
                      <w:highlight w:val="none"/>
                    </w:rPr>
                    <w:t>2024</w:t>
                  </w:r>
                  <w:r>
                    <w:rPr>
                      <w:bCs/>
                      <w:color w:val="auto"/>
                      <w:sz w:val="21"/>
                      <w:szCs w:val="21"/>
                      <w:highlight w:val="none"/>
                    </w:rPr>
                    <w:t>年本）》，本项目属于</w:t>
                  </w:r>
                  <w:r>
                    <w:rPr>
                      <w:rFonts w:hint="eastAsia"/>
                      <w:bCs/>
                      <w:color w:val="auto"/>
                      <w:sz w:val="21"/>
                      <w:szCs w:val="21"/>
                      <w:highlight w:val="none"/>
                      <w:lang w:val="en-US" w:eastAsia="zh-CN"/>
                    </w:rPr>
                    <w:t>第一类“鼓励类”中的“一、农林牧渔业，17.可再生资源综合利用、生物质能清洁供热”。</w:t>
                  </w:r>
                  <w:r>
                    <w:rPr>
                      <w:bCs/>
                      <w:color w:val="auto"/>
                      <w:sz w:val="21"/>
                      <w:szCs w:val="21"/>
                      <w:highlight w:val="none"/>
                    </w:rPr>
                    <w:t>则项目</w:t>
                  </w:r>
                  <w:r>
                    <w:rPr>
                      <w:color w:val="auto"/>
                      <w:sz w:val="21"/>
                      <w:szCs w:val="21"/>
                      <w:highlight w:val="none"/>
                    </w:rPr>
                    <w:t>不属于落后、过剩产能项目，不属于高能耗、高排放项目。</w:t>
                  </w:r>
                </w:p>
              </w:tc>
              <w:tc>
                <w:tcPr>
                  <w:tcW w:w="0" w:type="auto"/>
                  <w:vAlign w:val="center"/>
                </w:tcPr>
                <w:p w14:paraId="716AAB3C">
                  <w:pPr>
                    <w:autoSpaceDE w:val="0"/>
                    <w:autoSpaceDN w:val="0"/>
                    <w:jc w:val="center"/>
                    <w:rPr>
                      <w:b/>
                      <w:color w:val="auto"/>
                      <w:szCs w:val="21"/>
                      <w:highlight w:val="none"/>
                    </w:rPr>
                  </w:pPr>
                  <w:r>
                    <w:rPr>
                      <w:b/>
                      <w:color w:val="auto"/>
                      <w:szCs w:val="21"/>
                      <w:highlight w:val="none"/>
                    </w:rPr>
                    <w:t>符合</w:t>
                  </w:r>
                </w:p>
              </w:tc>
            </w:tr>
            <w:tr w14:paraId="1BF3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893C476">
                  <w:pPr>
                    <w:autoSpaceDE w:val="0"/>
                    <w:autoSpaceDN w:val="0"/>
                    <w:jc w:val="center"/>
                    <w:rPr>
                      <w:bCs/>
                      <w:color w:val="auto"/>
                      <w:szCs w:val="21"/>
                      <w:highlight w:val="none"/>
                    </w:rPr>
                  </w:pPr>
                  <w:r>
                    <w:rPr>
                      <w:bCs/>
                      <w:color w:val="auto"/>
                      <w:szCs w:val="21"/>
                      <w:highlight w:val="none"/>
                    </w:rPr>
                    <w:t>12</w:t>
                  </w:r>
                </w:p>
              </w:tc>
              <w:tc>
                <w:tcPr>
                  <w:tcW w:w="0" w:type="auto"/>
                  <w:vAlign w:val="center"/>
                </w:tcPr>
                <w:p w14:paraId="47BD462A">
                  <w:pPr>
                    <w:autoSpaceDE w:val="0"/>
                    <w:autoSpaceDN w:val="0"/>
                    <w:jc w:val="center"/>
                    <w:rPr>
                      <w:bCs/>
                      <w:color w:val="auto"/>
                      <w:szCs w:val="21"/>
                      <w:highlight w:val="none"/>
                    </w:rPr>
                  </w:pPr>
                  <w:r>
                    <w:rPr>
                      <w:bCs/>
                      <w:color w:val="auto"/>
                      <w:szCs w:val="21"/>
                      <w:highlight w:val="none"/>
                    </w:rPr>
                    <w:t>法律法规及相关政策文件有更加严格规定的从其规定。</w:t>
                  </w:r>
                </w:p>
              </w:tc>
              <w:tc>
                <w:tcPr>
                  <w:tcW w:w="0" w:type="auto"/>
                  <w:vAlign w:val="center"/>
                </w:tcPr>
                <w:p w14:paraId="0F9C546D">
                  <w:pPr>
                    <w:autoSpaceDE w:val="0"/>
                    <w:autoSpaceDN w:val="0"/>
                    <w:jc w:val="center"/>
                    <w:rPr>
                      <w:bCs/>
                      <w:color w:val="auto"/>
                      <w:szCs w:val="21"/>
                      <w:highlight w:val="none"/>
                    </w:rPr>
                  </w:pPr>
                  <w:r>
                    <w:rPr>
                      <w:bCs/>
                      <w:color w:val="auto"/>
                      <w:szCs w:val="21"/>
                      <w:highlight w:val="none"/>
                    </w:rPr>
                    <w:t>已对其它相关法律法规及政策文件进行分析判定</w:t>
                  </w:r>
                </w:p>
              </w:tc>
              <w:tc>
                <w:tcPr>
                  <w:tcW w:w="0" w:type="auto"/>
                  <w:vAlign w:val="center"/>
                </w:tcPr>
                <w:p w14:paraId="3B96E270">
                  <w:pPr>
                    <w:autoSpaceDE w:val="0"/>
                    <w:autoSpaceDN w:val="0"/>
                    <w:jc w:val="center"/>
                    <w:rPr>
                      <w:b/>
                      <w:color w:val="auto"/>
                      <w:szCs w:val="21"/>
                      <w:highlight w:val="none"/>
                    </w:rPr>
                  </w:pPr>
                  <w:r>
                    <w:rPr>
                      <w:b/>
                      <w:color w:val="auto"/>
                      <w:szCs w:val="21"/>
                      <w:highlight w:val="none"/>
                    </w:rPr>
                    <w:t>符合</w:t>
                  </w:r>
                </w:p>
              </w:tc>
            </w:tr>
          </w:tbl>
          <w:p w14:paraId="11C438F9">
            <w:pPr>
              <w:spacing w:line="360" w:lineRule="auto"/>
              <w:ind w:firstLine="480" w:firstLineChars="200"/>
              <w:rPr>
                <w:color w:val="auto"/>
                <w:sz w:val="24"/>
                <w:highlight w:val="none"/>
              </w:rPr>
            </w:pPr>
            <w:r>
              <w:rPr>
                <w:color w:val="auto"/>
                <w:sz w:val="24"/>
                <w:highlight w:val="none"/>
              </w:rPr>
              <w:t>根据上表，项目建设符合《长江经济带发展负面清单指南</w:t>
            </w:r>
            <w:r>
              <w:rPr>
                <w:rFonts w:hint="eastAsia"/>
                <w:color w:val="auto"/>
                <w:sz w:val="24"/>
                <w:highlight w:val="none"/>
              </w:rPr>
              <w:t>（</w:t>
            </w:r>
            <w:r>
              <w:rPr>
                <w:color w:val="auto"/>
                <w:sz w:val="24"/>
                <w:highlight w:val="none"/>
              </w:rPr>
              <w:t>试行</w:t>
            </w:r>
            <w:r>
              <w:rPr>
                <w:rFonts w:hint="eastAsia"/>
                <w:color w:val="auto"/>
                <w:sz w:val="24"/>
                <w:highlight w:val="none"/>
              </w:rPr>
              <w:t>，</w:t>
            </w:r>
            <w:r>
              <w:rPr>
                <w:color w:val="auto"/>
                <w:sz w:val="24"/>
                <w:highlight w:val="none"/>
              </w:rPr>
              <w:t>2022年版</w:t>
            </w:r>
            <w:r>
              <w:rPr>
                <w:rFonts w:hint="eastAsia"/>
                <w:color w:val="auto"/>
                <w:sz w:val="24"/>
                <w:highlight w:val="none"/>
              </w:rPr>
              <w:t>）</w:t>
            </w:r>
            <w:r>
              <w:rPr>
                <w:color w:val="auto"/>
                <w:sz w:val="24"/>
                <w:highlight w:val="none"/>
              </w:rPr>
              <w:t>》的相关要求。</w:t>
            </w:r>
          </w:p>
          <w:p w14:paraId="76CC9C04">
            <w:pPr>
              <w:pStyle w:val="80"/>
              <w:ind w:left="0" w:leftChars="0" w:firstLine="0" w:firstLineChars="0"/>
              <w:rPr>
                <w:b/>
                <w:bCs/>
                <w:color w:val="auto"/>
                <w:highlight w:val="none"/>
              </w:rPr>
            </w:pPr>
            <w:r>
              <w:rPr>
                <w:rFonts w:hint="eastAsia"/>
                <w:b/>
                <w:bCs/>
                <w:color w:val="auto"/>
                <w:highlight w:val="none"/>
                <w:lang w:val="en-US" w:eastAsia="zh-CN"/>
              </w:rPr>
              <w:t>6</w:t>
            </w:r>
            <w:r>
              <w:rPr>
                <w:rFonts w:hint="eastAsia"/>
                <w:b/>
                <w:bCs/>
                <w:color w:val="auto"/>
                <w:highlight w:val="none"/>
              </w:rPr>
              <w:t>、与</w:t>
            </w:r>
            <w:bookmarkStart w:id="10" w:name="_Hlk161928032"/>
            <w:r>
              <w:rPr>
                <w:rFonts w:hint="eastAsia"/>
                <w:b/>
                <w:bCs/>
                <w:color w:val="auto"/>
                <w:highlight w:val="none"/>
              </w:rPr>
              <w:t>《云南省长江经济带发展负面清单指南实施细则（试行，2022年版）》</w:t>
            </w:r>
            <w:bookmarkEnd w:id="10"/>
            <w:r>
              <w:rPr>
                <w:rFonts w:hint="eastAsia"/>
                <w:b/>
                <w:bCs/>
                <w:color w:val="auto"/>
                <w:highlight w:val="none"/>
              </w:rPr>
              <w:t>符合性分析</w:t>
            </w:r>
          </w:p>
          <w:p w14:paraId="18307677">
            <w:pPr>
              <w:pStyle w:val="80"/>
              <w:ind w:firstLine="480"/>
              <w:rPr>
                <w:color w:val="auto"/>
                <w:highlight w:val="none"/>
                <w:lang w:bidi="ar"/>
              </w:rPr>
            </w:pPr>
            <w:r>
              <w:rPr>
                <w:color w:val="auto"/>
                <w:highlight w:val="none"/>
              </w:rPr>
              <w:t>云南省推动长江经济带发展领导小组办公室于2022年8月19日印发了《云南省长江经济带发展负面清单指南实施细则</w:t>
            </w:r>
            <w:bookmarkStart w:id="11" w:name="_Hlk115104277"/>
            <w:r>
              <w:rPr>
                <w:color w:val="auto"/>
                <w:highlight w:val="none"/>
              </w:rPr>
              <w:t>（试行，2022年版）</w:t>
            </w:r>
            <w:bookmarkEnd w:id="11"/>
            <w:r>
              <w:rPr>
                <w:color w:val="auto"/>
                <w:highlight w:val="none"/>
              </w:rPr>
              <w:t>》，本项目与其符合性见下表</w:t>
            </w:r>
            <w:r>
              <w:rPr>
                <w:color w:val="auto"/>
                <w:highlight w:val="none"/>
                <w:lang w:bidi="ar"/>
              </w:rPr>
              <w:t>。</w:t>
            </w:r>
          </w:p>
          <w:p w14:paraId="5AB49DB7">
            <w:pPr>
              <w:pStyle w:val="63"/>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rPr>
              <w:t>表</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与《云南省长江经济带发展负面清单指南实施细则</w:t>
            </w:r>
          </w:p>
          <w:p w14:paraId="4796C422">
            <w:pPr>
              <w:pStyle w:val="63"/>
              <w:spacing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（试行，2022年版）》符合性</w:t>
            </w:r>
            <w:r>
              <w:rPr>
                <w:rFonts w:hint="eastAsia" w:ascii="宋体" w:hAnsi="宋体" w:eastAsia="宋体" w:cs="宋体"/>
                <w:color w:val="auto"/>
                <w:sz w:val="24"/>
                <w:highlight w:val="none"/>
                <w:lang w:eastAsia="zh-CN"/>
              </w:rPr>
              <w:t>分析</w:t>
            </w:r>
          </w:p>
          <w:tbl>
            <w:tblPr>
              <w:tblStyle w:val="26"/>
              <w:tblW w:w="7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3873"/>
              <w:gridCol w:w="2573"/>
              <w:gridCol w:w="684"/>
            </w:tblGrid>
            <w:tr w14:paraId="7F09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1C4682B4">
                  <w:pPr>
                    <w:pStyle w:val="104"/>
                    <w:widowControl w:val="0"/>
                    <w:adjustRightInd w:val="0"/>
                    <w:snapToGrid w:val="0"/>
                    <w:jc w:val="center"/>
                    <w:rPr>
                      <w:b/>
                      <w:color w:val="auto"/>
                      <w:sz w:val="21"/>
                      <w:szCs w:val="21"/>
                      <w:highlight w:val="none"/>
                    </w:rPr>
                  </w:pPr>
                  <w:r>
                    <w:rPr>
                      <w:rFonts w:hint="eastAsia"/>
                      <w:b/>
                      <w:color w:val="auto"/>
                      <w:sz w:val="21"/>
                      <w:szCs w:val="21"/>
                      <w:highlight w:val="none"/>
                    </w:rPr>
                    <w:t>序号</w:t>
                  </w:r>
                </w:p>
              </w:tc>
              <w:tc>
                <w:tcPr>
                  <w:tcW w:w="3873" w:type="dxa"/>
                  <w:vAlign w:val="center"/>
                </w:tcPr>
                <w:p w14:paraId="6DC12D7D">
                  <w:pPr>
                    <w:pStyle w:val="104"/>
                    <w:widowControl w:val="0"/>
                    <w:adjustRightInd w:val="0"/>
                    <w:snapToGrid w:val="0"/>
                    <w:jc w:val="center"/>
                    <w:rPr>
                      <w:b/>
                      <w:bCs/>
                      <w:color w:val="auto"/>
                      <w:sz w:val="21"/>
                      <w:szCs w:val="21"/>
                      <w:highlight w:val="none"/>
                    </w:rPr>
                  </w:pPr>
                  <w:r>
                    <w:rPr>
                      <w:rFonts w:hint="eastAsia"/>
                      <w:b/>
                      <w:color w:val="auto"/>
                      <w:sz w:val="21"/>
                      <w:szCs w:val="21"/>
                      <w:highlight w:val="none"/>
                    </w:rPr>
                    <w:t>相关规定</w:t>
                  </w:r>
                </w:p>
              </w:tc>
              <w:tc>
                <w:tcPr>
                  <w:tcW w:w="2573" w:type="dxa"/>
                  <w:vAlign w:val="center"/>
                </w:tcPr>
                <w:p w14:paraId="2721C80A">
                  <w:pPr>
                    <w:autoSpaceDE w:val="0"/>
                    <w:autoSpaceDN w:val="0"/>
                    <w:adjustRightInd w:val="0"/>
                    <w:snapToGrid w:val="0"/>
                    <w:jc w:val="center"/>
                    <w:rPr>
                      <w:b/>
                      <w:bCs/>
                      <w:color w:val="auto"/>
                      <w:szCs w:val="21"/>
                      <w:highlight w:val="none"/>
                    </w:rPr>
                  </w:pPr>
                  <w:r>
                    <w:rPr>
                      <w:b/>
                      <w:color w:val="auto"/>
                      <w:szCs w:val="21"/>
                      <w:highlight w:val="none"/>
                    </w:rPr>
                    <w:t>本项目情况</w:t>
                  </w:r>
                </w:p>
              </w:tc>
              <w:tc>
                <w:tcPr>
                  <w:tcW w:w="684" w:type="dxa"/>
                  <w:vAlign w:val="center"/>
                </w:tcPr>
                <w:p w14:paraId="2267BF25">
                  <w:pPr>
                    <w:autoSpaceDE w:val="0"/>
                    <w:autoSpaceDN w:val="0"/>
                    <w:adjustRightInd w:val="0"/>
                    <w:snapToGrid w:val="0"/>
                    <w:jc w:val="center"/>
                    <w:rPr>
                      <w:b/>
                      <w:bCs/>
                      <w:color w:val="auto"/>
                      <w:szCs w:val="21"/>
                      <w:highlight w:val="none"/>
                    </w:rPr>
                  </w:pPr>
                  <w:r>
                    <w:rPr>
                      <w:b/>
                      <w:color w:val="auto"/>
                      <w:szCs w:val="21"/>
                      <w:highlight w:val="none"/>
                    </w:rPr>
                    <w:t>符合性</w:t>
                  </w:r>
                </w:p>
              </w:tc>
            </w:tr>
            <w:tr w14:paraId="4DA0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87" w:type="dxa"/>
                  <w:vAlign w:val="center"/>
                </w:tcPr>
                <w:p w14:paraId="19C08441">
                  <w:pPr>
                    <w:autoSpaceDE w:val="0"/>
                    <w:autoSpaceDN w:val="0"/>
                    <w:adjustRightInd w:val="0"/>
                    <w:snapToGrid w:val="0"/>
                    <w:jc w:val="center"/>
                    <w:rPr>
                      <w:bCs/>
                      <w:color w:val="auto"/>
                      <w:szCs w:val="21"/>
                      <w:highlight w:val="none"/>
                    </w:rPr>
                  </w:pPr>
                  <w:r>
                    <w:rPr>
                      <w:rFonts w:hint="eastAsia"/>
                      <w:bCs/>
                      <w:color w:val="auto"/>
                      <w:szCs w:val="21"/>
                      <w:highlight w:val="none"/>
                    </w:rPr>
                    <w:t>1</w:t>
                  </w:r>
                </w:p>
              </w:tc>
              <w:tc>
                <w:tcPr>
                  <w:tcW w:w="3873" w:type="dxa"/>
                  <w:vAlign w:val="center"/>
                </w:tcPr>
                <w:p w14:paraId="305DFA40">
                  <w:pPr>
                    <w:autoSpaceDE w:val="0"/>
                    <w:autoSpaceDN w:val="0"/>
                    <w:adjustRightInd w:val="0"/>
                    <w:snapToGrid w:val="0"/>
                    <w:jc w:val="center"/>
                    <w:rPr>
                      <w:bCs/>
                      <w:color w:val="auto"/>
                      <w:szCs w:val="21"/>
                      <w:highlight w:val="none"/>
                    </w:rPr>
                  </w:pPr>
                  <w:r>
                    <w:rPr>
                      <w:bCs/>
                      <w:color w:val="auto"/>
                      <w:szCs w:val="21"/>
                      <w:highlight w:val="none"/>
                    </w:rPr>
                    <w:t>（一）禁止新建、改建和扩建不符合《全国内河航道与港口布局规划》等全国港口规划和《昭通市港口码头岸线规划（金沙江段2019年-2035年）》、《景洪港总体规划（2019-2035年）》等州（市）级以上港口布局规划以及港口总体规划的码头项目。</w:t>
                  </w:r>
                </w:p>
              </w:tc>
              <w:tc>
                <w:tcPr>
                  <w:tcW w:w="2573" w:type="dxa"/>
                  <w:vAlign w:val="center"/>
                </w:tcPr>
                <w:p w14:paraId="527EAD31">
                  <w:pPr>
                    <w:autoSpaceDE w:val="0"/>
                    <w:autoSpaceDN w:val="0"/>
                    <w:adjustRightInd w:val="0"/>
                    <w:snapToGrid w:val="0"/>
                    <w:jc w:val="center"/>
                    <w:rPr>
                      <w:bCs/>
                      <w:color w:val="auto"/>
                      <w:szCs w:val="21"/>
                      <w:highlight w:val="none"/>
                    </w:rPr>
                  </w:pPr>
                  <w:r>
                    <w:rPr>
                      <w:bCs/>
                      <w:color w:val="auto"/>
                      <w:szCs w:val="21"/>
                      <w:highlight w:val="none"/>
                    </w:rPr>
                    <w:t>本项目不属于码头及过长江通道项目。</w:t>
                  </w:r>
                </w:p>
              </w:tc>
              <w:tc>
                <w:tcPr>
                  <w:tcW w:w="684" w:type="dxa"/>
                  <w:vAlign w:val="center"/>
                </w:tcPr>
                <w:p w14:paraId="6BFCBD59">
                  <w:pPr>
                    <w:pStyle w:val="104"/>
                    <w:widowControl w:val="0"/>
                    <w:adjustRightInd w:val="0"/>
                    <w:snapToGrid w:val="0"/>
                    <w:jc w:val="center"/>
                    <w:rPr>
                      <w:bCs/>
                      <w:color w:val="auto"/>
                      <w:sz w:val="21"/>
                      <w:szCs w:val="21"/>
                      <w:highlight w:val="none"/>
                    </w:rPr>
                  </w:pPr>
                  <w:r>
                    <w:rPr>
                      <w:bCs/>
                      <w:color w:val="auto"/>
                      <w:sz w:val="21"/>
                      <w:szCs w:val="21"/>
                      <w:highlight w:val="none"/>
                    </w:rPr>
                    <w:t>符合</w:t>
                  </w:r>
                </w:p>
              </w:tc>
            </w:tr>
            <w:tr w14:paraId="3073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5B01BACF">
                  <w:pPr>
                    <w:autoSpaceDE w:val="0"/>
                    <w:autoSpaceDN w:val="0"/>
                    <w:adjustRightInd w:val="0"/>
                    <w:snapToGrid w:val="0"/>
                    <w:jc w:val="center"/>
                    <w:rPr>
                      <w:bCs/>
                      <w:color w:val="auto"/>
                      <w:szCs w:val="21"/>
                      <w:highlight w:val="none"/>
                    </w:rPr>
                  </w:pPr>
                  <w:r>
                    <w:rPr>
                      <w:rFonts w:hint="eastAsia"/>
                      <w:bCs/>
                      <w:color w:val="auto"/>
                      <w:szCs w:val="21"/>
                      <w:highlight w:val="none"/>
                    </w:rPr>
                    <w:t>2</w:t>
                  </w:r>
                </w:p>
              </w:tc>
              <w:tc>
                <w:tcPr>
                  <w:tcW w:w="3873" w:type="dxa"/>
                  <w:vAlign w:val="center"/>
                </w:tcPr>
                <w:p w14:paraId="43E369E4">
                  <w:pPr>
                    <w:autoSpaceDE w:val="0"/>
                    <w:autoSpaceDN w:val="0"/>
                    <w:adjustRightInd w:val="0"/>
                    <w:snapToGrid w:val="0"/>
                    <w:jc w:val="center"/>
                    <w:rPr>
                      <w:bCs/>
                      <w:color w:val="auto"/>
                      <w:szCs w:val="21"/>
                      <w:highlight w:val="none"/>
                    </w:rPr>
                  </w:pPr>
                  <w:r>
                    <w:rPr>
                      <w:bCs/>
                      <w:color w:val="auto"/>
                      <w:szCs w:val="21"/>
                      <w:highlight w:val="none"/>
                    </w:rPr>
                    <w:t>（二）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2573" w:type="dxa"/>
                  <w:vAlign w:val="center"/>
                </w:tcPr>
                <w:p w14:paraId="39E5300A">
                  <w:pPr>
                    <w:autoSpaceDE w:val="0"/>
                    <w:autoSpaceDN w:val="0"/>
                    <w:adjustRightInd w:val="0"/>
                    <w:snapToGrid w:val="0"/>
                    <w:jc w:val="center"/>
                    <w:rPr>
                      <w:bCs/>
                      <w:color w:val="auto"/>
                      <w:szCs w:val="21"/>
                      <w:highlight w:val="none"/>
                    </w:rPr>
                  </w:pPr>
                  <w:r>
                    <w:rPr>
                      <w:bCs/>
                      <w:color w:val="auto"/>
                      <w:szCs w:val="21"/>
                      <w:highlight w:val="none"/>
                    </w:rPr>
                    <w:t>项目不涉及自然保护区核心区、缓冲区的岸线和河段范围</w:t>
                  </w:r>
                  <w:r>
                    <w:rPr>
                      <w:rFonts w:hint="eastAsia"/>
                      <w:bCs/>
                      <w:color w:val="auto"/>
                      <w:szCs w:val="21"/>
                      <w:highlight w:val="none"/>
                    </w:rPr>
                    <w:t>。</w:t>
                  </w:r>
                </w:p>
              </w:tc>
              <w:tc>
                <w:tcPr>
                  <w:tcW w:w="684" w:type="dxa"/>
                  <w:vAlign w:val="center"/>
                </w:tcPr>
                <w:p w14:paraId="25754A80">
                  <w:pPr>
                    <w:autoSpaceDE w:val="0"/>
                    <w:autoSpaceDN w:val="0"/>
                    <w:adjustRightInd w:val="0"/>
                    <w:snapToGrid w:val="0"/>
                    <w:jc w:val="center"/>
                    <w:rPr>
                      <w:bCs/>
                      <w:color w:val="auto"/>
                      <w:szCs w:val="21"/>
                      <w:highlight w:val="none"/>
                    </w:rPr>
                  </w:pPr>
                  <w:r>
                    <w:rPr>
                      <w:bCs/>
                      <w:color w:val="auto"/>
                      <w:szCs w:val="21"/>
                      <w:highlight w:val="none"/>
                    </w:rPr>
                    <w:t>符合</w:t>
                  </w:r>
                </w:p>
              </w:tc>
            </w:tr>
            <w:tr w14:paraId="70F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02D9B00C">
                  <w:pPr>
                    <w:autoSpaceDE w:val="0"/>
                    <w:autoSpaceDN w:val="0"/>
                    <w:adjustRightInd w:val="0"/>
                    <w:snapToGrid w:val="0"/>
                    <w:jc w:val="center"/>
                    <w:rPr>
                      <w:bCs/>
                      <w:color w:val="auto"/>
                      <w:szCs w:val="21"/>
                      <w:highlight w:val="none"/>
                    </w:rPr>
                  </w:pPr>
                  <w:r>
                    <w:rPr>
                      <w:rFonts w:hint="eastAsia"/>
                      <w:bCs/>
                      <w:color w:val="auto"/>
                      <w:szCs w:val="21"/>
                      <w:highlight w:val="none"/>
                    </w:rPr>
                    <w:t>3</w:t>
                  </w:r>
                </w:p>
              </w:tc>
              <w:tc>
                <w:tcPr>
                  <w:tcW w:w="3873" w:type="dxa"/>
                  <w:vAlign w:val="center"/>
                </w:tcPr>
                <w:p w14:paraId="35DA6B9E">
                  <w:pPr>
                    <w:autoSpaceDE w:val="0"/>
                    <w:autoSpaceDN w:val="0"/>
                    <w:adjustRightInd w:val="0"/>
                    <w:snapToGrid w:val="0"/>
                    <w:jc w:val="center"/>
                    <w:rPr>
                      <w:bCs/>
                      <w:color w:val="auto"/>
                      <w:szCs w:val="21"/>
                      <w:highlight w:val="none"/>
                    </w:rPr>
                  </w:pPr>
                  <w:r>
                    <w:rPr>
                      <w:bCs/>
                      <w:color w:val="auto"/>
                      <w:szCs w:val="21"/>
                      <w:highlight w:val="none"/>
                    </w:rPr>
                    <w:t>（三）禁止在风景名胜区核心景区的岸线和河段范围内投资建设与风景名</w:t>
                  </w:r>
                  <w:r>
                    <w:rPr>
                      <w:rFonts w:hint="eastAsia"/>
                      <w:bCs/>
                      <w:color w:val="auto"/>
                      <w:szCs w:val="21"/>
                      <w:highlight w:val="none"/>
                      <w:lang w:eastAsia="zh-CN"/>
                    </w:rPr>
                    <w:t>胜区</w:t>
                  </w:r>
                  <w:r>
                    <w:rPr>
                      <w:bCs/>
                      <w:color w:val="auto"/>
                      <w:szCs w:val="21"/>
                      <w:highlight w:val="none"/>
                    </w:rPr>
                    <w:t>资源保护无关的项目。禁止在风景名胜区内进行开山、采石、开矿、开荒、修坟立碑等破坏景观、植被和地形地貌的活动以及修建储存爆炸性、易燃性、放射性、毒害性、腐蚀性物品的设施；禁止在风景名胜区内设立开发区和在核心景区内建设宾馆、会所、培训中心、疗养院以及与风景名</w:t>
                  </w:r>
                  <w:r>
                    <w:rPr>
                      <w:rFonts w:hint="eastAsia"/>
                      <w:bCs/>
                      <w:color w:val="auto"/>
                      <w:szCs w:val="21"/>
                      <w:highlight w:val="none"/>
                      <w:lang w:eastAsia="zh-CN"/>
                    </w:rPr>
                    <w:t>胜区</w:t>
                  </w:r>
                  <w:r>
                    <w:rPr>
                      <w:bCs/>
                      <w:color w:val="auto"/>
                      <w:szCs w:val="21"/>
                      <w:highlight w:val="none"/>
                    </w:rPr>
                    <w:t>资源保护无关的投资建设项目。</w:t>
                  </w:r>
                </w:p>
              </w:tc>
              <w:tc>
                <w:tcPr>
                  <w:tcW w:w="2573" w:type="dxa"/>
                  <w:vAlign w:val="center"/>
                </w:tcPr>
                <w:p w14:paraId="5289CB03">
                  <w:pPr>
                    <w:autoSpaceDE w:val="0"/>
                    <w:autoSpaceDN w:val="0"/>
                    <w:adjustRightInd w:val="0"/>
                    <w:snapToGrid w:val="0"/>
                    <w:jc w:val="center"/>
                    <w:rPr>
                      <w:bCs/>
                      <w:color w:val="auto"/>
                      <w:szCs w:val="21"/>
                      <w:highlight w:val="none"/>
                    </w:rPr>
                  </w:pPr>
                  <w:r>
                    <w:rPr>
                      <w:bCs/>
                      <w:color w:val="auto"/>
                      <w:szCs w:val="21"/>
                      <w:highlight w:val="none"/>
                    </w:rPr>
                    <w:t>项目不涉及风景名胜区核心景区的岸线和河段范围。</w:t>
                  </w:r>
                </w:p>
              </w:tc>
              <w:tc>
                <w:tcPr>
                  <w:tcW w:w="684" w:type="dxa"/>
                  <w:vAlign w:val="center"/>
                </w:tcPr>
                <w:p w14:paraId="4D03BD7C">
                  <w:pPr>
                    <w:autoSpaceDE w:val="0"/>
                    <w:autoSpaceDN w:val="0"/>
                    <w:adjustRightInd w:val="0"/>
                    <w:snapToGrid w:val="0"/>
                    <w:jc w:val="center"/>
                    <w:rPr>
                      <w:bCs/>
                      <w:color w:val="auto"/>
                      <w:szCs w:val="21"/>
                      <w:highlight w:val="none"/>
                    </w:rPr>
                  </w:pPr>
                  <w:r>
                    <w:rPr>
                      <w:bCs/>
                      <w:color w:val="auto"/>
                      <w:szCs w:val="21"/>
                      <w:highlight w:val="none"/>
                    </w:rPr>
                    <w:t>符合</w:t>
                  </w:r>
                </w:p>
              </w:tc>
            </w:tr>
            <w:tr w14:paraId="3A7D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6760742F">
                  <w:pPr>
                    <w:autoSpaceDE w:val="0"/>
                    <w:autoSpaceDN w:val="0"/>
                    <w:adjustRightInd w:val="0"/>
                    <w:snapToGrid w:val="0"/>
                    <w:jc w:val="center"/>
                    <w:rPr>
                      <w:bCs/>
                      <w:color w:val="auto"/>
                      <w:szCs w:val="21"/>
                      <w:highlight w:val="none"/>
                    </w:rPr>
                  </w:pPr>
                  <w:r>
                    <w:rPr>
                      <w:rFonts w:hint="eastAsia"/>
                      <w:bCs/>
                      <w:color w:val="auto"/>
                      <w:szCs w:val="21"/>
                      <w:highlight w:val="none"/>
                    </w:rPr>
                    <w:t>4</w:t>
                  </w:r>
                </w:p>
              </w:tc>
              <w:tc>
                <w:tcPr>
                  <w:tcW w:w="3873" w:type="dxa"/>
                  <w:vAlign w:val="center"/>
                </w:tcPr>
                <w:p w14:paraId="086D9EEB">
                  <w:pPr>
                    <w:autoSpaceDE w:val="0"/>
                    <w:autoSpaceDN w:val="0"/>
                    <w:adjustRightInd w:val="0"/>
                    <w:snapToGrid w:val="0"/>
                    <w:jc w:val="center"/>
                    <w:rPr>
                      <w:bCs/>
                      <w:color w:val="auto"/>
                      <w:szCs w:val="21"/>
                      <w:highlight w:val="none"/>
                    </w:rPr>
                  </w:pPr>
                  <w:r>
                    <w:rPr>
                      <w:bCs/>
                      <w:color w:val="auto"/>
                      <w:szCs w:val="21"/>
                      <w:highlight w:val="none"/>
                    </w:rPr>
                    <w:t>（四）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2573" w:type="dxa"/>
                  <w:vAlign w:val="center"/>
                </w:tcPr>
                <w:p w14:paraId="37AE5000">
                  <w:pPr>
                    <w:autoSpaceDE w:val="0"/>
                    <w:autoSpaceDN w:val="0"/>
                    <w:adjustRightInd w:val="0"/>
                    <w:snapToGrid w:val="0"/>
                    <w:jc w:val="center"/>
                    <w:rPr>
                      <w:bCs/>
                      <w:color w:val="auto"/>
                      <w:szCs w:val="21"/>
                      <w:highlight w:val="none"/>
                    </w:rPr>
                  </w:pPr>
                  <w:r>
                    <w:rPr>
                      <w:bCs/>
                      <w:color w:val="auto"/>
                      <w:szCs w:val="21"/>
                      <w:highlight w:val="none"/>
                    </w:rPr>
                    <w:t>项目不涉及饮用水水源一级、二级保护区的岸线和河段范围。</w:t>
                  </w:r>
                </w:p>
              </w:tc>
              <w:tc>
                <w:tcPr>
                  <w:tcW w:w="684" w:type="dxa"/>
                  <w:vAlign w:val="center"/>
                </w:tcPr>
                <w:p w14:paraId="696D1492">
                  <w:pPr>
                    <w:autoSpaceDE w:val="0"/>
                    <w:autoSpaceDN w:val="0"/>
                    <w:adjustRightInd w:val="0"/>
                    <w:snapToGrid w:val="0"/>
                    <w:jc w:val="center"/>
                    <w:rPr>
                      <w:bCs/>
                      <w:color w:val="auto"/>
                      <w:szCs w:val="21"/>
                      <w:highlight w:val="none"/>
                    </w:rPr>
                  </w:pPr>
                  <w:r>
                    <w:rPr>
                      <w:bCs/>
                      <w:color w:val="auto"/>
                      <w:szCs w:val="21"/>
                      <w:highlight w:val="none"/>
                    </w:rPr>
                    <w:t>符合</w:t>
                  </w:r>
                </w:p>
              </w:tc>
            </w:tr>
            <w:tr w14:paraId="416B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87" w:type="dxa"/>
                  <w:vAlign w:val="center"/>
                </w:tcPr>
                <w:p w14:paraId="0674F0CE">
                  <w:pPr>
                    <w:autoSpaceDE w:val="0"/>
                    <w:autoSpaceDN w:val="0"/>
                    <w:adjustRightInd w:val="0"/>
                    <w:snapToGrid w:val="0"/>
                    <w:jc w:val="center"/>
                    <w:rPr>
                      <w:bCs/>
                      <w:color w:val="auto"/>
                      <w:szCs w:val="21"/>
                      <w:highlight w:val="none"/>
                    </w:rPr>
                  </w:pPr>
                  <w:r>
                    <w:rPr>
                      <w:rFonts w:hint="eastAsia"/>
                      <w:bCs/>
                      <w:color w:val="auto"/>
                      <w:szCs w:val="21"/>
                      <w:highlight w:val="none"/>
                    </w:rPr>
                    <w:t>5</w:t>
                  </w:r>
                </w:p>
              </w:tc>
              <w:tc>
                <w:tcPr>
                  <w:tcW w:w="3873" w:type="dxa"/>
                  <w:vAlign w:val="center"/>
                </w:tcPr>
                <w:p w14:paraId="5A94AE66">
                  <w:pPr>
                    <w:autoSpaceDE w:val="0"/>
                    <w:autoSpaceDN w:val="0"/>
                    <w:adjustRightInd w:val="0"/>
                    <w:snapToGrid w:val="0"/>
                    <w:jc w:val="center"/>
                    <w:rPr>
                      <w:bCs/>
                      <w:color w:val="auto"/>
                      <w:szCs w:val="21"/>
                      <w:highlight w:val="none"/>
                    </w:rPr>
                  </w:pPr>
                  <w:r>
                    <w:rPr>
                      <w:bCs/>
                      <w:color w:val="auto"/>
                      <w:szCs w:val="21"/>
                      <w:highlight w:val="none"/>
                    </w:rPr>
                    <w:t>（五）禁止在水产种质资源保护区的岸线和河段范围内新建围湖造田、围湖造地或围填海等投资建设项目。禁止擅自征收、占用国家湿地公园的土地；禁止在国家湿地公园内挖沙、采矿，以及建设度假村、高尔夫球场等任何不符合主体功能定位的投资建设项目。</w:t>
                  </w:r>
                </w:p>
              </w:tc>
              <w:tc>
                <w:tcPr>
                  <w:tcW w:w="2573" w:type="dxa"/>
                  <w:vAlign w:val="center"/>
                </w:tcPr>
                <w:p w14:paraId="4AC2CF04">
                  <w:pPr>
                    <w:autoSpaceDE w:val="0"/>
                    <w:autoSpaceDN w:val="0"/>
                    <w:adjustRightInd w:val="0"/>
                    <w:snapToGrid w:val="0"/>
                    <w:jc w:val="center"/>
                    <w:rPr>
                      <w:bCs/>
                      <w:color w:val="auto"/>
                      <w:szCs w:val="21"/>
                      <w:highlight w:val="none"/>
                    </w:rPr>
                  </w:pPr>
                  <w:r>
                    <w:rPr>
                      <w:bCs/>
                      <w:color w:val="auto"/>
                      <w:szCs w:val="21"/>
                      <w:highlight w:val="none"/>
                    </w:rPr>
                    <w:t>本项目用地不涉及水产种质资源保护区的岸线和河段范围。</w:t>
                  </w:r>
                </w:p>
              </w:tc>
              <w:tc>
                <w:tcPr>
                  <w:tcW w:w="684" w:type="dxa"/>
                  <w:vAlign w:val="center"/>
                </w:tcPr>
                <w:p w14:paraId="56B790E1">
                  <w:pPr>
                    <w:autoSpaceDE w:val="0"/>
                    <w:autoSpaceDN w:val="0"/>
                    <w:adjustRightInd w:val="0"/>
                    <w:snapToGrid w:val="0"/>
                    <w:jc w:val="center"/>
                    <w:rPr>
                      <w:bCs/>
                      <w:color w:val="auto"/>
                      <w:szCs w:val="21"/>
                      <w:highlight w:val="none"/>
                    </w:rPr>
                  </w:pPr>
                  <w:r>
                    <w:rPr>
                      <w:bCs/>
                      <w:color w:val="auto"/>
                      <w:szCs w:val="21"/>
                      <w:highlight w:val="none"/>
                    </w:rPr>
                    <w:t>符合</w:t>
                  </w:r>
                </w:p>
              </w:tc>
            </w:tr>
            <w:tr w14:paraId="1BEA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87" w:type="dxa"/>
                  <w:vAlign w:val="center"/>
                </w:tcPr>
                <w:p w14:paraId="19BD489D">
                  <w:pPr>
                    <w:autoSpaceDE w:val="0"/>
                    <w:autoSpaceDN w:val="0"/>
                    <w:adjustRightInd w:val="0"/>
                    <w:snapToGrid w:val="0"/>
                    <w:jc w:val="center"/>
                    <w:rPr>
                      <w:bCs/>
                      <w:color w:val="auto"/>
                      <w:szCs w:val="21"/>
                      <w:highlight w:val="none"/>
                    </w:rPr>
                  </w:pPr>
                  <w:r>
                    <w:rPr>
                      <w:rFonts w:hint="eastAsia"/>
                      <w:bCs/>
                      <w:color w:val="auto"/>
                      <w:szCs w:val="21"/>
                      <w:highlight w:val="none"/>
                    </w:rPr>
                    <w:t>6</w:t>
                  </w:r>
                </w:p>
              </w:tc>
              <w:tc>
                <w:tcPr>
                  <w:tcW w:w="3873" w:type="dxa"/>
                  <w:vAlign w:val="center"/>
                </w:tcPr>
                <w:p w14:paraId="737EA3BB">
                  <w:pPr>
                    <w:autoSpaceDE w:val="0"/>
                    <w:autoSpaceDN w:val="0"/>
                    <w:adjustRightInd w:val="0"/>
                    <w:snapToGrid w:val="0"/>
                    <w:jc w:val="center"/>
                    <w:rPr>
                      <w:bCs/>
                      <w:color w:val="auto"/>
                      <w:szCs w:val="21"/>
                      <w:highlight w:val="none"/>
                    </w:rPr>
                  </w:pPr>
                  <w:r>
                    <w:rPr>
                      <w:bCs/>
                      <w:color w:val="auto"/>
                      <w:szCs w:val="21"/>
                      <w:highlight w:val="none"/>
                    </w:rPr>
                    <w:t>（六）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2573" w:type="dxa"/>
                  <w:vAlign w:val="center"/>
                </w:tcPr>
                <w:p w14:paraId="47511CAE">
                  <w:pPr>
                    <w:autoSpaceDE w:val="0"/>
                    <w:autoSpaceDN w:val="0"/>
                    <w:adjustRightInd w:val="0"/>
                    <w:snapToGrid w:val="0"/>
                    <w:jc w:val="center"/>
                    <w:rPr>
                      <w:bCs/>
                      <w:color w:val="auto"/>
                      <w:szCs w:val="21"/>
                      <w:highlight w:val="none"/>
                    </w:rPr>
                  </w:pPr>
                  <w:r>
                    <w:rPr>
                      <w:bCs/>
                      <w:color w:val="auto"/>
                      <w:szCs w:val="21"/>
                      <w:highlight w:val="none"/>
                    </w:rPr>
                    <w:t>本项目用地不涉及利用、占用长江流域河湖岸线，同时不涉及占用金沙江干流、九大高原湖泊保护区、保留区。</w:t>
                  </w:r>
                </w:p>
              </w:tc>
              <w:tc>
                <w:tcPr>
                  <w:tcW w:w="684" w:type="dxa"/>
                  <w:vAlign w:val="center"/>
                </w:tcPr>
                <w:p w14:paraId="4D1CB04E">
                  <w:pPr>
                    <w:autoSpaceDE w:val="0"/>
                    <w:autoSpaceDN w:val="0"/>
                    <w:adjustRightInd w:val="0"/>
                    <w:snapToGrid w:val="0"/>
                    <w:jc w:val="center"/>
                    <w:rPr>
                      <w:bCs/>
                      <w:color w:val="auto"/>
                      <w:szCs w:val="21"/>
                      <w:highlight w:val="none"/>
                    </w:rPr>
                  </w:pPr>
                  <w:r>
                    <w:rPr>
                      <w:bCs/>
                      <w:color w:val="auto"/>
                      <w:szCs w:val="21"/>
                      <w:highlight w:val="none"/>
                    </w:rPr>
                    <w:t>符合</w:t>
                  </w:r>
                </w:p>
              </w:tc>
            </w:tr>
            <w:tr w14:paraId="7139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Align w:val="center"/>
                </w:tcPr>
                <w:p w14:paraId="4046ABED">
                  <w:pPr>
                    <w:autoSpaceDE w:val="0"/>
                    <w:autoSpaceDN w:val="0"/>
                    <w:adjustRightInd w:val="0"/>
                    <w:snapToGrid w:val="0"/>
                    <w:jc w:val="center"/>
                    <w:rPr>
                      <w:bCs/>
                      <w:color w:val="auto"/>
                      <w:szCs w:val="21"/>
                      <w:highlight w:val="none"/>
                    </w:rPr>
                  </w:pPr>
                  <w:r>
                    <w:rPr>
                      <w:rFonts w:hint="eastAsia"/>
                      <w:bCs/>
                      <w:color w:val="auto"/>
                      <w:szCs w:val="21"/>
                      <w:highlight w:val="none"/>
                    </w:rPr>
                    <w:t>7</w:t>
                  </w:r>
                </w:p>
              </w:tc>
              <w:tc>
                <w:tcPr>
                  <w:tcW w:w="3873" w:type="dxa"/>
                  <w:vAlign w:val="center"/>
                </w:tcPr>
                <w:p w14:paraId="780F9642">
                  <w:pPr>
                    <w:autoSpaceDE w:val="0"/>
                    <w:autoSpaceDN w:val="0"/>
                    <w:adjustRightInd w:val="0"/>
                    <w:snapToGrid w:val="0"/>
                    <w:jc w:val="center"/>
                    <w:rPr>
                      <w:bCs/>
                      <w:color w:val="auto"/>
                      <w:szCs w:val="21"/>
                      <w:highlight w:val="none"/>
                    </w:rPr>
                  </w:pPr>
                  <w:r>
                    <w:rPr>
                      <w:bCs/>
                      <w:color w:val="auto"/>
                      <w:szCs w:val="21"/>
                      <w:highlight w:val="none"/>
                    </w:rPr>
                    <w:t>（七）第七条禁止在金沙江干流、长江一级支流建设除党中央、国务院、国家投资主管部门、省级有关部门批复同意以外的过江基础设施项目；禁止未经许可在金沙江干流、长江一级支流、九大高原湖泊流域新设、改设或扩大排污口。</w:t>
                  </w:r>
                </w:p>
              </w:tc>
              <w:tc>
                <w:tcPr>
                  <w:tcW w:w="2573" w:type="dxa"/>
                  <w:vAlign w:val="center"/>
                </w:tcPr>
                <w:p w14:paraId="05627CF8">
                  <w:pPr>
                    <w:autoSpaceDE w:val="0"/>
                    <w:autoSpaceDN w:val="0"/>
                    <w:adjustRightInd w:val="0"/>
                    <w:snapToGrid w:val="0"/>
                    <w:jc w:val="center"/>
                    <w:rPr>
                      <w:bCs/>
                      <w:color w:val="auto"/>
                      <w:szCs w:val="21"/>
                      <w:highlight w:val="none"/>
                    </w:rPr>
                  </w:pPr>
                  <w:r>
                    <w:rPr>
                      <w:bCs/>
                      <w:color w:val="auto"/>
                      <w:szCs w:val="21"/>
                      <w:highlight w:val="none"/>
                    </w:rPr>
                    <w:t>本项目不在金沙江干流、长江一级支流范围内</w:t>
                  </w:r>
                  <w:r>
                    <w:rPr>
                      <w:rFonts w:hint="eastAsia"/>
                      <w:color w:val="auto"/>
                      <w:highlight w:val="none"/>
                    </w:rPr>
                    <w:t>。</w:t>
                  </w:r>
                </w:p>
              </w:tc>
              <w:tc>
                <w:tcPr>
                  <w:tcW w:w="684" w:type="dxa"/>
                  <w:vAlign w:val="center"/>
                </w:tcPr>
                <w:p w14:paraId="3BD971E2">
                  <w:pPr>
                    <w:autoSpaceDE w:val="0"/>
                    <w:autoSpaceDN w:val="0"/>
                    <w:adjustRightInd w:val="0"/>
                    <w:snapToGrid w:val="0"/>
                    <w:jc w:val="center"/>
                    <w:rPr>
                      <w:bCs/>
                      <w:color w:val="auto"/>
                      <w:szCs w:val="21"/>
                      <w:highlight w:val="none"/>
                    </w:rPr>
                  </w:pPr>
                  <w:r>
                    <w:rPr>
                      <w:bCs/>
                      <w:color w:val="auto"/>
                      <w:szCs w:val="21"/>
                      <w:highlight w:val="none"/>
                    </w:rPr>
                    <w:t>符合</w:t>
                  </w:r>
                </w:p>
              </w:tc>
            </w:tr>
            <w:tr w14:paraId="3EA3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Align w:val="center"/>
                </w:tcPr>
                <w:p w14:paraId="0FB0BCC4">
                  <w:pPr>
                    <w:autoSpaceDE w:val="0"/>
                    <w:autoSpaceDN w:val="0"/>
                    <w:adjustRightInd w:val="0"/>
                    <w:snapToGrid w:val="0"/>
                    <w:jc w:val="center"/>
                    <w:rPr>
                      <w:bCs/>
                      <w:color w:val="auto"/>
                      <w:szCs w:val="21"/>
                      <w:highlight w:val="none"/>
                    </w:rPr>
                  </w:pPr>
                  <w:r>
                    <w:rPr>
                      <w:rFonts w:hint="eastAsia"/>
                      <w:bCs/>
                      <w:color w:val="auto"/>
                      <w:szCs w:val="21"/>
                      <w:highlight w:val="none"/>
                    </w:rPr>
                    <w:t>8</w:t>
                  </w:r>
                </w:p>
              </w:tc>
              <w:tc>
                <w:tcPr>
                  <w:tcW w:w="3873" w:type="dxa"/>
                  <w:vAlign w:val="center"/>
                </w:tcPr>
                <w:p w14:paraId="03838DFF">
                  <w:pPr>
                    <w:autoSpaceDE w:val="0"/>
                    <w:autoSpaceDN w:val="0"/>
                    <w:adjustRightInd w:val="0"/>
                    <w:snapToGrid w:val="0"/>
                    <w:jc w:val="center"/>
                    <w:rPr>
                      <w:bCs/>
                      <w:color w:val="auto"/>
                      <w:szCs w:val="21"/>
                      <w:highlight w:val="none"/>
                    </w:rPr>
                  </w:pPr>
                  <w:r>
                    <w:rPr>
                      <w:bCs/>
                      <w:color w:val="auto"/>
                      <w:szCs w:val="21"/>
                      <w:highlight w:val="none"/>
                    </w:rPr>
                    <w:t>（八）禁止在金沙江干流、长江一级支流、水生生物保护区和长江流域禁捕水域开展天然渔业资源生产性捕捞。</w:t>
                  </w:r>
                </w:p>
              </w:tc>
              <w:tc>
                <w:tcPr>
                  <w:tcW w:w="2573" w:type="dxa"/>
                  <w:vAlign w:val="center"/>
                </w:tcPr>
                <w:p w14:paraId="282C121B">
                  <w:pPr>
                    <w:autoSpaceDE w:val="0"/>
                    <w:autoSpaceDN w:val="0"/>
                    <w:adjustRightInd w:val="0"/>
                    <w:snapToGrid w:val="0"/>
                    <w:jc w:val="center"/>
                    <w:rPr>
                      <w:bCs/>
                      <w:color w:val="auto"/>
                      <w:szCs w:val="21"/>
                      <w:highlight w:val="none"/>
                    </w:rPr>
                  </w:pPr>
                  <w:r>
                    <w:rPr>
                      <w:bCs/>
                      <w:color w:val="auto"/>
                      <w:szCs w:val="21"/>
                      <w:highlight w:val="none"/>
                    </w:rPr>
                    <w:t>项目不在金沙江干流、长江一级支流、水生生物保护区和长江流域内，不涉及捕捞。</w:t>
                  </w:r>
                </w:p>
              </w:tc>
              <w:tc>
                <w:tcPr>
                  <w:tcW w:w="684" w:type="dxa"/>
                  <w:vAlign w:val="center"/>
                </w:tcPr>
                <w:p w14:paraId="6B6518AD">
                  <w:pPr>
                    <w:autoSpaceDE w:val="0"/>
                    <w:autoSpaceDN w:val="0"/>
                    <w:adjustRightInd w:val="0"/>
                    <w:snapToGrid w:val="0"/>
                    <w:jc w:val="center"/>
                    <w:rPr>
                      <w:bCs/>
                      <w:color w:val="auto"/>
                      <w:szCs w:val="21"/>
                      <w:highlight w:val="none"/>
                    </w:rPr>
                  </w:pPr>
                  <w:r>
                    <w:rPr>
                      <w:bCs/>
                      <w:color w:val="auto"/>
                      <w:szCs w:val="21"/>
                      <w:highlight w:val="none"/>
                    </w:rPr>
                    <w:t>符合</w:t>
                  </w:r>
                </w:p>
              </w:tc>
            </w:tr>
            <w:tr w14:paraId="42B8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487" w:type="dxa"/>
                  <w:vAlign w:val="center"/>
                </w:tcPr>
                <w:p w14:paraId="48AF9F05">
                  <w:pPr>
                    <w:autoSpaceDE w:val="0"/>
                    <w:autoSpaceDN w:val="0"/>
                    <w:adjustRightInd w:val="0"/>
                    <w:snapToGrid w:val="0"/>
                    <w:jc w:val="center"/>
                    <w:rPr>
                      <w:bCs/>
                      <w:color w:val="auto"/>
                      <w:szCs w:val="21"/>
                      <w:highlight w:val="none"/>
                    </w:rPr>
                  </w:pPr>
                  <w:r>
                    <w:rPr>
                      <w:rFonts w:hint="eastAsia"/>
                      <w:bCs/>
                      <w:color w:val="auto"/>
                      <w:szCs w:val="21"/>
                      <w:highlight w:val="none"/>
                    </w:rPr>
                    <w:t>9</w:t>
                  </w:r>
                </w:p>
              </w:tc>
              <w:tc>
                <w:tcPr>
                  <w:tcW w:w="3873" w:type="dxa"/>
                  <w:vAlign w:val="center"/>
                </w:tcPr>
                <w:p w14:paraId="7B3B54B7">
                  <w:pPr>
                    <w:autoSpaceDE w:val="0"/>
                    <w:autoSpaceDN w:val="0"/>
                    <w:adjustRightInd w:val="0"/>
                    <w:snapToGrid w:val="0"/>
                    <w:jc w:val="center"/>
                    <w:rPr>
                      <w:bCs/>
                      <w:color w:val="auto"/>
                      <w:szCs w:val="21"/>
                      <w:highlight w:val="none"/>
                    </w:rPr>
                  </w:pPr>
                  <w:r>
                    <w:rPr>
                      <w:bCs/>
                      <w:color w:val="auto"/>
                      <w:szCs w:val="21"/>
                      <w:highlight w:val="none"/>
                    </w:rPr>
                    <w:t>（九）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2573" w:type="dxa"/>
                  <w:vAlign w:val="center"/>
                </w:tcPr>
                <w:p w14:paraId="05F7E031">
                  <w:pPr>
                    <w:autoSpaceDE w:val="0"/>
                    <w:autoSpaceDN w:val="0"/>
                    <w:adjustRightInd w:val="0"/>
                    <w:snapToGrid w:val="0"/>
                    <w:jc w:val="center"/>
                    <w:rPr>
                      <w:bCs/>
                      <w:color w:val="auto"/>
                      <w:szCs w:val="21"/>
                      <w:highlight w:val="none"/>
                    </w:rPr>
                  </w:pPr>
                  <w:r>
                    <w:rPr>
                      <w:bCs/>
                      <w:color w:val="auto"/>
                      <w:szCs w:val="21"/>
                      <w:highlight w:val="none"/>
                    </w:rPr>
                    <w:t>本项目不属于化工项目。项目周边地表水为南盘江水系珠江流域。对照云南省推动长江经济带发展领导小组办公室于2022年8月19日印发了《云南省长江经济带发展负面清单指南实施细则（试行，2022年版）》中的“云南省长江经济带负面清单重点管控区名录”，珠江流域不属于长江重点干支流。</w:t>
                  </w:r>
                </w:p>
              </w:tc>
              <w:tc>
                <w:tcPr>
                  <w:tcW w:w="684" w:type="dxa"/>
                  <w:vAlign w:val="center"/>
                </w:tcPr>
                <w:p w14:paraId="6944532B">
                  <w:pPr>
                    <w:autoSpaceDE w:val="0"/>
                    <w:autoSpaceDN w:val="0"/>
                    <w:adjustRightInd w:val="0"/>
                    <w:snapToGrid w:val="0"/>
                    <w:jc w:val="center"/>
                    <w:rPr>
                      <w:bCs/>
                      <w:color w:val="auto"/>
                      <w:szCs w:val="21"/>
                      <w:highlight w:val="none"/>
                    </w:rPr>
                  </w:pPr>
                  <w:r>
                    <w:rPr>
                      <w:bCs/>
                      <w:color w:val="auto"/>
                      <w:szCs w:val="21"/>
                      <w:highlight w:val="none"/>
                    </w:rPr>
                    <w:t>符合</w:t>
                  </w:r>
                </w:p>
              </w:tc>
            </w:tr>
            <w:tr w14:paraId="7C8C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87" w:type="dxa"/>
                  <w:vAlign w:val="center"/>
                </w:tcPr>
                <w:p w14:paraId="25237411">
                  <w:pPr>
                    <w:autoSpaceDE w:val="0"/>
                    <w:autoSpaceDN w:val="0"/>
                    <w:adjustRightInd w:val="0"/>
                    <w:snapToGrid w:val="0"/>
                    <w:jc w:val="center"/>
                    <w:rPr>
                      <w:bCs/>
                      <w:color w:val="auto"/>
                      <w:szCs w:val="21"/>
                      <w:highlight w:val="none"/>
                    </w:rPr>
                  </w:pPr>
                  <w:r>
                    <w:rPr>
                      <w:rFonts w:hint="eastAsia"/>
                      <w:bCs/>
                      <w:color w:val="auto"/>
                      <w:szCs w:val="21"/>
                      <w:highlight w:val="none"/>
                    </w:rPr>
                    <w:t>10</w:t>
                  </w:r>
                </w:p>
              </w:tc>
              <w:tc>
                <w:tcPr>
                  <w:tcW w:w="3873" w:type="dxa"/>
                  <w:vAlign w:val="center"/>
                </w:tcPr>
                <w:p w14:paraId="3C4B74E0">
                  <w:pPr>
                    <w:autoSpaceDE w:val="0"/>
                    <w:autoSpaceDN w:val="0"/>
                    <w:adjustRightInd w:val="0"/>
                    <w:snapToGrid w:val="0"/>
                    <w:jc w:val="center"/>
                    <w:rPr>
                      <w:bCs/>
                      <w:color w:val="auto"/>
                      <w:szCs w:val="21"/>
                      <w:highlight w:val="none"/>
                    </w:rPr>
                  </w:pPr>
                  <w:r>
                    <w:rPr>
                      <w:bCs/>
                      <w:color w:val="auto"/>
                      <w:szCs w:val="21"/>
                      <w:highlight w:val="none"/>
                    </w:rPr>
                    <w:t>（十）禁止在合规园区外新建、扩建钢铁、石化、化工、焦化、建材、有色、制浆造纸行业中的高污染项目。</w:t>
                  </w:r>
                </w:p>
              </w:tc>
              <w:tc>
                <w:tcPr>
                  <w:tcW w:w="2573" w:type="dxa"/>
                  <w:vAlign w:val="center"/>
                </w:tcPr>
                <w:p w14:paraId="56825188">
                  <w:pPr>
                    <w:autoSpaceDE w:val="0"/>
                    <w:autoSpaceDN w:val="0"/>
                    <w:adjustRightInd w:val="0"/>
                    <w:snapToGrid w:val="0"/>
                    <w:jc w:val="center"/>
                    <w:rPr>
                      <w:bCs/>
                      <w:color w:val="auto"/>
                      <w:szCs w:val="21"/>
                      <w:highlight w:val="none"/>
                    </w:rPr>
                  </w:pPr>
                  <w:r>
                    <w:rPr>
                      <w:rFonts w:hint="eastAsia"/>
                      <w:bCs/>
                      <w:color w:val="auto"/>
                      <w:szCs w:val="21"/>
                      <w:highlight w:val="none"/>
                    </w:rPr>
                    <w:t>本项目不属于</w:t>
                  </w:r>
                  <w:r>
                    <w:rPr>
                      <w:bCs/>
                      <w:color w:val="auto"/>
                      <w:szCs w:val="21"/>
                      <w:highlight w:val="none"/>
                    </w:rPr>
                    <w:t>钢铁、石化、化工、焦化、建材、有色、制浆造纸行业中的高污染项目。</w:t>
                  </w:r>
                </w:p>
              </w:tc>
              <w:tc>
                <w:tcPr>
                  <w:tcW w:w="684" w:type="dxa"/>
                  <w:vAlign w:val="center"/>
                </w:tcPr>
                <w:p w14:paraId="2B424D8D">
                  <w:pPr>
                    <w:autoSpaceDE w:val="0"/>
                    <w:autoSpaceDN w:val="0"/>
                    <w:adjustRightInd w:val="0"/>
                    <w:snapToGrid w:val="0"/>
                    <w:jc w:val="center"/>
                    <w:rPr>
                      <w:bCs/>
                      <w:color w:val="auto"/>
                      <w:szCs w:val="21"/>
                      <w:highlight w:val="none"/>
                    </w:rPr>
                  </w:pPr>
                  <w:r>
                    <w:rPr>
                      <w:bCs/>
                      <w:color w:val="auto"/>
                      <w:szCs w:val="21"/>
                      <w:highlight w:val="none"/>
                    </w:rPr>
                    <w:t>符合</w:t>
                  </w:r>
                </w:p>
              </w:tc>
            </w:tr>
            <w:tr w14:paraId="54E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7" w:type="dxa"/>
                  <w:vAlign w:val="center"/>
                </w:tcPr>
                <w:p w14:paraId="6D41B123">
                  <w:pPr>
                    <w:autoSpaceDE w:val="0"/>
                    <w:autoSpaceDN w:val="0"/>
                    <w:adjustRightInd w:val="0"/>
                    <w:snapToGrid w:val="0"/>
                    <w:jc w:val="center"/>
                    <w:rPr>
                      <w:bCs/>
                      <w:color w:val="auto"/>
                      <w:szCs w:val="21"/>
                      <w:highlight w:val="none"/>
                    </w:rPr>
                  </w:pPr>
                  <w:r>
                    <w:rPr>
                      <w:rFonts w:hint="eastAsia"/>
                      <w:bCs/>
                      <w:color w:val="auto"/>
                      <w:szCs w:val="21"/>
                      <w:highlight w:val="none"/>
                    </w:rPr>
                    <w:t>11</w:t>
                  </w:r>
                </w:p>
              </w:tc>
              <w:tc>
                <w:tcPr>
                  <w:tcW w:w="3873" w:type="dxa"/>
                  <w:vAlign w:val="center"/>
                </w:tcPr>
                <w:p w14:paraId="6EDE19AD">
                  <w:pPr>
                    <w:autoSpaceDE w:val="0"/>
                    <w:autoSpaceDN w:val="0"/>
                    <w:adjustRightInd w:val="0"/>
                    <w:snapToGrid w:val="0"/>
                    <w:jc w:val="center"/>
                    <w:rPr>
                      <w:bCs/>
                      <w:color w:val="auto"/>
                      <w:szCs w:val="21"/>
                      <w:highlight w:val="none"/>
                    </w:rPr>
                  </w:pPr>
                  <w:r>
                    <w:rPr>
                      <w:bCs/>
                      <w:color w:val="auto"/>
                      <w:szCs w:val="21"/>
                      <w:highlight w:val="none"/>
                    </w:rPr>
                    <w:t>（十一）禁止新建、扩建不符合国家石化、现代煤化工等产业布局规划的项目。禁止列入《云南省城镇人口密集区危险化学品生产企业搬迁改造名单》的搬迁改造企业在原址新建、扩建危险化学品生产项目。</w:t>
                  </w:r>
                </w:p>
              </w:tc>
              <w:tc>
                <w:tcPr>
                  <w:tcW w:w="2573" w:type="dxa"/>
                  <w:vAlign w:val="center"/>
                </w:tcPr>
                <w:p w14:paraId="7997DA61">
                  <w:pPr>
                    <w:autoSpaceDE w:val="0"/>
                    <w:autoSpaceDN w:val="0"/>
                    <w:adjustRightInd w:val="0"/>
                    <w:snapToGrid w:val="0"/>
                    <w:jc w:val="center"/>
                    <w:rPr>
                      <w:bCs/>
                      <w:color w:val="auto"/>
                      <w:szCs w:val="21"/>
                      <w:highlight w:val="none"/>
                    </w:rPr>
                  </w:pPr>
                  <w:r>
                    <w:rPr>
                      <w:rFonts w:hint="eastAsia"/>
                      <w:bCs/>
                      <w:color w:val="auto"/>
                      <w:szCs w:val="21"/>
                      <w:highlight w:val="none"/>
                    </w:rPr>
                    <w:t>本项目不属于</w:t>
                  </w:r>
                  <w:r>
                    <w:rPr>
                      <w:bCs/>
                      <w:color w:val="auto"/>
                      <w:szCs w:val="21"/>
                      <w:highlight w:val="none"/>
                    </w:rPr>
                    <w:t>石化、现代煤化工等产业布局规划的项</w:t>
                  </w:r>
                  <w:r>
                    <w:rPr>
                      <w:rFonts w:hint="eastAsia"/>
                      <w:bCs/>
                      <w:color w:val="auto"/>
                      <w:szCs w:val="21"/>
                      <w:highlight w:val="none"/>
                    </w:rPr>
                    <w:t>目，也不属于</w:t>
                  </w:r>
                  <w:r>
                    <w:rPr>
                      <w:bCs/>
                      <w:color w:val="auto"/>
                      <w:szCs w:val="21"/>
                      <w:highlight w:val="none"/>
                    </w:rPr>
                    <w:t>危险化学品生产项目</w:t>
                  </w:r>
                  <w:r>
                    <w:rPr>
                      <w:rFonts w:hint="eastAsia"/>
                      <w:bCs/>
                      <w:color w:val="auto"/>
                      <w:szCs w:val="21"/>
                      <w:highlight w:val="none"/>
                    </w:rPr>
                    <w:t>。</w:t>
                  </w:r>
                </w:p>
              </w:tc>
              <w:tc>
                <w:tcPr>
                  <w:tcW w:w="684" w:type="dxa"/>
                  <w:vAlign w:val="center"/>
                </w:tcPr>
                <w:p w14:paraId="00C30916">
                  <w:pPr>
                    <w:autoSpaceDE w:val="0"/>
                    <w:autoSpaceDN w:val="0"/>
                    <w:adjustRightInd w:val="0"/>
                    <w:snapToGrid w:val="0"/>
                    <w:jc w:val="center"/>
                    <w:rPr>
                      <w:bCs/>
                      <w:color w:val="auto"/>
                      <w:szCs w:val="21"/>
                      <w:highlight w:val="none"/>
                    </w:rPr>
                  </w:pPr>
                  <w:r>
                    <w:rPr>
                      <w:bCs/>
                      <w:color w:val="auto"/>
                      <w:szCs w:val="21"/>
                      <w:highlight w:val="none"/>
                    </w:rPr>
                    <w:t>符合</w:t>
                  </w:r>
                </w:p>
              </w:tc>
            </w:tr>
            <w:tr w14:paraId="407B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 w:type="dxa"/>
                  <w:vAlign w:val="center"/>
                </w:tcPr>
                <w:p w14:paraId="3A015FC3">
                  <w:pPr>
                    <w:autoSpaceDE w:val="0"/>
                    <w:autoSpaceDN w:val="0"/>
                    <w:adjustRightInd w:val="0"/>
                    <w:snapToGrid w:val="0"/>
                    <w:jc w:val="center"/>
                    <w:rPr>
                      <w:bCs/>
                      <w:color w:val="auto"/>
                      <w:szCs w:val="21"/>
                      <w:highlight w:val="none"/>
                    </w:rPr>
                  </w:pPr>
                  <w:r>
                    <w:rPr>
                      <w:rFonts w:hint="eastAsia"/>
                      <w:bCs/>
                      <w:color w:val="auto"/>
                      <w:szCs w:val="21"/>
                      <w:highlight w:val="none"/>
                    </w:rPr>
                    <w:t>12</w:t>
                  </w:r>
                </w:p>
              </w:tc>
              <w:tc>
                <w:tcPr>
                  <w:tcW w:w="3873" w:type="dxa"/>
                  <w:vAlign w:val="center"/>
                </w:tcPr>
                <w:p w14:paraId="170B8709">
                  <w:pPr>
                    <w:autoSpaceDE w:val="0"/>
                    <w:autoSpaceDN w:val="0"/>
                    <w:adjustRightInd w:val="0"/>
                    <w:snapToGrid w:val="0"/>
                    <w:jc w:val="center"/>
                    <w:rPr>
                      <w:bCs/>
                      <w:color w:val="auto"/>
                      <w:szCs w:val="21"/>
                      <w:highlight w:val="none"/>
                    </w:rPr>
                  </w:pPr>
                  <w:r>
                    <w:rPr>
                      <w:bCs/>
                      <w:color w:val="auto"/>
                      <w:szCs w:val="21"/>
                      <w:highlight w:val="none"/>
                    </w:rPr>
                    <w:t>（十二）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限制类”产能。禁止建设高毒高残留以及对环境影响大的农药原药生产装置，严控尿素、磷铵、电石、焦炭、黄磷、烧碱、纯碱、聚氯乙烯等行业新增产能。</w:t>
                  </w:r>
                </w:p>
              </w:tc>
              <w:tc>
                <w:tcPr>
                  <w:tcW w:w="2573" w:type="dxa"/>
                  <w:vAlign w:val="center"/>
                </w:tcPr>
                <w:p w14:paraId="7F0D0986">
                  <w:pPr>
                    <w:autoSpaceDE w:val="0"/>
                    <w:autoSpaceDN w:val="0"/>
                    <w:adjustRightInd w:val="0"/>
                    <w:snapToGrid w:val="0"/>
                    <w:jc w:val="center"/>
                    <w:rPr>
                      <w:bCs/>
                      <w:color w:val="auto"/>
                      <w:szCs w:val="21"/>
                      <w:highlight w:val="none"/>
                    </w:rPr>
                  </w:pPr>
                  <w:r>
                    <w:rPr>
                      <w:bCs/>
                      <w:color w:val="auto"/>
                      <w:szCs w:val="21"/>
                      <w:highlight w:val="none"/>
                    </w:rPr>
                    <w:t>对照《产业结构调整指导目录（</w:t>
                  </w:r>
                  <w:r>
                    <w:rPr>
                      <w:rFonts w:hint="eastAsia"/>
                      <w:bCs/>
                      <w:color w:val="auto"/>
                      <w:szCs w:val="21"/>
                      <w:highlight w:val="none"/>
                    </w:rPr>
                    <w:t>2024</w:t>
                  </w:r>
                  <w:r>
                    <w:rPr>
                      <w:bCs/>
                      <w:color w:val="auto"/>
                      <w:szCs w:val="21"/>
                      <w:highlight w:val="none"/>
                    </w:rPr>
                    <w:t>年本）》，本项目属于</w:t>
                  </w:r>
                  <w:r>
                    <w:rPr>
                      <w:rFonts w:hint="eastAsia"/>
                      <w:bCs/>
                      <w:color w:val="auto"/>
                      <w:szCs w:val="21"/>
                      <w:highlight w:val="none"/>
                      <w:lang w:val="en-US" w:eastAsia="zh-CN"/>
                    </w:rPr>
                    <w:t>第一类“鼓励类”中的“一、农林牧渔业，17.可再生资源综合利用、生物质能清洁供热”</w:t>
                  </w:r>
                  <w:r>
                    <w:rPr>
                      <w:bCs/>
                      <w:color w:val="auto"/>
                      <w:szCs w:val="21"/>
                      <w:highlight w:val="none"/>
                    </w:rPr>
                    <w:t>。根据《环境保护综合名录（2021年版）》，本项目不涉及高污染排放、高环境风险的产品、工艺和设备。对照《市场准入负面清单（2022年版</w:t>
                  </w:r>
                  <w:r>
                    <w:rPr>
                      <w:rFonts w:hint="eastAsia"/>
                      <w:bCs/>
                      <w:color w:val="auto"/>
                      <w:szCs w:val="21"/>
                      <w:highlight w:val="none"/>
                      <w:lang w:eastAsia="zh-CN"/>
                    </w:rPr>
                    <w:t>）</w:t>
                  </w:r>
                  <w:r>
                    <w:rPr>
                      <w:bCs/>
                      <w:color w:val="auto"/>
                      <w:szCs w:val="21"/>
                      <w:highlight w:val="none"/>
                    </w:rPr>
                    <w:t>》，本项目建设内容不属于其中所列举的禁止准入和许可准入类，属于允许类项目。</w:t>
                  </w:r>
                </w:p>
              </w:tc>
              <w:tc>
                <w:tcPr>
                  <w:tcW w:w="684" w:type="dxa"/>
                  <w:vAlign w:val="center"/>
                </w:tcPr>
                <w:p w14:paraId="2FCC4562">
                  <w:pPr>
                    <w:autoSpaceDE w:val="0"/>
                    <w:autoSpaceDN w:val="0"/>
                    <w:adjustRightInd w:val="0"/>
                    <w:snapToGrid w:val="0"/>
                    <w:jc w:val="center"/>
                    <w:rPr>
                      <w:bCs/>
                      <w:color w:val="auto"/>
                      <w:szCs w:val="21"/>
                      <w:highlight w:val="none"/>
                    </w:rPr>
                  </w:pPr>
                  <w:r>
                    <w:rPr>
                      <w:bCs/>
                      <w:color w:val="auto"/>
                      <w:szCs w:val="21"/>
                      <w:highlight w:val="none"/>
                    </w:rPr>
                    <w:t>符合</w:t>
                  </w:r>
                </w:p>
              </w:tc>
            </w:tr>
            <w:tr w14:paraId="45F2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7" w:type="dxa"/>
                  <w:gridSpan w:val="4"/>
                  <w:vAlign w:val="center"/>
                </w:tcPr>
                <w:p w14:paraId="6AEA00C0">
                  <w:pPr>
                    <w:autoSpaceDE w:val="0"/>
                    <w:autoSpaceDN w:val="0"/>
                    <w:adjustRightInd w:val="0"/>
                    <w:snapToGrid w:val="0"/>
                    <w:rPr>
                      <w:bCs/>
                      <w:color w:val="auto"/>
                      <w:szCs w:val="21"/>
                      <w:highlight w:val="none"/>
                    </w:rPr>
                  </w:pPr>
                  <w:r>
                    <w:rPr>
                      <w:b/>
                      <w:color w:val="auto"/>
                      <w:szCs w:val="21"/>
                      <w:highlight w:val="none"/>
                    </w:rPr>
                    <w:t>备注：其它与项目无关项未列入</w:t>
                  </w:r>
                  <w:r>
                    <w:rPr>
                      <w:rFonts w:hint="eastAsia"/>
                      <w:b/>
                      <w:color w:val="auto"/>
                      <w:szCs w:val="21"/>
                      <w:highlight w:val="none"/>
                    </w:rPr>
                    <w:t>。</w:t>
                  </w:r>
                </w:p>
              </w:tc>
            </w:tr>
          </w:tbl>
          <w:p w14:paraId="6E8E1A20">
            <w:pPr>
              <w:spacing w:line="360" w:lineRule="auto"/>
              <w:ind w:firstLine="480" w:firstLineChars="200"/>
              <w:rPr>
                <w:color w:val="auto"/>
                <w:sz w:val="24"/>
                <w:highlight w:val="none"/>
              </w:rPr>
            </w:pPr>
            <w:r>
              <w:rPr>
                <w:color w:val="auto"/>
                <w:sz w:val="24"/>
                <w:highlight w:val="none"/>
              </w:rPr>
              <w:t>根据上表，项目</w:t>
            </w:r>
            <w:r>
              <w:rPr>
                <w:rFonts w:hint="eastAsia"/>
                <w:color w:val="auto"/>
                <w:sz w:val="24"/>
                <w:highlight w:val="none"/>
              </w:rPr>
              <w:t>与《云南省长江经济带发展负面清单指南实施细则（试行，2022年版）》</w:t>
            </w:r>
            <w:r>
              <w:rPr>
                <w:color w:val="auto"/>
                <w:sz w:val="24"/>
                <w:highlight w:val="none"/>
              </w:rPr>
              <w:t>的相关要求</w:t>
            </w:r>
            <w:r>
              <w:rPr>
                <w:rFonts w:hint="eastAsia"/>
                <w:color w:val="auto"/>
                <w:sz w:val="24"/>
                <w:highlight w:val="none"/>
              </w:rPr>
              <w:t>不冲突</w:t>
            </w:r>
            <w:r>
              <w:rPr>
                <w:color w:val="auto"/>
                <w:sz w:val="24"/>
                <w:highlight w:val="none"/>
              </w:rPr>
              <w:t>。</w:t>
            </w:r>
          </w:p>
          <w:p w14:paraId="5F9AA5F4">
            <w:pPr>
              <w:spacing w:line="360" w:lineRule="auto"/>
              <w:rPr>
                <w:b/>
                <w:bCs/>
                <w:color w:val="auto"/>
                <w:sz w:val="24"/>
                <w:highlight w:val="none"/>
              </w:rPr>
            </w:pPr>
            <w:r>
              <w:rPr>
                <w:rFonts w:hint="eastAsia"/>
                <w:b/>
                <w:bCs/>
                <w:color w:val="auto"/>
                <w:sz w:val="24"/>
                <w:highlight w:val="none"/>
                <w:lang w:val="en-US" w:eastAsia="zh-CN"/>
              </w:rPr>
              <w:t>7</w:t>
            </w:r>
            <w:r>
              <w:rPr>
                <w:rFonts w:hint="eastAsia"/>
                <w:b/>
                <w:bCs/>
                <w:color w:val="auto"/>
                <w:sz w:val="24"/>
                <w:highlight w:val="none"/>
              </w:rPr>
              <w:t>、</w:t>
            </w:r>
            <w:r>
              <w:rPr>
                <w:b/>
                <w:bCs/>
                <w:color w:val="auto"/>
                <w:sz w:val="24"/>
                <w:highlight w:val="none"/>
              </w:rPr>
              <w:t>与</w:t>
            </w:r>
            <w:bookmarkStart w:id="12" w:name="_Hlk161928043"/>
            <w:r>
              <w:rPr>
                <w:b/>
                <w:bCs/>
                <w:color w:val="auto"/>
                <w:sz w:val="24"/>
                <w:highlight w:val="none"/>
              </w:rPr>
              <w:t>《大气污染防治行动计划》</w:t>
            </w:r>
            <w:bookmarkEnd w:id="12"/>
            <w:r>
              <w:rPr>
                <w:b/>
                <w:bCs/>
                <w:color w:val="auto"/>
                <w:sz w:val="24"/>
                <w:highlight w:val="none"/>
              </w:rPr>
              <w:t>（简称“气十条”）相关符合性分析</w:t>
            </w:r>
          </w:p>
          <w:p w14:paraId="7011B4E9">
            <w:pPr>
              <w:pStyle w:val="15"/>
              <w:spacing w:line="360" w:lineRule="auto"/>
              <w:jc w:val="center"/>
              <w:rPr>
                <w:rFonts w:hint="default" w:ascii="Times New Roman" w:hAnsi="Times New Roman"/>
                <w:color w:val="auto"/>
                <w:sz w:val="24"/>
                <w:highlight w:val="none"/>
              </w:rPr>
            </w:pPr>
            <w:r>
              <w:rPr>
                <w:rFonts w:hint="default" w:ascii="Times New Roman" w:hAnsi="Times New Roman"/>
                <w:b/>
                <w:color w:val="auto"/>
                <w:sz w:val="24"/>
                <w:highlight w:val="none"/>
              </w:rPr>
              <w:t>表1-</w:t>
            </w:r>
            <w:r>
              <w:rPr>
                <w:rFonts w:hint="eastAsia" w:ascii="Times New Roman" w:hAnsi="Times New Roman"/>
                <w:b/>
                <w:color w:val="auto"/>
                <w:sz w:val="24"/>
                <w:highlight w:val="none"/>
                <w:lang w:val="en-US" w:eastAsia="zh-CN"/>
              </w:rPr>
              <w:t>6</w:t>
            </w:r>
            <w:r>
              <w:rPr>
                <w:rFonts w:hint="default" w:ascii="Times New Roman" w:hAnsi="Times New Roman"/>
                <w:b/>
                <w:color w:val="auto"/>
                <w:sz w:val="24"/>
                <w:highlight w:val="none"/>
              </w:rPr>
              <w:t xml:space="preserve">  项目与《大气污染防治行动计划》（简称“气十条”）符合性分析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4146"/>
              <w:gridCol w:w="2458"/>
              <w:gridCol w:w="676"/>
            </w:tblGrid>
            <w:tr w14:paraId="47A5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dxa"/>
                  <w:vAlign w:val="center"/>
                </w:tcPr>
                <w:p w14:paraId="743D1B45">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3898" w:type="dxa"/>
                  <w:vAlign w:val="center"/>
                </w:tcPr>
                <w:p w14:paraId="1E3B1716">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文件内容</w:t>
                  </w:r>
                </w:p>
              </w:tc>
              <w:tc>
                <w:tcPr>
                  <w:tcW w:w="2311" w:type="dxa"/>
                  <w:vAlign w:val="center"/>
                </w:tcPr>
                <w:p w14:paraId="38E0418E">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相符性分析</w:t>
                  </w:r>
                </w:p>
              </w:tc>
              <w:tc>
                <w:tcPr>
                  <w:tcW w:w="635" w:type="dxa"/>
                  <w:vAlign w:val="center"/>
                </w:tcPr>
                <w:p w14:paraId="2E608BE8">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符合性</w:t>
                  </w:r>
                </w:p>
              </w:tc>
            </w:tr>
            <w:tr w14:paraId="723E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1" w:type="dxa"/>
                  <w:vAlign w:val="center"/>
                </w:tcPr>
                <w:p w14:paraId="4C478893">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3898" w:type="dxa"/>
                  <w:vAlign w:val="center"/>
                </w:tcPr>
                <w:p w14:paraId="4B8DDC84">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一、加大综合治理力度，</w:t>
                  </w:r>
                  <w:r>
                    <w:rPr>
                      <w:rFonts w:hint="default" w:ascii="Times New Roman" w:hAnsi="Times New Roman" w:eastAsia="宋体" w:cs="Times New Roman"/>
                      <w:b/>
                      <w:color w:val="auto"/>
                      <w:sz w:val="21"/>
                      <w:szCs w:val="21"/>
                      <w:highlight w:val="none"/>
                      <w:lang w:eastAsia="zh-CN"/>
                    </w:rPr>
                    <w:t>减少</w:t>
                  </w:r>
                  <w:r>
                    <w:rPr>
                      <w:rFonts w:hint="default" w:ascii="Times New Roman" w:hAnsi="Times New Roman" w:eastAsia="宋体" w:cs="Times New Roman"/>
                      <w:b/>
                      <w:color w:val="auto"/>
                      <w:sz w:val="21"/>
                      <w:szCs w:val="21"/>
                      <w:highlight w:val="none"/>
                    </w:rPr>
                    <w:t>污染物排放：</w:t>
                  </w:r>
                </w:p>
                <w:p w14:paraId="0B89937E">
                  <w:pP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加强工业企业大气污染综合治理。</w:t>
                  </w:r>
                  <w:r>
                    <w:rPr>
                      <w:rFonts w:hint="default" w:ascii="Times New Roman" w:hAnsi="Times New Roman" w:eastAsia="宋体" w:cs="Times New Roman"/>
                      <w:bCs/>
                      <w:color w:val="auto"/>
                      <w:sz w:val="21"/>
                      <w:szCs w:val="21"/>
                      <w:highlight w:val="none"/>
                      <w:lang w:eastAsia="zh-CN"/>
                    </w:rPr>
                    <w:t>全面整治燃煤小锅炉</w:t>
                  </w:r>
                  <w:r>
                    <w:rPr>
                      <w:rFonts w:hint="default" w:ascii="Times New Roman" w:hAnsi="Times New Roman" w:eastAsia="宋体" w:cs="Times New Roman"/>
                      <w:bCs/>
                      <w:color w:val="auto"/>
                      <w:sz w:val="21"/>
                      <w:szCs w:val="21"/>
                      <w:highlight w:val="none"/>
                    </w:rPr>
                    <w:t>。加快推进集中供热、“煤改气”、“煤改电”工程建设，到2017年除必要保留的以外，地级及以上城市建成区基本淘汰每小时10蒸吨及以下的</w:t>
                  </w:r>
                  <w:r>
                    <w:rPr>
                      <w:rFonts w:hint="default" w:ascii="Times New Roman" w:hAnsi="Times New Roman" w:eastAsia="宋体" w:cs="Times New Roman"/>
                      <w:bCs/>
                      <w:color w:val="auto"/>
                      <w:sz w:val="21"/>
                      <w:szCs w:val="21"/>
                      <w:highlight w:val="none"/>
                      <w:lang w:eastAsia="zh-CN"/>
                    </w:rPr>
                    <w:t>燃煤锅炉</w:t>
                  </w:r>
                  <w:r>
                    <w:rPr>
                      <w:rFonts w:hint="default" w:ascii="Times New Roman" w:hAnsi="Times New Roman" w:eastAsia="宋体" w:cs="Times New Roman"/>
                      <w:bCs/>
                      <w:color w:val="auto"/>
                      <w:sz w:val="21"/>
                      <w:szCs w:val="21"/>
                      <w:highlight w:val="none"/>
                    </w:rPr>
                    <w:t>，禁止新建每小时20蒸吨以下的</w:t>
                  </w:r>
                  <w:r>
                    <w:rPr>
                      <w:rFonts w:hint="default" w:ascii="Times New Roman" w:hAnsi="Times New Roman" w:eastAsia="宋体" w:cs="Times New Roman"/>
                      <w:bCs/>
                      <w:color w:val="auto"/>
                      <w:sz w:val="21"/>
                      <w:szCs w:val="21"/>
                      <w:highlight w:val="none"/>
                      <w:lang w:eastAsia="zh-CN"/>
                    </w:rPr>
                    <w:t>燃煤锅炉</w:t>
                  </w:r>
                  <w:r>
                    <w:rPr>
                      <w:rFonts w:hint="default" w:ascii="Times New Roman" w:hAnsi="Times New Roman" w:eastAsia="宋体" w:cs="Times New Roman"/>
                      <w:bCs/>
                      <w:color w:val="auto"/>
                      <w:sz w:val="21"/>
                      <w:szCs w:val="21"/>
                      <w:highlight w:val="none"/>
                    </w:rPr>
                    <w:t>，其他地区原则上不再新建每小时10蒸吨以下的</w:t>
                  </w:r>
                  <w:r>
                    <w:rPr>
                      <w:rFonts w:hint="default" w:ascii="Times New Roman" w:hAnsi="Times New Roman" w:eastAsia="宋体" w:cs="Times New Roman"/>
                      <w:bCs/>
                      <w:color w:val="auto"/>
                      <w:sz w:val="21"/>
                      <w:szCs w:val="21"/>
                      <w:highlight w:val="none"/>
                      <w:lang w:eastAsia="zh-CN"/>
                    </w:rPr>
                    <w:t>燃煤锅炉</w:t>
                  </w:r>
                  <w:r>
                    <w:rPr>
                      <w:rFonts w:hint="default" w:ascii="Times New Roman" w:hAnsi="Times New Roman" w:eastAsia="宋体" w:cs="Times New Roman"/>
                      <w:bCs/>
                      <w:color w:val="auto"/>
                      <w:sz w:val="21"/>
                      <w:szCs w:val="21"/>
                      <w:highlight w:val="none"/>
                    </w:rPr>
                    <w:t>。</w:t>
                  </w:r>
                </w:p>
              </w:tc>
              <w:tc>
                <w:tcPr>
                  <w:tcW w:w="2311" w:type="dxa"/>
                  <w:vAlign w:val="center"/>
                </w:tcPr>
                <w:p w14:paraId="2846D7EC">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项目不属于</w:t>
                  </w:r>
                  <w:r>
                    <w:rPr>
                      <w:rFonts w:hint="default" w:ascii="Times New Roman" w:hAnsi="Times New Roman" w:eastAsia="宋体" w:cs="Times New Roman"/>
                      <w:bCs/>
                      <w:color w:val="auto"/>
                      <w:sz w:val="21"/>
                      <w:szCs w:val="21"/>
                      <w:highlight w:val="none"/>
                      <w:lang w:eastAsia="zh-CN"/>
                    </w:rPr>
                    <w:t>燃煤锅炉</w:t>
                  </w:r>
                  <w:r>
                    <w:rPr>
                      <w:rFonts w:hint="default" w:ascii="Times New Roman" w:hAnsi="Times New Roman" w:eastAsia="宋体" w:cs="Times New Roman"/>
                      <w:bCs/>
                      <w:color w:val="auto"/>
                      <w:sz w:val="21"/>
                      <w:szCs w:val="21"/>
                      <w:highlight w:val="none"/>
                    </w:rPr>
                    <w:t>。</w:t>
                  </w:r>
                </w:p>
              </w:tc>
              <w:tc>
                <w:tcPr>
                  <w:tcW w:w="635" w:type="dxa"/>
                  <w:vAlign w:val="center"/>
                </w:tcPr>
                <w:p w14:paraId="35BDBFA7">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w:t>
                  </w:r>
                </w:p>
              </w:tc>
            </w:tr>
            <w:tr w14:paraId="353E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71" w:type="dxa"/>
                  <w:vAlign w:val="center"/>
                </w:tcPr>
                <w:p w14:paraId="632686B1">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2</w:t>
                  </w:r>
                </w:p>
              </w:tc>
              <w:tc>
                <w:tcPr>
                  <w:tcW w:w="3898" w:type="dxa"/>
                  <w:vAlign w:val="center"/>
                </w:tcPr>
                <w:p w14:paraId="3B4A07BA">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二、调整优化产业结构，推动产业转型升级：</w:t>
                  </w:r>
                </w:p>
                <w:p w14:paraId="72AB2D18">
                  <w:pPr>
                    <w:pStyle w:val="24"/>
                    <w:ind w:firstLine="0" w:firstLineChars="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严控“两高”行业新增产能。修订高耗能、高污染和资源性行业准入条件明确资源能源节约和污染物排放等指标。②加快淘汰落后产能。结合产业发展实际和环境质量状况，进一步提高环保、能耗、安全、质量等标准，分区域明确落后产能淘汰任务，倒逼产业转型升级。③压缩过剩产能。加大环保、能耗、安全执法处罚力度，建立以节能环保标准促进“两高”行业过剩产能退出的机制。制定财政、土地、金融等扶持政策支持产能过剩“两高”行业企业退出、转型发展。严禁核准产能严重过剩行业新增产能项目。④坚决停建产能严重过剩行业违规在建项目。认真清理产能严重过剩行业违规在建项目，对未批先建、边批边建、越权核准的违规项目尚未开工建设的，不准开工；正在建设的，要停止建设。地方人民政府要加强组织领导和监督检查坚决遏制产能严重过剩行业盲目扩张。</w:t>
                  </w:r>
                </w:p>
              </w:tc>
              <w:tc>
                <w:tcPr>
                  <w:tcW w:w="2311" w:type="dxa"/>
                  <w:vAlign w:val="center"/>
                </w:tcPr>
                <w:p w14:paraId="165839B7">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本项目不属于“两高”行业，项目为热力生产和供应行业，对照《产业结构调整指导目录（2024年本）》，本项目属于</w:t>
                  </w:r>
                  <w:r>
                    <w:rPr>
                      <w:rFonts w:hint="default" w:ascii="Times New Roman" w:hAnsi="Times New Roman" w:eastAsia="宋体" w:cs="Times New Roman"/>
                      <w:bCs/>
                      <w:color w:val="auto"/>
                      <w:sz w:val="21"/>
                      <w:szCs w:val="21"/>
                      <w:highlight w:val="none"/>
                      <w:lang w:val="en-US" w:eastAsia="zh-CN"/>
                    </w:rPr>
                    <w:t>第一类“鼓励类”中的“一、农林牧渔业，17.可再生资源综合利用、生物质能清洁供热”。</w:t>
                  </w:r>
                  <w:r>
                    <w:rPr>
                      <w:rFonts w:hint="default" w:ascii="Times New Roman" w:hAnsi="Times New Roman" w:eastAsia="宋体" w:cs="Times New Roman"/>
                      <w:bCs/>
                      <w:color w:val="auto"/>
                      <w:sz w:val="21"/>
                      <w:szCs w:val="21"/>
                      <w:highlight w:val="none"/>
                    </w:rPr>
                    <w:t>根据国务院《促进产业结构调整暂行规定》（国发[2005]40号）第十三条“不属于鼓励类、限制类及淘汰类，且符合国家有关法律、法规和政策规定的，为允许类”。则项目</w:t>
                  </w:r>
                  <w:r>
                    <w:rPr>
                      <w:rFonts w:hint="default" w:ascii="Times New Roman" w:hAnsi="Times New Roman" w:eastAsia="宋体" w:cs="Times New Roman"/>
                      <w:color w:val="auto"/>
                      <w:sz w:val="21"/>
                      <w:szCs w:val="21"/>
                      <w:highlight w:val="none"/>
                    </w:rPr>
                    <w:t>不属于落后、过剩产能项目，不属于高能耗、高排放项目。</w:t>
                  </w:r>
                </w:p>
              </w:tc>
              <w:tc>
                <w:tcPr>
                  <w:tcW w:w="635" w:type="dxa"/>
                  <w:vAlign w:val="center"/>
                </w:tcPr>
                <w:p w14:paraId="56F3533C">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符合</w:t>
                  </w:r>
                </w:p>
              </w:tc>
            </w:tr>
            <w:tr w14:paraId="5087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415" w:type="dxa"/>
                  <w:gridSpan w:val="4"/>
                  <w:vAlign w:val="center"/>
                </w:tcPr>
                <w:p w14:paraId="3DB043FA">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备注：其它与项目无关项未列入。</w:t>
                  </w:r>
                </w:p>
              </w:tc>
            </w:tr>
          </w:tbl>
          <w:p w14:paraId="08FAA12A">
            <w:pPr>
              <w:spacing w:line="360" w:lineRule="auto"/>
              <w:ind w:firstLine="480" w:firstLineChars="200"/>
              <w:rPr>
                <w:color w:val="auto"/>
                <w:sz w:val="24"/>
                <w:highlight w:val="none"/>
              </w:rPr>
            </w:pPr>
            <w:r>
              <w:rPr>
                <w:color w:val="auto"/>
                <w:sz w:val="24"/>
                <w:highlight w:val="none"/>
              </w:rPr>
              <w:t>根据上表，项目建设符合《大气污染防治行动计划》（简称“气十条”）的相关要求。</w:t>
            </w:r>
          </w:p>
          <w:p w14:paraId="39D6F864">
            <w:pPr>
              <w:autoSpaceDE w:val="0"/>
              <w:autoSpaceDN w:val="0"/>
              <w:spacing w:line="360" w:lineRule="auto"/>
              <w:jc w:val="left"/>
              <w:rPr>
                <w:b/>
                <w:bCs/>
                <w:color w:val="auto"/>
                <w:kern w:val="0"/>
                <w:sz w:val="24"/>
                <w:highlight w:val="none"/>
              </w:rPr>
            </w:pPr>
            <w:r>
              <w:rPr>
                <w:rFonts w:hint="eastAsia"/>
                <w:b/>
                <w:bCs/>
                <w:color w:val="auto"/>
                <w:kern w:val="0"/>
                <w:sz w:val="24"/>
                <w:highlight w:val="none"/>
                <w:lang w:val="en-US" w:eastAsia="zh-CN"/>
              </w:rPr>
              <w:t>8</w:t>
            </w:r>
            <w:r>
              <w:rPr>
                <w:rFonts w:hint="eastAsia"/>
                <w:b/>
                <w:bCs/>
                <w:color w:val="auto"/>
                <w:kern w:val="0"/>
                <w:sz w:val="24"/>
                <w:highlight w:val="none"/>
              </w:rPr>
              <w:t>、</w:t>
            </w:r>
            <w:r>
              <w:rPr>
                <w:b/>
                <w:bCs/>
                <w:color w:val="auto"/>
                <w:kern w:val="0"/>
                <w:sz w:val="24"/>
                <w:highlight w:val="none"/>
              </w:rPr>
              <w:t>与</w:t>
            </w:r>
            <w:bookmarkStart w:id="13" w:name="_Hlk161928054"/>
            <w:r>
              <w:rPr>
                <w:b/>
                <w:bCs/>
                <w:color w:val="auto"/>
                <w:kern w:val="0"/>
                <w:sz w:val="24"/>
                <w:highlight w:val="none"/>
                <w:lang w:val="zh-CN"/>
              </w:rPr>
              <w:t>“玉溪市打赢蓝天保卫战三年行动”</w:t>
            </w:r>
            <w:bookmarkEnd w:id="13"/>
            <w:r>
              <w:rPr>
                <w:b/>
                <w:bCs/>
                <w:color w:val="auto"/>
                <w:kern w:val="0"/>
                <w:sz w:val="24"/>
                <w:highlight w:val="none"/>
              </w:rPr>
              <w:t>符合性分析</w:t>
            </w:r>
          </w:p>
          <w:p w14:paraId="4AAE7AF6">
            <w:pPr>
              <w:spacing w:line="360" w:lineRule="auto"/>
              <w:jc w:val="center"/>
              <w:rPr>
                <w:b/>
                <w:color w:val="auto"/>
                <w:sz w:val="24"/>
                <w:highlight w:val="none"/>
              </w:rPr>
            </w:pPr>
            <w:r>
              <w:rPr>
                <w:b/>
                <w:color w:val="auto"/>
                <w:sz w:val="24"/>
                <w:highlight w:val="none"/>
              </w:rPr>
              <w:t>表1-</w:t>
            </w:r>
            <w:r>
              <w:rPr>
                <w:rFonts w:hint="eastAsia"/>
                <w:b/>
                <w:color w:val="auto"/>
                <w:sz w:val="24"/>
                <w:highlight w:val="none"/>
                <w:lang w:val="en-US" w:eastAsia="zh-CN"/>
              </w:rPr>
              <w:t>7</w:t>
            </w:r>
            <w:r>
              <w:rPr>
                <w:b/>
                <w:color w:val="auto"/>
                <w:sz w:val="24"/>
                <w:highlight w:val="none"/>
              </w:rPr>
              <w:t xml:space="preserve"> </w:t>
            </w:r>
            <w:r>
              <w:rPr>
                <w:rFonts w:hint="eastAsia"/>
                <w:b/>
                <w:color w:val="auto"/>
                <w:sz w:val="24"/>
                <w:highlight w:val="none"/>
                <w:lang w:val="en-US" w:eastAsia="zh-CN"/>
              </w:rPr>
              <w:t xml:space="preserve"> </w:t>
            </w:r>
            <w:r>
              <w:rPr>
                <w:b/>
                <w:color w:val="auto"/>
                <w:sz w:val="24"/>
                <w:highlight w:val="none"/>
              </w:rPr>
              <w:t>项目建设</w:t>
            </w:r>
            <w:r>
              <w:rPr>
                <w:b/>
                <w:color w:val="auto"/>
                <w:sz w:val="24"/>
                <w:highlight w:val="none"/>
                <w:lang w:val="zh-CN"/>
              </w:rPr>
              <w:t>“玉溪市打赢蓝天保卫战三年行动”</w:t>
            </w:r>
            <w:r>
              <w:rPr>
                <w:b/>
                <w:color w:val="auto"/>
                <w:sz w:val="24"/>
                <w:highlight w:val="none"/>
              </w:rPr>
              <w:t>符合性分析</w:t>
            </w:r>
          </w:p>
          <w:tbl>
            <w:tblPr>
              <w:tblStyle w:val="26"/>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563"/>
              <w:gridCol w:w="2311"/>
              <w:gridCol w:w="959"/>
            </w:tblGrid>
            <w:tr w14:paraId="5936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0" w:type="pct"/>
                  <w:gridSpan w:val="2"/>
                  <w:vAlign w:val="center"/>
                </w:tcPr>
                <w:p w14:paraId="46E7D4CC">
                  <w:pPr>
                    <w:widowControl/>
                    <w:jc w:val="center"/>
                    <w:rPr>
                      <w:b/>
                      <w:bCs/>
                      <w:color w:val="auto"/>
                      <w:szCs w:val="21"/>
                      <w:highlight w:val="none"/>
                    </w:rPr>
                  </w:pPr>
                  <w:r>
                    <w:rPr>
                      <w:b/>
                      <w:bCs/>
                      <w:color w:val="auto"/>
                      <w:szCs w:val="21"/>
                      <w:highlight w:val="none"/>
                    </w:rPr>
                    <w:t>相关规定</w:t>
                  </w:r>
                </w:p>
              </w:tc>
              <w:tc>
                <w:tcPr>
                  <w:tcW w:w="1469" w:type="pct"/>
                  <w:vAlign w:val="center"/>
                </w:tcPr>
                <w:p w14:paraId="312FAB7C">
                  <w:pPr>
                    <w:widowControl/>
                    <w:jc w:val="center"/>
                    <w:rPr>
                      <w:b/>
                      <w:bCs/>
                      <w:color w:val="auto"/>
                      <w:szCs w:val="21"/>
                      <w:highlight w:val="none"/>
                    </w:rPr>
                  </w:pPr>
                  <w:r>
                    <w:rPr>
                      <w:b/>
                      <w:bCs/>
                      <w:color w:val="auto"/>
                      <w:szCs w:val="21"/>
                      <w:highlight w:val="none"/>
                    </w:rPr>
                    <w:t>本项目实际情况</w:t>
                  </w:r>
                </w:p>
              </w:tc>
              <w:tc>
                <w:tcPr>
                  <w:tcW w:w="609" w:type="pct"/>
                  <w:vAlign w:val="center"/>
                </w:tcPr>
                <w:p w14:paraId="1A0D7ABA">
                  <w:pPr>
                    <w:widowControl/>
                    <w:jc w:val="center"/>
                    <w:rPr>
                      <w:b/>
                      <w:bCs/>
                      <w:color w:val="auto"/>
                      <w:szCs w:val="21"/>
                      <w:highlight w:val="none"/>
                    </w:rPr>
                  </w:pPr>
                  <w:r>
                    <w:rPr>
                      <w:b/>
                      <w:bCs/>
                      <w:color w:val="auto"/>
                      <w:szCs w:val="21"/>
                      <w:highlight w:val="none"/>
                    </w:rPr>
                    <w:t>相符性</w:t>
                  </w:r>
                </w:p>
              </w:tc>
            </w:tr>
            <w:tr w14:paraId="48E9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restart"/>
                  <w:vAlign w:val="center"/>
                </w:tcPr>
                <w:p w14:paraId="6392D6F9">
                  <w:pPr>
                    <w:widowControl/>
                    <w:jc w:val="center"/>
                    <w:rPr>
                      <w:color w:val="auto"/>
                      <w:szCs w:val="21"/>
                      <w:highlight w:val="none"/>
                    </w:rPr>
                  </w:pPr>
                  <w:r>
                    <w:rPr>
                      <w:b/>
                      <w:color w:val="auto"/>
                      <w:szCs w:val="21"/>
                      <w:highlight w:val="none"/>
                    </w:rPr>
                    <w:t>蓝天保卫战三年行动</w:t>
                  </w:r>
                </w:p>
              </w:tc>
              <w:tc>
                <w:tcPr>
                  <w:tcW w:w="2264" w:type="pct"/>
                  <w:vAlign w:val="center"/>
                </w:tcPr>
                <w:p w14:paraId="4EF3967A">
                  <w:pPr>
                    <w:widowControl/>
                    <w:rPr>
                      <w:color w:val="auto"/>
                      <w:szCs w:val="21"/>
                      <w:highlight w:val="none"/>
                    </w:rPr>
                  </w:pPr>
                  <w:r>
                    <w:rPr>
                      <w:color w:val="auto"/>
                      <w:szCs w:val="21"/>
                      <w:highlight w:val="none"/>
                    </w:rPr>
                    <w:t>（一）优化产业布局</w:t>
                  </w:r>
                </w:p>
              </w:tc>
              <w:tc>
                <w:tcPr>
                  <w:tcW w:w="1469" w:type="pct"/>
                  <w:vAlign w:val="center"/>
                </w:tcPr>
                <w:p w14:paraId="5021CC01">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772595D6">
                  <w:pPr>
                    <w:widowControl/>
                    <w:jc w:val="center"/>
                    <w:rPr>
                      <w:b/>
                      <w:bCs/>
                      <w:color w:val="auto"/>
                      <w:szCs w:val="21"/>
                      <w:highlight w:val="none"/>
                    </w:rPr>
                  </w:pPr>
                  <w:r>
                    <w:rPr>
                      <w:b/>
                      <w:bCs/>
                      <w:color w:val="auto"/>
                      <w:szCs w:val="21"/>
                      <w:highlight w:val="none"/>
                      <w:shd w:val="clear" w:color="auto" w:fill="FFFFFF"/>
                    </w:rPr>
                    <w:t>/</w:t>
                  </w:r>
                </w:p>
              </w:tc>
            </w:tr>
            <w:tr w14:paraId="3E10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4B25C35B">
                  <w:pPr>
                    <w:widowControl/>
                    <w:jc w:val="center"/>
                    <w:rPr>
                      <w:color w:val="auto"/>
                      <w:szCs w:val="21"/>
                      <w:highlight w:val="none"/>
                    </w:rPr>
                  </w:pPr>
                </w:p>
              </w:tc>
              <w:tc>
                <w:tcPr>
                  <w:tcW w:w="2264" w:type="pct"/>
                  <w:vAlign w:val="center"/>
                </w:tcPr>
                <w:p w14:paraId="0017A32B">
                  <w:pPr>
                    <w:widowControl/>
                    <w:rPr>
                      <w:color w:val="auto"/>
                      <w:szCs w:val="21"/>
                      <w:highlight w:val="none"/>
                    </w:rPr>
                  </w:pPr>
                  <w:r>
                    <w:rPr>
                      <w:color w:val="auto"/>
                      <w:szCs w:val="21"/>
                      <w:highlight w:val="none"/>
                    </w:rPr>
                    <w:t>（二）严格“两高”行业产能</w:t>
                  </w:r>
                </w:p>
              </w:tc>
              <w:tc>
                <w:tcPr>
                  <w:tcW w:w="1469" w:type="pct"/>
                  <w:vAlign w:val="center"/>
                </w:tcPr>
                <w:p w14:paraId="45E87497">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4AAD2075">
                  <w:pPr>
                    <w:widowControl/>
                    <w:jc w:val="center"/>
                    <w:rPr>
                      <w:b/>
                      <w:bCs/>
                      <w:color w:val="auto"/>
                      <w:szCs w:val="21"/>
                      <w:highlight w:val="none"/>
                    </w:rPr>
                  </w:pPr>
                  <w:r>
                    <w:rPr>
                      <w:b/>
                      <w:bCs/>
                      <w:color w:val="auto"/>
                      <w:szCs w:val="21"/>
                      <w:highlight w:val="none"/>
                      <w:shd w:val="clear" w:color="auto" w:fill="FFFFFF"/>
                    </w:rPr>
                    <w:t>/</w:t>
                  </w:r>
                </w:p>
              </w:tc>
            </w:tr>
            <w:tr w14:paraId="5F73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3CCDFC38">
                  <w:pPr>
                    <w:widowControl/>
                    <w:jc w:val="center"/>
                    <w:rPr>
                      <w:color w:val="auto"/>
                      <w:szCs w:val="21"/>
                      <w:highlight w:val="none"/>
                    </w:rPr>
                  </w:pPr>
                </w:p>
              </w:tc>
              <w:tc>
                <w:tcPr>
                  <w:tcW w:w="2264" w:type="pct"/>
                  <w:vAlign w:val="center"/>
                </w:tcPr>
                <w:p w14:paraId="0A98AE2F">
                  <w:pPr>
                    <w:widowControl/>
                    <w:rPr>
                      <w:color w:val="auto"/>
                      <w:szCs w:val="21"/>
                      <w:highlight w:val="none"/>
                    </w:rPr>
                  </w:pPr>
                  <w:r>
                    <w:rPr>
                      <w:color w:val="auto"/>
                      <w:szCs w:val="21"/>
                      <w:highlight w:val="none"/>
                    </w:rPr>
                    <w:t>（三）强化“散乱污”企业综合整治</w:t>
                  </w:r>
                </w:p>
              </w:tc>
              <w:tc>
                <w:tcPr>
                  <w:tcW w:w="1469" w:type="pct"/>
                  <w:vAlign w:val="center"/>
                </w:tcPr>
                <w:p w14:paraId="2EE0DD89">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295E4298">
                  <w:pPr>
                    <w:widowControl/>
                    <w:jc w:val="center"/>
                    <w:rPr>
                      <w:b/>
                      <w:bCs/>
                      <w:color w:val="auto"/>
                      <w:szCs w:val="21"/>
                      <w:highlight w:val="none"/>
                    </w:rPr>
                  </w:pPr>
                  <w:r>
                    <w:rPr>
                      <w:b/>
                      <w:bCs/>
                      <w:color w:val="auto"/>
                      <w:szCs w:val="21"/>
                      <w:highlight w:val="none"/>
                    </w:rPr>
                    <w:t>/</w:t>
                  </w:r>
                </w:p>
              </w:tc>
            </w:tr>
            <w:tr w14:paraId="4A87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66E8724C">
                  <w:pPr>
                    <w:widowControl/>
                    <w:jc w:val="center"/>
                    <w:rPr>
                      <w:color w:val="auto"/>
                      <w:szCs w:val="21"/>
                      <w:highlight w:val="none"/>
                    </w:rPr>
                  </w:pPr>
                </w:p>
              </w:tc>
              <w:tc>
                <w:tcPr>
                  <w:tcW w:w="2264" w:type="pct"/>
                  <w:vAlign w:val="center"/>
                </w:tcPr>
                <w:p w14:paraId="312A787E">
                  <w:pPr>
                    <w:widowControl/>
                    <w:rPr>
                      <w:color w:val="auto"/>
                      <w:szCs w:val="21"/>
                      <w:highlight w:val="none"/>
                    </w:rPr>
                  </w:pPr>
                  <w:r>
                    <w:rPr>
                      <w:color w:val="auto"/>
                      <w:szCs w:val="21"/>
                      <w:highlight w:val="none"/>
                    </w:rPr>
                    <w:t>（四）深化工业污染治理</w:t>
                  </w:r>
                </w:p>
              </w:tc>
              <w:tc>
                <w:tcPr>
                  <w:tcW w:w="1469" w:type="pct"/>
                  <w:vAlign w:val="center"/>
                </w:tcPr>
                <w:p w14:paraId="64796644">
                  <w:pPr>
                    <w:widowControl/>
                    <w:jc w:val="center"/>
                    <w:rPr>
                      <w:color w:val="auto"/>
                      <w:szCs w:val="21"/>
                      <w:highlight w:val="none"/>
                    </w:rPr>
                  </w:pPr>
                  <w:r>
                    <w:rPr>
                      <w:color w:val="auto"/>
                      <w:szCs w:val="21"/>
                      <w:highlight w:val="none"/>
                    </w:rPr>
                    <w:t>项目各污染物达标排放</w:t>
                  </w:r>
                </w:p>
              </w:tc>
              <w:tc>
                <w:tcPr>
                  <w:tcW w:w="609" w:type="pct"/>
                  <w:vAlign w:val="center"/>
                </w:tcPr>
                <w:p w14:paraId="6E31B3B6">
                  <w:pPr>
                    <w:widowControl/>
                    <w:jc w:val="center"/>
                    <w:rPr>
                      <w:b/>
                      <w:bCs/>
                      <w:color w:val="auto"/>
                      <w:szCs w:val="21"/>
                      <w:highlight w:val="none"/>
                    </w:rPr>
                  </w:pPr>
                  <w:r>
                    <w:rPr>
                      <w:b/>
                      <w:bCs/>
                      <w:color w:val="auto"/>
                      <w:szCs w:val="21"/>
                      <w:highlight w:val="none"/>
                    </w:rPr>
                    <w:t>符合</w:t>
                  </w:r>
                </w:p>
              </w:tc>
            </w:tr>
            <w:tr w14:paraId="3F65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3DCD29AC">
                  <w:pPr>
                    <w:widowControl/>
                    <w:jc w:val="center"/>
                    <w:rPr>
                      <w:color w:val="auto"/>
                      <w:szCs w:val="21"/>
                      <w:highlight w:val="none"/>
                    </w:rPr>
                  </w:pPr>
                </w:p>
              </w:tc>
              <w:tc>
                <w:tcPr>
                  <w:tcW w:w="2264" w:type="pct"/>
                  <w:vAlign w:val="center"/>
                </w:tcPr>
                <w:p w14:paraId="413CAB9B">
                  <w:pPr>
                    <w:widowControl/>
                    <w:rPr>
                      <w:color w:val="auto"/>
                      <w:szCs w:val="21"/>
                      <w:highlight w:val="none"/>
                    </w:rPr>
                  </w:pPr>
                  <w:r>
                    <w:rPr>
                      <w:color w:val="auto"/>
                      <w:szCs w:val="21"/>
                      <w:highlight w:val="none"/>
                    </w:rPr>
                    <w:t>（五）大力培育绿色环保产业</w:t>
                  </w:r>
                </w:p>
              </w:tc>
              <w:tc>
                <w:tcPr>
                  <w:tcW w:w="1469" w:type="pct"/>
                  <w:vAlign w:val="center"/>
                </w:tcPr>
                <w:p w14:paraId="3031FDE7">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2D77709E">
                  <w:pPr>
                    <w:widowControl/>
                    <w:jc w:val="center"/>
                    <w:rPr>
                      <w:b/>
                      <w:bCs/>
                      <w:color w:val="auto"/>
                      <w:szCs w:val="21"/>
                      <w:highlight w:val="none"/>
                    </w:rPr>
                  </w:pPr>
                  <w:r>
                    <w:rPr>
                      <w:b/>
                      <w:bCs/>
                      <w:color w:val="auto"/>
                      <w:szCs w:val="21"/>
                      <w:highlight w:val="none"/>
                    </w:rPr>
                    <w:t>/</w:t>
                  </w:r>
                </w:p>
              </w:tc>
            </w:tr>
            <w:tr w14:paraId="08F5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05BD8CB9">
                  <w:pPr>
                    <w:widowControl/>
                    <w:jc w:val="center"/>
                    <w:rPr>
                      <w:color w:val="auto"/>
                      <w:szCs w:val="21"/>
                      <w:highlight w:val="none"/>
                    </w:rPr>
                  </w:pPr>
                </w:p>
              </w:tc>
              <w:tc>
                <w:tcPr>
                  <w:tcW w:w="2264" w:type="pct"/>
                  <w:vAlign w:val="center"/>
                </w:tcPr>
                <w:p w14:paraId="51912D73">
                  <w:pPr>
                    <w:widowControl/>
                    <w:rPr>
                      <w:color w:val="auto"/>
                      <w:szCs w:val="21"/>
                      <w:highlight w:val="none"/>
                    </w:rPr>
                  </w:pPr>
                  <w:r>
                    <w:rPr>
                      <w:color w:val="auto"/>
                      <w:szCs w:val="21"/>
                      <w:highlight w:val="none"/>
                    </w:rPr>
                    <w:t>（六）开展</w:t>
                  </w:r>
                  <w:r>
                    <w:rPr>
                      <w:rFonts w:hint="eastAsia"/>
                      <w:color w:val="auto"/>
                      <w:szCs w:val="21"/>
                      <w:highlight w:val="none"/>
                      <w:lang w:eastAsia="zh-CN"/>
                    </w:rPr>
                    <w:t>燃煤锅炉</w:t>
                  </w:r>
                  <w:r>
                    <w:rPr>
                      <w:color w:val="auto"/>
                      <w:szCs w:val="21"/>
                      <w:highlight w:val="none"/>
                    </w:rPr>
                    <w:t>综合整治</w:t>
                  </w:r>
                </w:p>
              </w:tc>
              <w:tc>
                <w:tcPr>
                  <w:tcW w:w="1469" w:type="pct"/>
                  <w:vAlign w:val="center"/>
                </w:tcPr>
                <w:p w14:paraId="7550DCDD">
                  <w:pPr>
                    <w:widowControl/>
                    <w:jc w:val="center"/>
                    <w:rPr>
                      <w:rFonts w:hint="eastAsia" w:eastAsia="宋体"/>
                      <w:color w:val="auto"/>
                      <w:szCs w:val="21"/>
                      <w:highlight w:val="none"/>
                      <w:lang w:eastAsia="zh-CN"/>
                    </w:rPr>
                  </w:pPr>
                  <w:r>
                    <w:rPr>
                      <w:color w:val="auto"/>
                      <w:szCs w:val="21"/>
                      <w:highlight w:val="none"/>
                    </w:rPr>
                    <w:t>项目不使用</w:t>
                  </w:r>
                  <w:r>
                    <w:rPr>
                      <w:rFonts w:hint="eastAsia"/>
                      <w:color w:val="auto"/>
                      <w:szCs w:val="21"/>
                      <w:highlight w:val="none"/>
                      <w:lang w:eastAsia="zh-CN"/>
                    </w:rPr>
                    <w:t>燃煤锅炉</w:t>
                  </w:r>
                </w:p>
              </w:tc>
              <w:tc>
                <w:tcPr>
                  <w:tcW w:w="609" w:type="pct"/>
                  <w:vAlign w:val="center"/>
                </w:tcPr>
                <w:p w14:paraId="2BB11ACB">
                  <w:pPr>
                    <w:widowControl/>
                    <w:jc w:val="center"/>
                    <w:rPr>
                      <w:b/>
                      <w:bCs/>
                      <w:color w:val="auto"/>
                      <w:szCs w:val="21"/>
                      <w:highlight w:val="none"/>
                    </w:rPr>
                  </w:pPr>
                  <w:r>
                    <w:rPr>
                      <w:b/>
                      <w:bCs/>
                      <w:color w:val="auto"/>
                      <w:szCs w:val="21"/>
                      <w:highlight w:val="none"/>
                    </w:rPr>
                    <w:t>符合</w:t>
                  </w:r>
                </w:p>
              </w:tc>
            </w:tr>
            <w:tr w14:paraId="676D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3C39EBF6">
                  <w:pPr>
                    <w:widowControl/>
                    <w:jc w:val="center"/>
                    <w:rPr>
                      <w:color w:val="auto"/>
                      <w:szCs w:val="21"/>
                      <w:highlight w:val="none"/>
                    </w:rPr>
                  </w:pPr>
                </w:p>
              </w:tc>
              <w:tc>
                <w:tcPr>
                  <w:tcW w:w="2264" w:type="pct"/>
                  <w:vAlign w:val="center"/>
                </w:tcPr>
                <w:p w14:paraId="65B985E5">
                  <w:pPr>
                    <w:widowControl/>
                    <w:rPr>
                      <w:color w:val="auto"/>
                      <w:szCs w:val="21"/>
                      <w:highlight w:val="none"/>
                    </w:rPr>
                  </w:pPr>
                  <w:r>
                    <w:rPr>
                      <w:color w:val="auto"/>
                      <w:szCs w:val="21"/>
                      <w:highlight w:val="none"/>
                    </w:rPr>
                    <w:t>（七）提高能源利用效率</w:t>
                  </w:r>
                </w:p>
              </w:tc>
              <w:tc>
                <w:tcPr>
                  <w:tcW w:w="1469" w:type="pct"/>
                  <w:vAlign w:val="center"/>
                </w:tcPr>
                <w:p w14:paraId="27F9E23F">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65161252">
                  <w:pPr>
                    <w:widowControl/>
                    <w:jc w:val="center"/>
                    <w:rPr>
                      <w:b/>
                      <w:bCs/>
                      <w:color w:val="auto"/>
                      <w:szCs w:val="21"/>
                      <w:highlight w:val="none"/>
                    </w:rPr>
                  </w:pPr>
                  <w:r>
                    <w:rPr>
                      <w:b/>
                      <w:bCs/>
                      <w:color w:val="auto"/>
                      <w:szCs w:val="21"/>
                      <w:highlight w:val="none"/>
                    </w:rPr>
                    <w:t>/</w:t>
                  </w:r>
                </w:p>
              </w:tc>
            </w:tr>
            <w:tr w14:paraId="5080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6311C8CD">
                  <w:pPr>
                    <w:widowControl/>
                    <w:jc w:val="center"/>
                    <w:rPr>
                      <w:color w:val="auto"/>
                      <w:szCs w:val="21"/>
                      <w:highlight w:val="none"/>
                    </w:rPr>
                  </w:pPr>
                </w:p>
              </w:tc>
              <w:tc>
                <w:tcPr>
                  <w:tcW w:w="2264" w:type="pct"/>
                  <w:vAlign w:val="center"/>
                </w:tcPr>
                <w:p w14:paraId="4B0B3E52">
                  <w:pPr>
                    <w:widowControl/>
                    <w:rPr>
                      <w:color w:val="auto"/>
                      <w:szCs w:val="21"/>
                      <w:highlight w:val="none"/>
                    </w:rPr>
                  </w:pPr>
                  <w:r>
                    <w:rPr>
                      <w:color w:val="auto"/>
                      <w:szCs w:val="21"/>
                      <w:highlight w:val="none"/>
                    </w:rPr>
                    <w:t>（八）加快发展清洁能源和新能源</w:t>
                  </w:r>
                </w:p>
              </w:tc>
              <w:tc>
                <w:tcPr>
                  <w:tcW w:w="1469" w:type="pct"/>
                  <w:vAlign w:val="center"/>
                </w:tcPr>
                <w:p w14:paraId="65115B96">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3A3B82C9">
                  <w:pPr>
                    <w:widowControl/>
                    <w:jc w:val="center"/>
                    <w:rPr>
                      <w:b/>
                      <w:bCs/>
                      <w:color w:val="auto"/>
                      <w:szCs w:val="21"/>
                      <w:highlight w:val="none"/>
                    </w:rPr>
                  </w:pPr>
                  <w:r>
                    <w:rPr>
                      <w:b/>
                      <w:bCs/>
                      <w:color w:val="auto"/>
                      <w:szCs w:val="21"/>
                      <w:highlight w:val="none"/>
                    </w:rPr>
                    <w:t>/</w:t>
                  </w:r>
                </w:p>
              </w:tc>
            </w:tr>
            <w:tr w14:paraId="62DC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236E10A2">
                  <w:pPr>
                    <w:widowControl/>
                    <w:jc w:val="center"/>
                    <w:rPr>
                      <w:color w:val="auto"/>
                      <w:szCs w:val="21"/>
                      <w:highlight w:val="none"/>
                    </w:rPr>
                  </w:pPr>
                </w:p>
              </w:tc>
              <w:tc>
                <w:tcPr>
                  <w:tcW w:w="2264" w:type="pct"/>
                  <w:vAlign w:val="center"/>
                </w:tcPr>
                <w:p w14:paraId="45B8087F">
                  <w:pPr>
                    <w:widowControl/>
                    <w:rPr>
                      <w:color w:val="auto"/>
                      <w:szCs w:val="21"/>
                      <w:highlight w:val="none"/>
                    </w:rPr>
                  </w:pPr>
                  <w:r>
                    <w:rPr>
                      <w:color w:val="auto"/>
                      <w:szCs w:val="21"/>
                      <w:highlight w:val="none"/>
                    </w:rPr>
                    <w:t>（九）优化调整货物运输结构</w:t>
                  </w:r>
                </w:p>
              </w:tc>
              <w:tc>
                <w:tcPr>
                  <w:tcW w:w="1469" w:type="pct"/>
                  <w:vAlign w:val="center"/>
                </w:tcPr>
                <w:p w14:paraId="45BC77FF">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100B3490">
                  <w:pPr>
                    <w:widowControl/>
                    <w:jc w:val="center"/>
                    <w:rPr>
                      <w:b/>
                      <w:bCs/>
                      <w:color w:val="auto"/>
                      <w:szCs w:val="21"/>
                      <w:highlight w:val="none"/>
                    </w:rPr>
                  </w:pPr>
                  <w:r>
                    <w:rPr>
                      <w:b/>
                      <w:bCs/>
                      <w:color w:val="auto"/>
                      <w:szCs w:val="21"/>
                      <w:highlight w:val="none"/>
                      <w:shd w:val="clear" w:color="auto" w:fill="FFFFFF"/>
                    </w:rPr>
                    <w:t>/</w:t>
                  </w:r>
                </w:p>
              </w:tc>
            </w:tr>
            <w:tr w14:paraId="6D76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73F4F1C4">
                  <w:pPr>
                    <w:widowControl/>
                    <w:jc w:val="center"/>
                    <w:rPr>
                      <w:color w:val="auto"/>
                      <w:szCs w:val="21"/>
                      <w:highlight w:val="none"/>
                    </w:rPr>
                  </w:pPr>
                </w:p>
              </w:tc>
              <w:tc>
                <w:tcPr>
                  <w:tcW w:w="2264" w:type="pct"/>
                  <w:vAlign w:val="center"/>
                </w:tcPr>
                <w:p w14:paraId="23B11E41">
                  <w:pPr>
                    <w:widowControl/>
                    <w:rPr>
                      <w:color w:val="auto"/>
                      <w:szCs w:val="21"/>
                      <w:highlight w:val="none"/>
                    </w:rPr>
                  </w:pPr>
                  <w:r>
                    <w:rPr>
                      <w:color w:val="auto"/>
                      <w:szCs w:val="21"/>
                      <w:highlight w:val="none"/>
                    </w:rPr>
                    <w:t>（十）加快车船结构升级</w:t>
                  </w:r>
                </w:p>
              </w:tc>
              <w:tc>
                <w:tcPr>
                  <w:tcW w:w="1469" w:type="pct"/>
                  <w:vAlign w:val="center"/>
                </w:tcPr>
                <w:p w14:paraId="75D131AD">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1B3D9C36">
                  <w:pPr>
                    <w:widowControl/>
                    <w:jc w:val="center"/>
                    <w:rPr>
                      <w:b/>
                      <w:bCs/>
                      <w:color w:val="auto"/>
                      <w:szCs w:val="21"/>
                      <w:highlight w:val="none"/>
                    </w:rPr>
                  </w:pPr>
                  <w:r>
                    <w:rPr>
                      <w:b/>
                      <w:bCs/>
                      <w:color w:val="auto"/>
                      <w:szCs w:val="21"/>
                      <w:highlight w:val="none"/>
                      <w:shd w:val="clear" w:color="auto" w:fill="FFFFFF"/>
                    </w:rPr>
                    <w:t>/</w:t>
                  </w:r>
                </w:p>
              </w:tc>
            </w:tr>
            <w:tr w14:paraId="4B1E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0B46C4E3">
                  <w:pPr>
                    <w:widowControl/>
                    <w:jc w:val="center"/>
                    <w:rPr>
                      <w:color w:val="auto"/>
                      <w:szCs w:val="21"/>
                      <w:highlight w:val="none"/>
                    </w:rPr>
                  </w:pPr>
                </w:p>
              </w:tc>
              <w:tc>
                <w:tcPr>
                  <w:tcW w:w="2264" w:type="pct"/>
                  <w:vAlign w:val="center"/>
                </w:tcPr>
                <w:p w14:paraId="08D7BB31">
                  <w:pPr>
                    <w:widowControl/>
                    <w:rPr>
                      <w:color w:val="auto"/>
                      <w:szCs w:val="21"/>
                      <w:highlight w:val="none"/>
                    </w:rPr>
                  </w:pPr>
                  <w:r>
                    <w:rPr>
                      <w:color w:val="auto"/>
                      <w:szCs w:val="21"/>
                      <w:highlight w:val="none"/>
                    </w:rPr>
                    <w:t>（十一）加快油品质量升级。</w:t>
                  </w:r>
                </w:p>
              </w:tc>
              <w:tc>
                <w:tcPr>
                  <w:tcW w:w="1469" w:type="pct"/>
                  <w:vAlign w:val="center"/>
                </w:tcPr>
                <w:p w14:paraId="003BA7B9">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7BE5EAD7">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7306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6C02C8F9">
                  <w:pPr>
                    <w:widowControl/>
                    <w:jc w:val="center"/>
                    <w:rPr>
                      <w:color w:val="auto"/>
                      <w:szCs w:val="21"/>
                      <w:highlight w:val="none"/>
                    </w:rPr>
                  </w:pPr>
                </w:p>
              </w:tc>
              <w:tc>
                <w:tcPr>
                  <w:tcW w:w="2264" w:type="pct"/>
                  <w:vAlign w:val="center"/>
                </w:tcPr>
                <w:p w14:paraId="79C1312B">
                  <w:pPr>
                    <w:widowControl/>
                    <w:rPr>
                      <w:color w:val="auto"/>
                      <w:szCs w:val="21"/>
                      <w:highlight w:val="none"/>
                    </w:rPr>
                  </w:pPr>
                  <w:r>
                    <w:rPr>
                      <w:color w:val="auto"/>
                      <w:szCs w:val="21"/>
                      <w:highlight w:val="none"/>
                    </w:rPr>
                    <w:t>（十二）强化移动源污染防治。</w:t>
                  </w:r>
                </w:p>
              </w:tc>
              <w:tc>
                <w:tcPr>
                  <w:tcW w:w="1469" w:type="pct"/>
                  <w:vAlign w:val="center"/>
                </w:tcPr>
                <w:p w14:paraId="2914FC45">
                  <w:pPr>
                    <w:widowControl/>
                    <w:jc w:val="center"/>
                    <w:rPr>
                      <w:color w:val="auto"/>
                      <w:szCs w:val="21"/>
                      <w:highlight w:val="none"/>
                    </w:rPr>
                  </w:pPr>
                  <w:r>
                    <w:rPr>
                      <w:color w:val="auto"/>
                      <w:szCs w:val="21"/>
                      <w:highlight w:val="none"/>
                      <w:shd w:val="clear" w:color="auto" w:fill="FFFFFF"/>
                    </w:rPr>
                    <w:t>不涉及</w:t>
                  </w:r>
                </w:p>
              </w:tc>
              <w:tc>
                <w:tcPr>
                  <w:tcW w:w="609" w:type="pct"/>
                  <w:vAlign w:val="center"/>
                </w:tcPr>
                <w:p w14:paraId="24C4B714">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6BA7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1C643D6A">
                  <w:pPr>
                    <w:widowControl/>
                    <w:jc w:val="center"/>
                    <w:rPr>
                      <w:color w:val="auto"/>
                      <w:szCs w:val="21"/>
                      <w:highlight w:val="none"/>
                    </w:rPr>
                  </w:pPr>
                </w:p>
              </w:tc>
              <w:tc>
                <w:tcPr>
                  <w:tcW w:w="2264" w:type="pct"/>
                  <w:vAlign w:val="center"/>
                </w:tcPr>
                <w:p w14:paraId="25274E1E">
                  <w:pPr>
                    <w:widowControl/>
                    <w:rPr>
                      <w:color w:val="auto"/>
                      <w:szCs w:val="21"/>
                      <w:highlight w:val="none"/>
                    </w:rPr>
                  </w:pPr>
                  <w:r>
                    <w:rPr>
                      <w:color w:val="auto"/>
                      <w:szCs w:val="21"/>
                      <w:highlight w:val="none"/>
                    </w:rPr>
                    <w:t>（十三）开展大规模国土绿化行动</w:t>
                  </w:r>
                </w:p>
              </w:tc>
              <w:tc>
                <w:tcPr>
                  <w:tcW w:w="1469" w:type="pct"/>
                  <w:vAlign w:val="center"/>
                </w:tcPr>
                <w:p w14:paraId="5181F2FA">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502F9D8A">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324A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0A7DCBEB">
                  <w:pPr>
                    <w:widowControl/>
                    <w:jc w:val="center"/>
                    <w:rPr>
                      <w:color w:val="auto"/>
                      <w:szCs w:val="21"/>
                      <w:highlight w:val="none"/>
                    </w:rPr>
                  </w:pPr>
                </w:p>
              </w:tc>
              <w:tc>
                <w:tcPr>
                  <w:tcW w:w="2264" w:type="pct"/>
                  <w:vAlign w:val="center"/>
                </w:tcPr>
                <w:p w14:paraId="59AC9C7E">
                  <w:pPr>
                    <w:widowControl/>
                    <w:rPr>
                      <w:color w:val="auto"/>
                      <w:szCs w:val="21"/>
                      <w:highlight w:val="none"/>
                    </w:rPr>
                  </w:pPr>
                  <w:r>
                    <w:rPr>
                      <w:color w:val="auto"/>
                      <w:szCs w:val="21"/>
                      <w:highlight w:val="none"/>
                    </w:rPr>
                    <w:t>（十四）推进露天矿山综合整治。</w:t>
                  </w:r>
                </w:p>
              </w:tc>
              <w:tc>
                <w:tcPr>
                  <w:tcW w:w="1469" w:type="pct"/>
                  <w:vAlign w:val="center"/>
                </w:tcPr>
                <w:p w14:paraId="591A761A">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0FA51438">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5630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450CCBC5">
                  <w:pPr>
                    <w:widowControl/>
                    <w:jc w:val="center"/>
                    <w:rPr>
                      <w:color w:val="auto"/>
                      <w:szCs w:val="21"/>
                      <w:highlight w:val="none"/>
                    </w:rPr>
                  </w:pPr>
                </w:p>
              </w:tc>
              <w:tc>
                <w:tcPr>
                  <w:tcW w:w="2264" w:type="pct"/>
                  <w:vAlign w:val="center"/>
                </w:tcPr>
                <w:p w14:paraId="598F0AFB">
                  <w:pPr>
                    <w:widowControl/>
                    <w:rPr>
                      <w:color w:val="auto"/>
                      <w:szCs w:val="21"/>
                      <w:highlight w:val="none"/>
                    </w:rPr>
                  </w:pPr>
                  <w:r>
                    <w:rPr>
                      <w:color w:val="auto"/>
                      <w:szCs w:val="21"/>
                      <w:highlight w:val="none"/>
                    </w:rPr>
                    <w:t>（十五）加强扬尘综合治理</w:t>
                  </w:r>
                </w:p>
              </w:tc>
              <w:tc>
                <w:tcPr>
                  <w:tcW w:w="1469" w:type="pct"/>
                  <w:vAlign w:val="center"/>
                </w:tcPr>
                <w:p w14:paraId="1A630A03">
                  <w:pPr>
                    <w:widowControl/>
                    <w:jc w:val="center"/>
                    <w:rPr>
                      <w:color w:val="auto"/>
                      <w:szCs w:val="21"/>
                      <w:highlight w:val="none"/>
                      <w:shd w:val="clear" w:color="auto" w:fill="FFFFFF"/>
                    </w:rPr>
                  </w:pPr>
                  <w:r>
                    <w:rPr>
                      <w:rFonts w:hint="eastAsia"/>
                      <w:color w:val="auto"/>
                      <w:szCs w:val="21"/>
                      <w:highlight w:val="none"/>
                      <w:shd w:val="clear" w:color="auto" w:fill="FFFFFF"/>
                    </w:rPr>
                    <w:t>本项目</w:t>
                  </w:r>
                  <w:r>
                    <w:rPr>
                      <w:color w:val="auto"/>
                      <w:szCs w:val="21"/>
                      <w:highlight w:val="none"/>
                      <w:shd w:val="clear" w:color="auto" w:fill="FFFFFF"/>
                    </w:rPr>
                    <w:t>生物质</w:t>
                  </w:r>
                  <w:r>
                    <w:rPr>
                      <w:rFonts w:hint="eastAsia"/>
                      <w:color w:val="auto"/>
                      <w:szCs w:val="21"/>
                      <w:highlight w:val="none"/>
                      <w:shd w:val="clear" w:color="auto" w:fill="FFFFFF"/>
                      <w:lang w:val="en-US" w:eastAsia="zh-CN"/>
                    </w:rPr>
                    <w:t>燃料</w:t>
                  </w:r>
                  <w:r>
                    <w:rPr>
                      <w:rFonts w:hint="eastAsia"/>
                      <w:color w:val="auto"/>
                      <w:szCs w:val="21"/>
                      <w:highlight w:val="none"/>
                      <w:shd w:val="clear" w:color="auto" w:fill="FFFFFF"/>
                    </w:rPr>
                    <w:t>存放于室内</w:t>
                  </w:r>
                </w:p>
              </w:tc>
              <w:tc>
                <w:tcPr>
                  <w:tcW w:w="609" w:type="pct"/>
                  <w:vAlign w:val="center"/>
                </w:tcPr>
                <w:p w14:paraId="193B3FA6">
                  <w:pPr>
                    <w:widowControl/>
                    <w:jc w:val="center"/>
                    <w:rPr>
                      <w:b/>
                      <w:bCs/>
                      <w:color w:val="auto"/>
                      <w:szCs w:val="21"/>
                      <w:highlight w:val="none"/>
                      <w:shd w:val="clear" w:color="auto" w:fill="FFFFFF"/>
                    </w:rPr>
                  </w:pPr>
                  <w:r>
                    <w:rPr>
                      <w:b/>
                      <w:bCs/>
                      <w:color w:val="auto"/>
                      <w:szCs w:val="21"/>
                      <w:highlight w:val="none"/>
                      <w:shd w:val="clear" w:color="auto" w:fill="FFFFFF"/>
                    </w:rPr>
                    <w:t>符合</w:t>
                  </w:r>
                </w:p>
              </w:tc>
            </w:tr>
            <w:tr w14:paraId="220C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6F287232">
                  <w:pPr>
                    <w:widowControl/>
                    <w:jc w:val="center"/>
                    <w:rPr>
                      <w:color w:val="auto"/>
                      <w:szCs w:val="21"/>
                      <w:highlight w:val="none"/>
                    </w:rPr>
                  </w:pPr>
                </w:p>
              </w:tc>
              <w:tc>
                <w:tcPr>
                  <w:tcW w:w="2264" w:type="pct"/>
                  <w:vAlign w:val="center"/>
                </w:tcPr>
                <w:p w14:paraId="27F582B1">
                  <w:pPr>
                    <w:widowControl/>
                    <w:rPr>
                      <w:color w:val="auto"/>
                      <w:szCs w:val="21"/>
                      <w:highlight w:val="none"/>
                    </w:rPr>
                  </w:pPr>
                  <w:r>
                    <w:rPr>
                      <w:color w:val="auto"/>
                      <w:szCs w:val="21"/>
                      <w:highlight w:val="none"/>
                    </w:rPr>
                    <w:t>（十六）加强秸秆综合利用和氨排放控制。</w:t>
                  </w:r>
                </w:p>
              </w:tc>
              <w:tc>
                <w:tcPr>
                  <w:tcW w:w="1469" w:type="pct"/>
                  <w:vAlign w:val="center"/>
                </w:tcPr>
                <w:p w14:paraId="4100E75C">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2B0A22D8">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4D59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7F26CA44">
                  <w:pPr>
                    <w:widowControl/>
                    <w:jc w:val="center"/>
                    <w:rPr>
                      <w:color w:val="auto"/>
                      <w:szCs w:val="21"/>
                      <w:highlight w:val="none"/>
                    </w:rPr>
                  </w:pPr>
                </w:p>
              </w:tc>
              <w:tc>
                <w:tcPr>
                  <w:tcW w:w="2264" w:type="pct"/>
                  <w:vAlign w:val="center"/>
                </w:tcPr>
                <w:p w14:paraId="7E8C0B17">
                  <w:pPr>
                    <w:widowControl/>
                    <w:rPr>
                      <w:color w:val="auto"/>
                      <w:szCs w:val="21"/>
                      <w:highlight w:val="none"/>
                    </w:rPr>
                  </w:pPr>
                  <w:r>
                    <w:rPr>
                      <w:color w:val="auto"/>
                      <w:szCs w:val="21"/>
                      <w:highlight w:val="none"/>
                    </w:rPr>
                    <w:t>（十七）打好柴油货车污染治理攻坚战。</w:t>
                  </w:r>
                </w:p>
              </w:tc>
              <w:tc>
                <w:tcPr>
                  <w:tcW w:w="1469" w:type="pct"/>
                  <w:vAlign w:val="center"/>
                </w:tcPr>
                <w:p w14:paraId="773D9D6A">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23F9F489">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15A8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30E326B9">
                  <w:pPr>
                    <w:widowControl/>
                    <w:jc w:val="center"/>
                    <w:rPr>
                      <w:color w:val="auto"/>
                      <w:szCs w:val="21"/>
                      <w:highlight w:val="none"/>
                    </w:rPr>
                  </w:pPr>
                </w:p>
              </w:tc>
              <w:tc>
                <w:tcPr>
                  <w:tcW w:w="2264" w:type="pct"/>
                  <w:vAlign w:val="center"/>
                </w:tcPr>
                <w:p w14:paraId="375DF04D">
                  <w:pPr>
                    <w:widowControl/>
                    <w:rPr>
                      <w:color w:val="auto"/>
                      <w:szCs w:val="21"/>
                      <w:highlight w:val="none"/>
                    </w:rPr>
                  </w:pPr>
                  <w:r>
                    <w:rPr>
                      <w:color w:val="auto"/>
                      <w:szCs w:val="21"/>
                      <w:highlight w:val="none"/>
                    </w:rPr>
                    <w:t>（十八）开展工业炉窑治理专项行动。</w:t>
                  </w:r>
                </w:p>
              </w:tc>
              <w:tc>
                <w:tcPr>
                  <w:tcW w:w="1469" w:type="pct"/>
                  <w:vAlign w:val="center"/>
                </w:tcPr>
                <w:p w14:paraId="5BD03D1E">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21294FD7">
                  <w:pPr>
                    <w:widowControl/>
                    <w:jc w:val="center"/>
                    <w:rPr>
                      <w:b/>
                      <w:bCs/>
                      <w:color w:val="auto"/>
                      <w:szCs w:val="21"/>
                      <w:highlight w:val="none"/>
                      <w:shd w:val="clear" w:color="auto" w:fill="FFFFFF"/>
                    </w:rPr>
                  </w:pPr>
                  <w:r>
                    <w:rPr>
                      <w:b/>
                      <w:bCs/>
                      <w:color w:val="auto"/>
                      <w:szCs w:val="21"/>
                      <w:highlight w:val="none"/>
                      <w:shd w:val="clear" w:color="auto" w:fill="FFFFFF"/>
                    </w:rPr>
                    <w:t>/</w:t>
                  </w:r>
                </w:p>
              </w:tc>
            </w:tr>
            <w:tr w14:paraId="01D3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pct"/>
                  <w:vMerge w:val="continue"/>
                  <w:vAlign w:val="center"/>
                </w:tcPr>
                <w:p w14:paraId="02BBC854">
                  <w:pPr>
                    <w:widowControl/>
                    <w:jc w:val="center"/>
                    <w:rPr>
                      <w:color w:val="auto"/>
                      <w:szCs w:val="21"/>
                      <w:highlight w:val="none"/>
                    </w:rPr>
                  </w:pPr>
                </w:p>
              </w:tc>
              <w:tc>
                <w:tcPr>
                  <w:tcW w:w="2264" w:type="pct"/>
                  <w:vAlign w:val="center"/>
                </w:tcPr>
                <w:p w14:paraId="704FB93C">
                  <w:pPr>
                    <w:widowControl/>
                    <w:rPr>
                      <w:color w:val="auto"/>
                      <w:szCs w:val="21"/>
                      <w:highlight w:val="none"/>
                    </w:rPr>
                  </w:pPr>
                  <w:r>
                    <w:rPr>
                      <w:color w:val="auto"/>
                      <w:szCs w:val="21"/>
                      <w:highlight w:val="none"/>
                    </w:rPr>
                    <w:t>（十九）实施挥发性有机物“VOC</w:t>
                  </w:r>
                  <w:r>
                    <w:rPr>
                      <w:color w:val="auto"/>
                      <w:szCs w:val="21"/>
                      <w:highlight w:val="none"/>
                      <w:vertAlign w:val="subscript"/>
                    </w:rPr>
                    <w:t>S</w:t>
                  </w:r>
                  <w:r>
                    <w:rPr>
                      <w:color w:val="auto"/>
                      <w:szCs w:val="21"/>
                      <w:highlight w:val="none"/>
                    </w:rPr>
                    <w:t>”专项整治方案。</w:t>
                  </w:r>
                </w:p>
              </w:tc>
              <w:tc>
                <w:tcPr>
                  <w:tcW w:w="1469" w:type="pct"/>
                  <w:vAlign w:val="center"/>
                </w:tcPr>
                <w:p w14:paraId="36161B09">
                  <w:pPr>
                    <w:widowControl/>
                    <w:jc w:val="center"/>
                    <w:rPr>
                      <w:color w:val="auto"/>
                      <w:szCs w:val="21"/>
                      <w:highlight w:val="none"/>
                      <w:shd w:val="clear" w:color="auto" w:fill="FFFFFF"/>
                    </w:rPr>
                  </w:pPr>
                  <w:r>
                    <w:rPr>
                      <w:color w:val="auto"/>
                      <w:szCs w:val="21"/>
                      <w:highlight w:val="none"/>
                      <w:shd w:val="clear" w:color="auto" w:fill="FFFFFF"/>
                    </w:rPr>
                    <w:t>不涉及</w:t>
                  </w:r>
                </w:p>
              </w:tc>
              <w:tc>
                <w:tcPr>
                  <w:tcW w:w="609" w:type="pct"/>
                  <w:vAlign w:val="center"/>
                </w:tcPr>
                <w:p w14:paraId="1E8FA3BE">
                  <w:pPr>
                    <w:widowControl/>
                    <w:jc w:val="center"/>
                    <w:rPr>
                      <w:b/>
                      <w:bCs/>
                      <w:color w:val="auto"/>
                      <w:szCs w:val="21"/>
                      <w:highlight w:val="none"/>
                      <w:shd w:val="clear" w:color="auto" w:fill="FFFFFF"/>
                    </w:rPr>
                  </w:pPr>
                  <w:r>
                    <w:rPr>
                      <w:b/>
                      <w:bCs/>
                      <w:color w:val="auto"/>
                      <w:szCs w:val="21"/>
                      <w:highlight w:val="none"/>
                      <w:shd w:val="clear" w:color="auto" w:fill="FFFFFF"/>
                    </w:rPr>
                    <w:t>/</w:t>
                  </w:r>
                </w:p>
              </w:tc>
            </w:tr>
          </w:tbl>
          <w:p w14:paraId="7370E469">
            <w:pPr>
              <w:spacing w:line="360" w:lineRule="auto"/>
              <w:rPr>
                <w:rFonts w:hint="eastAsia"/>
                <w:b/>
                <w:bCs/>
                <w:color w:val="auto"/>
                <w:sz w:val="24"/>
                <w:highlight w:val="none"/>
                <w:lang w:val="en-US" w:eastAsia="zh-CN"/>
              </w:rPr>
            </w:pPr>
          </w:p>
          <w:p w14:paraId="4A5B1C2F">
            <w:pPr>
              <w:spacing w:line="360" w:lineRule="auto"/>
              <w:rPr>
                <w:rFonts w:hint="eastAsia"/>
                <w:b/>
                <w:bCs/>
                <w:color w:val="auto"/>
                <w:sz w:val="24"/>
                <w:highlight w:val="none"/>
                <w:lang w:val="en-US" w:eastAsia="zh-CN"/>
              </w:rPr>
            </w:pPr>
          </w:p>
          <w:p w14:paraId="709952D1">
            <w:pPr>
              <w:spacing w:line="360" w:lineRule="auto"/>
              <w:rPr>
                <w:rFonts w:hint="eastAsia"/>
                <w:b/>
                <w:bCs/>
                <w:color w:val="auto"/>
                <w:sz w:val="24"/>
                <w:highlight w:val="none"/>
                <w:lang w:val="en-US" w:eastAsia="zh-CN"/>
              </w:rPr>
            </w:pPr>
          </w:p>
          <w:p w14:paraId="51769375">
            <w:pPr>
              <w:spacing w:line="360" w:lineRule="auto"/>
              <w:rPr>
                <w:rFonts w:hint="eastAsia"/>
                <w:b/>
                <w:bCs/>
                <w:color w:val="auto"/>
                <w:sz w:val="24"/>
                <w:highlight w:val="none"/>
                <w:lang w:val="en-US" w:eastAsia="zh-CN"/>
              </w:rPr>
            </w:pPr>
          </w:p>
          <w:p w14:paraId="759F65A2">
            <w:pPr>
              <w:spacing w:line="360" w:lineRule="auto"/>
              <w:rPr>
                <w:b/>
                <w:bCs/>
                <w:color w:val="auto"/>
                <w:sz w:val="24"/>
                <w:highlight w:val="none"/>
              </w:rPr>
            </w:pPr>
            <w:r>
              <w:rPr>
                <w:rFonts w:hint="eastAsia"/>
                <w:b/>
                <w:bCs/>
                <w:color w:val="auto"/>
                <w:sz w:val="24"/>
                <w:highlight w:val="none"/>
                <w:lang w:val="en-US" w:eastAsia="zh-CN"/>
              </w:rPr>
              <w:t>9</w:t>
            </w:r>
            <w:r>
              <w:rPr>
                <w:rFonts w:hint="eastAsia"/>
                <w:b/>
                <w:bCs/>
                <w:color w:val="auto"/>
                <w:sz w:val="24"/>
                <w:highlight w:val="none"/>
              </w:rPr>
              <w:t>、</w:t>
            </w:r>
            <w:r>
              <w:rPr>
                <w:b/>
                <w:bCs/>
                <w:color w:val="auto"/>
                <w:sz w:val="24"/>
                <w:highlight w:val="none"/>
              </w:rPr>
              <w:t>与</w:t>
            </w:r>
            <w:bookmarkStart w:id="14" w:name="_Hlk161928062"/>
            <w:r>
              <w:rPr>
                <w:b/>
                <w:bCs/>
                <w:color w:val="auto"/>
                <w:sz w:val="24"/>
                <w:highlight w:val="none"/>
              </w:rPr>
              <w:t>《云南省大气污染防治行动实施方案》</w:t>
            </w:r>
            <w:bookmarkEnd w:id="14"/>
            <w:r>
              <w:rPr>
                <w:b/>
                <w:bCs/>
                <w:color w:val="auto"/>
                <w:sz w:val="24"/>
                <w:highlight w:val="none"/>
              </w:rPr>
              <w:t>相关符合性分析</w:t>
            </w:r>
          </w:p>
          <w:p w14:paraId="660C629B">
            <w:pPr>
              <w:pStyle w:val="15"/>
              <w:spacing w:line="360" w:lineRule="auto"/>
              <w:jc w:val="center"/>
              <w:rPr>
                <w:rFonts w:hint="default" w:ascii="Times New Roman" w:hAnsi="Times New Roman"/>
                <w:b/>
                <w:color w:val="auto"/>
                <w:sz w:val="24"/>
                <w:highlight w:val="none"/>
              </w:rPr>
            </w:pPr>
            <w:r>
              <w:rPr>
                <w:rFonts w:hint="default" w:ascii="Times New Roman" w:hAnsi="Times New Roman"/>
                <w:b/>
                <w:color w:val="auto"/>
                <w:sz w:val="24"/>
                <w:highlight w:val="none"/>
              </w:rPr>
              <w:t>表1-</w:t>
            </w:r>
            <w:r>
              <w:rPr>
                <w:rFonts w:hint="eastAsia" w:ascii="Times New Roman" w:hAnsi="Times New Roman"/>
                <w:b/>
                <w:color w:val="auto"/>
                <w:sz w:val="24"/>
                <w:highlight w:val="none"/>
                <w:lang w:val="en-US" w:eastAsia="zh-CN"/>
              </w:rPr>
              <w:t>8</w:t>
            </w:r>
            <w:r>
              <w:rPr>
                <w:rFonts w:hint="default" w:ascii="Times New Roman" w:hAnsi="Times New Roman"/>
                <w:b/>
                <w:color w:val="auto"/>
                <w:sz w:val="24"/>
                <w:highlight w:val="none"/>
              </w:rPr>
              <w:t xml:space="preserve"> </w:t>
            </w:r>
            <w:r>
              <w:rPr>
                <w:rFonts w:hint="eastAsia" w:ascii="Times New Roman" w:hAnsi="Times New Roman"/>
                <w:b/>
                <w:color w:val="auto"/>
                <w:sz w:val="24"/>
                <w:highlight w:val="none"/>
                <w:lang w:val="en-US" w:eastAsia="zh-CN"/>
              </w:rPr>
              <w:t xml:space="preserve"> </w:t>
            </w:r>
            <w:r>
              <w:rPr>
                <w:rFonts w:hint="default" w:ascii="Times New Roman" w:hAnsi="Times New Roman"/>
                <w:b/>
                <w:color w:val="auto"/>
                <w:sz w:val="24"/>
                <w:highlight w:val="none"/>
              </w:rPr>
              <w:t>项目与《云南省大气污染防治行动实施方案》相关符合性分析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3622"/>
              <w:gridCol w:w="3016"/>
              <w:gridCol w:w="656"/>
            </w:tblGrid>
            <w:tr w14:paraId="1DEC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7" w:type="dxa"/>
                  <w:vAlign w:val="center"/>
                </w:tcPr>
                <w:p w14:paraId="324C31E5">
                  <w:pPr>
                    <w:jc w:val="center"/>
                    <w:rPr>
                      <w:b/>
                      <w:color w:val="auto"/>
                      <w:szCs w:val="21"/>
                      <w:highlight w:val="none"/>
                    </w:rPr>
                  </w:pPr>
                  <w:r>
                    <w:rPr>
                      <w:b/>
                      <w:color w:val="auto"/>
                      <w:szCs w:val="21"/>
                      <w:highlight w:val="none"/>
                    </w:rPr>
                    <w:t>序号</w:t>
                  </w:r>
                </w:p>
              </w:tc>
              <w:tc>
                <w:tcPr>
                  <w:tcW w:w="3838" w:type="dxa"/>
                  <w:vAlign w:val="center"/>
                </w:tcPr>
                <w:p w14:paraId="039966AC">
                  <w:pPr>
                    <w:jc w:val="center"/>
                    <w:rPr>
                      <w:b/>
                      <w:color w:val="auto"/>
                      <w:szCs w:val="21"/>
                      <w:highlight w:val="none"/>
                    </w:rPr>
                  </w:pPr>
                  <w:r>
                    <w:rPr>
                      <w:b/>
                      <w:color w:val="auto"/>
                      <w:szCs w:val="21"/>
                      <w:highlight w:val="none"/>
                    </w:rPr>
                    <w:t>文件内容</w:t>
                  </w:r>
                </w:p>
              </w:tc>
              <w:tc>
                <w:tcPr>
                  <w:tcW w:w="2766" w:type="dxa"/>
                  <w:vAlign w:val="center"/>
                </w:tcPr>
                <w:p w14:paraId="42522F15">
                  <w:pPr>
                    <w:jc w:val="center"/>
                    <w:rPr>
                      <w:b/>
                      <w:color w:val="auto"/>
                      <w:szCs w:val="21"/>
                      <w:highlight w:val="none"/>
                    </w:rPr>
                  </w:pPr>
                  <w:r>
                    <w:rPr>
                      <w:b/>
                      <w:color w:val="auto"/>
                      <w:szCs w:val="21"/>
                      <w:highlight w:val="none"/>
                    </w:rPr>
                    <w:t>相符性分析</w:t>
                  </w:r>
                </w:p>
              </w:tc>
              <w:tc>
                <w:tcPr>
                  <w:tcW w:w="676" w:type="dxa"/>
                  <w:vAlign w:val="center"/>
                </w:tcPr>
                <w:p w14:paraId="2448F615">
                  <w:pPr>
                    <w:jc w:val="center"/>
                    <w:rPr>
                      <w:b/>
                      <w:color w:val="auto"/>
                      <w:szCs w:val="21"/>
                      <w:highlight w:val="none"/>
                    </w:rPr>
                  </w:pPr>
                  <w:r>
                    <w:rPr>
                      <w:b/>
                      <w:color w:val="auto"/>
                      <w:szCs w:val="21"/>
                      <w:highlight w:val="none"/>
                    </w:rPr>
                    <w:t>符合性</w:t>
                  </w:r>
                </w:p>
              </w:tc>
            </w:tr>
            <w:tr w14:paraId="0BE3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887" w:type="dxa"/>
                  <w:gridSpan w:val="4"/>
                  <w:vAlign w:val="center"/>
                </w:tcPr>
                <w:p w14:paraId="74757702">
                  <w:pPr>
                    <w:jc w:val="center"/>
                    <w:rPr>
                      <w:b/>
                      <w:color w:val="auto"/>
                      <w:szCs w:val="21"/>
                      <w:highlight w:val="none"/>
                    </w:rPr>
                  </w:pPr>
                  <w:r>
                    <w:rPr>
                      <w:b/>
                      <w:color w:val="auto"/>
                      <w:szCs w:val="21"/>
                      <w:highlight w:val="none"/>
                    </w:rPr>
                    <w:t>二、大气污染防治主要任务</w:t>
                  </w:r>
                </w:p>
              </w:tc>
            </w:tr>
            <w:tr w14:paraId="1A03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607" w:type="dxa"/>
                  <w:vAlign w:val="center"/>
                </w:tcPr>
                <w:p w14:paraId="0531CA17">
                  <w:pPr>
                    <w:jc w:val="center"/>
                    <w:rPr>
                      <w:b/>
                      <w:color w:val="auto"/>
                      <w:szCs w:val="21"/>
                      <w:highlight w:val="none"/>
                    </w:rPr>
                  </w:pPr>
                  <w:r>
                    <w:rPr>
                      <w:b/>
                      <w:color w:val="auto"/>
                      <w:szCs w:val="21"/>
                      <w:highlight w:val="none"/>
                    </w:rPr>
                    <w:t>1</w:t>
                  </w:r>
                </w:p>
              </w:tc>
              <w:tc>
                <w:tcPr>
                  <w:tcW w:w="3838" w:type="dxa"/>
                  <w:vAlign w:val="center"/>
                </w:tcPr>
                <w:p w14:paraId="43D73ADF">
                  <w:pPr>
                    <w:rPr>
                      <w:b/>
                      <w:color w:val="auto"/>
                      <w:szCs w:val="21"/>
                      <w:highlight w:val="none"/>
                    </w:rPr>
                  </w:pPr>
                  <w:r>
                    <w:rPr>
                      <w:b/>
                      <w:color w:val="auto"/>
                      <w:szCs w:val="21"/>
                      <w:highlight w:val="none"/>
                    </w:rPr>
                    <w:t>优化产业空间布局：</w:t>
                  </w:r>
                </w:p>
                <w:p w14:paraId="2704F693">
                  <w:pPr>
                    <w:rPr>
                      <w:bCs/>
                      <w:color w:val="auto"/>
                      <w:szCs w:val="21"/>
                      <w:highlight w:val="none"/>
                    </w:rPr>
                  </w:pPr>
                  <w:r>
                    <w:rPr>
                      <w:bCs/>
                      <w:color w:val="auto"/>
                      <w:szCs w:val="21"/>
                      <w:highlight w:val="none"/>
                    </w:rPr>
                    <w:t>按照云南省主体功能区规划要求，合理确定我省重点产业发展布局、结构和规模。科学制定并严格实施城乡规划，强化城市空间管制和绿地控制要求，规范各类产业园区和城市新城、新区设立和布局。</w:t>
                  </w:r>
                </w:p>
              </w:tc>
              <w:tc>
                <w:tcPr>
                  <w:tcW w:w="2766" w:type="dxa"/>
                  <w:vAlign w:val="center"/>
                </w:tcPr>
                <w:p w14:paraId="2D7695D2">
                  <w:pPr>
                    <w:jc w:val="center"/>
                    <w:rPr>
                      <w:bCs/>
                      <w:color w:val="auto"/>
                      <w:szCs w:val="21"/>
                      <w:highlight w:val="none"/>
                    </w:rPr>
                  </w:pPr>
                  <w:r>
                    <w:rPr>
                      <w:bCs/>
                      <w:color w:val="auto"/>
                      <w:szCs w:val="21"/>
                      <w:highlight w:val="none"/>
                    </w:rPr>
                    <w:t>项目位于玉溪市</w:t>
                  </w:r>
                  <w:r>
                    <w:rPr>
                      <w:rFonts w:hint="eastAsia"/>
                      <w:bCs/>
                      <w:color w:val="auto"/>
                      <w:szCs w:val="21"/>
                      <w:highlight w:val="none"/>
                      <w:lang w:val="en-US" w:eastAsia="zh-CN"/>
                    </w:rPr>
                    <w:t>红塔区北城街道，</w:t>
                  </w:r>
                  <w:r>
                    <w:rPr>
                      <w:bCs/>
                      <w:color w:val="auto"/>
                      <w:szCs w:val="21"/>
                      <w:highlight w:val="none"/>
                    </w:rPr>
                    <w:t>符合云南省主体功能区规划要求</w:t>
                  </w:r>
                  <w:r>
                    <w:rPr>
                      <w:rFonts w:hint="eastAsia"/>
                      <w:bCs/>
                      <w:color w:val="auto"/>
                      <w:szCs w:val="21"/>
                      <w:highlight w:val="none"/>
                    </w:rPr>
                    <w:t>。</w:t>
                  </w:r>
                </w:p>
              </w:tc>
              <w:tc>
                <w:tcPr>
                  <w:tcW w:w="676" w:type="dxa"/>
                  <w:vAlign w:val="center"/>
                </w:tcPr>
                <w:p w14:paraId="0BE8960F">
                  <w:pPr>
                    <w:jc w:val="center"/>
                    <w:rPr>
                      <w:bCs/>
                      <w:color w:val="auto"/>
                      <w:szCs w:val="21"/>
                      <w:highlight w:val="none"/>
                    </w:rPr>
                  </w:pPr>
                  <w:r>
                    <w:rPr>
                      <w:b/>
                      <w:color w:val="auto"/>
                      <w:szCs w:val="21"/>
                      <w:highlight w:val="none"/>
                    </w:rPr>
                    <w:t>符合</w:t>
                  </w:r>
                </w:p>
              </w:tc>
            </w:tr>
            <w:tr w14:paraId="1672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607" w:type="dxa"/>
                  <w:vAlign w:val="center"/>
                </w:tcPr>
                <w:p w14:paraId="45EB1152">
                  <w:pPr>
                    <w:jc w:val="center"/>
                    <w:rPr>
                      <w:b/>
                      <w:color w:val="auto"/>
                      <w:szCs w:val="21"/>
                      <w:highlight w:val="none"/>
                    </w:rPr>
                  </w:pPr>
                  <w:r>
                    <w:rPr>
                      <w:b/>
                      <w:color w:val="auto"/>
                      <w:szCs w:val="21"/>
                      <w:highlight w:val="none"/>
                    </w:rPr>
                    <w:t>2</w:t>
                  </w:r>
                </w:p>
              </w:tc>
              <w:tc>
                <w:tcPr>
                  <w:tcW w:w="3838" w:type="dxa"/>
                  <w:vAlign w:val="center"/>
                </w:tcPr>
                <w:p w14:paraId="520B8DC6">
                  <w:pPr>
                    <w:rPr>
                      <w:b/>
                      <w:color w:val="auto"/>
                      <w:szCs w:val="21"/>
                      <w:highlight w:val="none"/>
                    </w:rPr>
                  </w:pPr>
                  <w:r>
                    <w:rPr>
                      <w:b/>
                      <w:color w:val="auto"/>
                      <w:szCs w:val="21"/>
                      <w:highlight w:val="none"/>
                    </w:rPr>
                    <w:t>严格节能环保准入：</w:t>
                  </w:r>
                </w:p>
                <w:p w14:paraId="7F05F2B7">
                  <w:pPr>
                    <w:rPr>
                      <w:b/>
                      <w:color w:val="auto"/>
                      <w:szCs w:val="21"/>
                      <w:highlight w:val="none"/>
                    </w:rPr>
                  </w:pPr>
                  <w:r>
                    <w:rPr>
                      <w:bCs/>
                      <w:color w:val="auto"/>
                      <w:szCs w:val="21"/>
                      <w:highlight w:val="none"/>
                    </w:rPr>
                    <w:t>提高高污染、高耗能行业准入门槛，进一步强化节能、环保指标约束，严控高污染、高耗能行业新增产能。对新增用能项目，要实施严格的节能评估审查和环境影响评价制度，把二氧化硫、氮氧化物、烟粉尘和挥发性有机物排放是否符合总量控制要求，作为建设项目环境影响评价审批的主要因素予以审查。未通过能评和环评审查的建设项目，有关部门不得审批、核准、备案。</w:t>
                  </w:r>
                </w:p>
              </w:tc>
              <w:tc>
                <w:tcPr>
                  <w:tcW w:w="2766" w:type="dxa"/>
                  <w:vMerge w:val="restart"/>
                  <w:vAlign w:val="center"/>
                </w:tcPr>
                <w:p w14:paraId="4639D6CA">
                  <w:pPr>
                    <w:numPr>
                      <w:ilvl w:val="0"/>
                      <w:numId w:val="3"/>
                    </w:numPr>
                    <w:rPr>
                      <w:color w:val="auto"/>
                      <w:kern w:val="0"/>
                      <w:szCs w:val="21"/>
                      <w:highlight w:val="none"/>
                    </w:rPr>
                  </w:pPr>
                  <w:r>
                    <w:rPr>
                      <w:rFonts w:hint="eastAsia"/>
                      <w:color w:val="auto"/>
                      <w:kern w:val="0"/>
                      <w:szCs w:val="21"/>
                      <w:highlight w:val="none"/>
                    </w:rPr>
                    <w:t>本项目不属于高污染、高耗能行业。</w:t>
                  </w:r>
                </w:p>
                <w:p w14:paraId="7904D1BD">
                  <w:pPr>
                    <w:numPr>
                      <w:ilvl w:val="0"/>
                      <w:numId w:val="3"/>
                    </w:numPr>
                    <w:rPr>
                      <w:color w:val="auto"/>
                      <w:kern w:val="0"/>
                      <w:szCs w:val="21"/>
                      <w:highlight w:val="none"/>
                    </w:rPr>
                  </w:pPr>
                  <w:r>
                    <w:rPr>
                      <w:color w:val="auto"/>
                      <w:kern w:val="0"/>
                      <w:szCs w:val="21"/>
                      <w:highlight w:val="none"/>
                    </w:rPr>
                    <w:t>对照《产业结构调整指导目录（</w:t>
                  </w:r>
                  <w:r>
                    <w:rPr>
                      <w:rFonts w:hint="eastAsia"/>
                      <w:color w:val="auto"/>
                      <w:kern w:val="0"/>
                      <w:szCs w:val="21"/>
                      <w:highlight w:val="none"/>
                    </w:rPr>
                    <w:t>2024</w:t>
                  </w:r>
                  <w:r>
                    <w:rPr>
                      <w:color w:val="auto"/>
                      <w:kern w:val="0"/>
                      <w:szCs w:val="21"/>
                      <w:highlight w:val="none"/>
                    </w:rPr>
                    <w:t>年本）》，本项目属于</w:t>
                  </w:r>
                  <w:r>
                    <w:rPr>
                      <w:rFonts w:hint="eastAsia"/>
                      <w:color w:val="auto"/>
                      <w:kern w:val="0"/>
                      <w:szCs w:val="21"/>
                      <w:highlight w:val="none"/>
                      <w:lang w:val="en-US" w:eastAsia="zh-CN"/>
                    </w:rPr>
                    <w:t>第一类“鼓励类”中的“一、农林牧渔业，17.可再生资源综合利用、生物质能清洁供热”。</w:t>
                  </w:r>
                  <w:r>
                    <w:rPr>
                      <w:color w:val="auto"/>
                      <w:kern w:val="0"/>
                      <w:szCs w:val="21"/>
                      <w:highlight w:val="none"/>
                    </w:rPr>
                    <w:t>根据国务院《促进产业结构调整暂行规定》（国发[2005]40号）第十三条“不属于鼓励类、限制类及淘汰类，且符合国家有关法律、法规和政策规定的，为允许类”。则项目不属于落后、过剩产能项目，不属于高能耗、高排放项目。</w:t>
                  </w:r>
                </w:p>
                <w:p w14:paraId="1A1DF6CD">
                  <w:pPr>
                    <w:jc w:val="left"/>
                    <w:rPr>
                      <w:b/>
                      <w:color w:val="auto"/>
                      <w:szCs w:val="21"/>
                      <w:highlight w:val="none"/>
                    </w:rPr>
                  </w:pPr>
                  <w:r>
                    <w:rPr>
                      <w:color w:val="auto"/>
                      <w:szCs w:val="21"/>
                      <w:highlight w:val="none"/>
                    </w:rPr>
                    <w:t>项目于202</w:t>
                  </w:r>
                  <w:r>
                    <w:rPr>
                      <w:rFonts w:hint="eastAsia"/>
                      <w:color w:val="auto"/>
                      <w:szCs w:val="21"/>
                      <w:highlight w:val="none"/>
                      <w:lang w:val="en-US" w:eastAsia="zh-CN"/>
                    </w:rPr>
                    <w:t>5</w:t>
                  </w:r>
                  <w:r>
                    <w:rPr>
                      <w:color w:val="auto"/>
                      <w:szCs w:val="21"/>
                      <w:highlight w:val="none"/>
                    </w:rPr>
                    <w:t>年</w:t>
                  </w:r>
                  <w:r>
                    <w:rPr>
                      <w:rFonts w:hint="eastAsia"/>
                      <w:color w:val="auto"/>
                      <w:szCs w:val="21"/>
                      <w:highlight w:val="none"/>
                      <w:lang w:val="en-US" w:eastAsia="zh-CN"/>
                    </w:rPr>
                    <w:t>8</w:t>
                  </w:r>
                  <w:r>
                    <w:rPr>
                      <w:color w:val="auto"/>
                      <w:szCs w:val="21"/>
                      <w:highlight w:val="none"/>
                    </w:rPr>
                    <w:t>月</w:t>
                  </w:r>
                  <w:r>
                    <w:rPr>
                      <w:rFonts w:hint="eastAsia"/>
                      <w:color w:val="auto"/>
                      <w:szCs w:val="21"/>
                      <w:highlight w:val="none"/>
                    </w:rPr>
                    <w:t>1</w:t>
                  </w:r>
                  <w:r>
                    <w:rPr>
                      <w:rFonts w:hint="eastAsia"/>
                      <w:color w:val="auto"/>
                      <w:szCs w:val="21"/>
                      <w:highlight w:val="none"/>
                      <w:lang w:val="en-US" w:eastAsia="zh-CN"/>
                    </w:rPr>
                    <w:t>1</w:t>
                  </w:r>
                  <w:r>
                    <w:rPr>
                      <w:color w:val="auto"/>
                      <w:szCs w:val="21"/>
                      <w:highlight w:val="none"/>
                    </w:rPr>
                    <w:t>日取得</w:t>
                  </w:r>
                  <w:r>
                    <w:rPr>
                      <w:rFonts w:hint="eastAsia"/>
                      <w:color w:val="auto"/>
                      <w:szCs w:val="21"/>
                      <w:highlight w:val="none"/>
                      <w:lang w:eastAsia="zh-CN"/>
                    </w:rPr>
                    <w:t>玉溪市红塔区发展和改革局</w:t>
                  </w:r>
                  <w:r>
                    <w:rPr>
                      <w:color w:val="auto"/>
                      <w:szCs w:val="21"/>
                      <w:highlight w:val="none"/>
                    </w:rPr>
                    <w:t>出具的《投资项目备案证》（</w:t>
                  </w:r>
                  <w:r>
                    <w:rPr>
                      <w:rFonts w:hint="eastAsia"/>
                      <w:color w:val="auto"/>
                      <w:szCs w:val="21"/>
                      <w:highlight w:val="none"/>
                      <w:lang w:val="en-US" w:eastAsia="zh-CN"/>
                    </w:rPr>
                    <w:t>备案号：2508-530402-04-05-365616</w:t>
                  </w:r>
                  <w:r>
                    <w:rPr>
                      <w:color w:val="auto"/>
                      <w:szCs w:val="21"/>
                      <w:highlight w:val="none"/>
                    </w:rPr>
                    <w:t>）。</w:t>
                  </w:r>
                </w:p>
              </w:tc>
              <w:tc>
                <w:tcPr>
                  <w:tcW w:w="676" w:type="dxa"/>
                  <w:vMerge w:val="restart"/>
                  <w:vAlign w:val="center"/>
                </w:tcPr>
                <w:p w14:paraId="58BD002C">
                  <w:pPr>
                    <w:jc w:val="center"/>
                    <w:rPr>
                      <w:b/>
                      <w:color w:val="auto"/>
                      <w:szCs w:val="21"/>
                      <w:highlight w:val="none"/>
                    </w:rPr>
                  </w:pPr>
                  <w:r>
                    <w:rPr>
                      <w:b/>
                      <w:color w:val="auto"/>
                      <w:szCs w:val="21"/>
                      <w:highlight w:val="none"/>
                    </w:rPr>
                    <w:t>符合</w:t>
                  </w:r>
                </w:p>
              </w:tc>
            </w:tr>
            <w:tr w14:paraId="5F22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07" w:type="dxa"/>
                  <w:vAlign w:val="center"/>
                </w:tcPr>
                <w:p w14:paraId="49BAD464">
                  <w:pPr>
                    <w:jc w:val="center"/>
                    <w:rPr>
                      <w:b/>
                      <w:color w:val="auto"/>
                      <w:szCs w:val="21"/>
                      <w:highlight w:val="none"/>
                    </w:rPr>
                  </w:pPr>
                  <w:r>
                    <w:rPr>
                      <w:b/>
                      <w:color w:val="auto"/>
                      <w:szCs w:val="21"/>
                      <w:highlight w:val="none"/>
                    </w:rPr>
                    <w:t>3</w:t>
                  </w:r>
                </w:p>
              </w:tc>
              <w:tc>
                <w:tcPr>
                  <w:tcW w:w="3838" w:type="dxa"/>
                  <w:vAlign w:val="center"/>
                </w:tcPr>
                <w:p w14:paraId="5CEDD8E3">
                  <w:pPr>
                    <w:rPr>
                      <w:color w:val="auto"/>
                      <w:szCs w:val="21"/>
                      <w:highlight w:val="none"/>
                    </w:rPr>
                  </w:pPr>
                  <w:r>
                    <w:rPr>
                      <w:b/>
                      <w:color w:val="auto"/>
                      <w:szCs w:val="21"/>
                      <w:highlight w:val="none"/>
                    </w:rPr>
                    <w:t>加快淘汰落后产能</w:t>
                  </w:r>
                  <w:r>
                    <w:rPr>
                      <w:rFonts w:hint="eastAsia"/>
                      <w:b/>
                      <w:color w:val="auto"/>
                      <w:szCs w:val="21"/>
                      <w:highlight w:val="none"/>
                      <w:lang w:eastAsia="zh-CN"/>
                    </w:rPr>
                    <w:t>：</w:t>
                  </w:r>
                </w:p>
                <w:p w14:paraId="79799A48">
                  <w:pPr>
                    <w:jc w:val="center"/>
                    <w:rPr>
                      <w:b/>
                      <w:color w:val="auto"/>
                      <w:szCs w:val="21"/>
                      <w:highlight w:val="none"/>
                    </w:rPr>
                  </w:pPr>
                  <w:r>
                    <w:rPr>
                      <w:color w:val="auto"/>
                      <w:szCs w:val="21"/>
                      <w:highlight w:val="none"/>
                    </w:rPr>
                    <w:t>综合运用经济、技术和行政手段，提前1年完成全省“十二五”工业行业淘汰落后产能任务，结合各地产业发展实际和环境空气质量状况，争取在2015年底前再淘汰一批落后产能。按照《部分工业行业淘汰落后生产工艺装备和产品指导目录(2010年本)》、《产业结构调整指导目录(2011年本)(修正)</w:t>
                  </w:r>
                  <w:r>
                    <w:rPr>
                      <w:rFonts w:hint="eastAsia"/>
                      <w:color w:val="auto"/>
                      <w:szCs w:val="21"/>
                      <w:highlight w:val="none"/>
                      <w:lang w:eastAsia="zh-CN"/>
                    </w:rPr>
                    <w:t>》的</w:t>
                  </w:r>
                  <w:r>
                    <w:rPr>
                      <w:color w:val="auto"/>
                      <w:szCs w:val="21"/>
                      <w:highlight w:val="none"/>
                    </w:rPr>
                    <w:t>要求，重点针对钢铁、水泥等产能过剩行业制定“十三五”淘汰计划，确保国家下达的淘汰落后产能目标任务全面完成。</w:t>
                  </w:r>
                </w:p>
              </w:tc>
              <w:tc>
                <w:tcPr>
                  <w:tcW w:w="2766" w:type="dxa"/>
                  <w:vMerge w:val="continue"/>
                  <w:vAlign w:val="center"/>
                </w:tcPr>
                <w:p w14:paraId="7AFA1B5F">
                  <w:pPr>
                    <w:jc w:val="center"/>
                    <w:rPr>
                      <w:b/>
                      <w:color w:val="auto"/>
                      <w:szCs w:val="21"/>
                      <w:highlight w:val="none"/>
                    </w:rPr>
                  </w:pPr>
                </w:p>
              </w:tc>
              <w:tc>
                <w:tcPr>
                  <w:tcW w:w="676" w:type="dxa"/>
                  <w:vMerge w:val="continue"/>
                  <w:vAlign w:val="center"/>
                </w:tcPr>
                <w:p w14:paraId="233AD809">
                  <w:pPr>
                    <w:jc w:val="center"/>
                    <w:rPr>
                      <w:b/>
                      <w:color w:val="auto"/>
                      <w:szCs w:val="21"/>
                      <w:highlight w:val="none"/>
                    </w:rPr>
                  </w:pPr>
                </w:p>
              </w:tc>
            </w:tr>
            <w:tr w14:paraId="60F7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07" w:type="dxa"/>
                  <w:vAlign w:val="center"/>
                </w:tcPr>
                <w:p w14:paraId="75F04B92">
                  <w:pPr>
                    <w:jc w:val="center"/>
                    <w:rPr>
                      <w:b/>
                      <w:color w:val="auto"/>
                      <w:szCs w:val="21"/>
                      <w:highlight w:val="none"/>
                    </w:rPr>
                  </w:pPr>
                  <w:r>
                    <w:rPr>
                      <w:b/>
                      <w:color w:val="auto"/>
                      <w:szCs w:val="21"/>
                      <w:highlight w:val="none"/>
                    </w:rPr>
                    <w:t>4</w:t>
                  </w:r>
                </w:p>
              </w:tc>
              <w:tc>
                <w:tcPr>
                  <w:tcW w:w="3838" w:type="dxa"/>
                  <w:vAlign w:val="center"/>
                </w:tcPr>
                <w:p w14:paraId="443C65DF">
                  <w:pPr>
                    <w:rPr>
                      <w:b/>
                      <w:color w:val="auto"/>
                      <w:szCs w:val="21"/>
                      <w:highlight w:val="none"/>
                    </w:rPr>
                  </w:pPr>
                  <w:r>
                    <w:rPr>
                      <w:rFonts w:hint="eastAsia"/>
                      <w:b/>
                      <w:color w:val="auto"/>
                      <w:szCs w:val="21"/>
                      <w:highlight w:val="none"/>
                      <w:lang w:eastAsia="zh-CN"/>
                    </w:rPr>
                    <w:t>全面整治燃煤小锅炉</w:t>
                  </w:r>
                  <w:r>
                    <w:rPr>
                      <w:b/>
                      <w:color w:val="auto"/>
                      <w:szCs w:val="21"/>
                      <w:highlight w:val="none"/>
                    </w:rPr>
                    <w:t>：</w:t>
                  </w:r>
                </w:p>
                <w:p w14:paraId="69516258">
                  <w:pPr>
                    <w:rPr>
                      <w:bCs/>
                      <w:color w:val="auto"/>
                      <w:szCs w:val="21"/>
                      <w:highlight w:val="none"/>
                    </w:rPr>
                  </w:pPr>
                  <w:r>
                    <w:rPr>
                      <w:bCs/>
                      <w:color w:val="auto"/>
                      <w:szCs w:val="21"/>
                      <w:highlight w:val="none"/>
                    </w:rPr>
                    <w:t>①2014年底前，完成州、市人民政府所在地城市建成区“烟尘控制区”创建及划定工作，摸清燃煤小</w:t>
                  </w:r>
                  <w:r>
                    <w:rPr>
                      <w:rFonts w:hint="eastAsia"/>
                      <w:bCs/>
                      <w:color w:val="auto"/>
                      <w:szCs w:val="21"/>
                      <w:highlight w:val="none"/>
                      <w:lang w:val="en-US" w:eastAsia="zh-CN"/>
                    </w:rPr>
                    <w:t>锅炉</w:t>
                  </w:r>
                  <w:r>
                    <w:rPr>
                      <w:bCs/>
                      <w:color w:val="auto"/>
                      <w:szCs w:val="21"/>
                      <w:highlight w:val="none"/>
                    </w:rPr>
                    <w:t>底数，建立</w:t>
                  </w:r>
                  <w:r>
                    <w:rPr>
                      <w:rFonts w:hint="eastAsia"/>
                      <w:bCs/>
                      <w:color w:val="auto"/>
                      <w:szCs w:val="21"/>
                      <w:highlight w:val="none"/>
                      <w:lang w:eastAsia="zh-CN"/>
                    </w:rPr>
                    <w:t>燃煤锅炉</w:t>
                  </w:r>
                  <w:r>
                    <w:rPr>
                      <w:bCs/>
                      <w:color w:val="auto"/>
                      <w:szCs w:val="21"/>
                      <w:highlight w:val="none"/>
                    </w:rPr>
                    <w:t>综合整治台账，编制燃煤小</w:t>
                  </w:r>
                  <w:r>
                    <w:rPr>
                      <w:rFonts w:hint="eastAsia"/>
                      <w:bCs/>
                      <w:color w:val="auto"/>
                      <w:szCs w:val="21"/>
                      <w:highlight w:val="none"/>
                      <w:lang w:val="en-US" w:eastAsia="zh-CN"/>
                    </w:rPr>
                    <w:t>锅炉</w:t>
                  </w:r>
                  <w:r>
                    <w:rPr>
                      <w:bCs/>
                      <w:color w:val="auto"/>
                      <w:szCs w:val="21"/>
                      <w:highlight w:val="none"/>
                    </w:rPr>
                    <w:t>淘汰方案。到2017年底，基本淘汰州、市人民政府所在地城市建成区内每小时10吨及以下</w:t>
                  </w:r>
                  <w:r>
                    <w:rPr>
                      <w:rFonts w:hint="eastAsia"/>
                      <w:bCs/>
                      <w:color w:val="auto"/>
                      <w:szCs w:val="21"/>
                      <w:highlight w:val="none"/>
                      <w:lang w:eastAsia="zh-CN"/>
                    </w:rPr>
                    <w:t>燃煤锅炉</w:t>
                  </w:r>
                  <w:r>
                    <w:rPr>
                      <w:bCs/>
                      <w:color w:val="auto"/>
                      <w:szCs w:val="21"/>
                      <w:highlight w:val="none"/>
                    </w:rPr>
                    <w:t>；原则上不再新建、改建、扩建</w:t>
                  </w:r>
                  <w:r>
                    <w:rPr>
                      <w:rFonts w:hint="eastAsia"/>
                      <w:bCs/>
                      <w:color w:val="auto"/>
                      <w:szCs w:val="21"/>
                      <w:highlight w:val="none"/>
                      <w:lang w:eastAsia="zh-CN"/>
                    </w:rPr>
                    <w:t>燃煤锅炉</w:t>
                  </w:r>
                  <w:r>
                    <w:rPr>
                      <w:bCs/>
                      <w:color w:val="auto"/>
                      <w:szCs w:val="21"/>
                      <w:highlight w:val="none"/>
                    </w:rPr>
                    <w:t>，禁止新建每小时20蒸吨以下</w:t>
                  </w:r>
                  <w:r>
                    <w:rPr>
                      <w:rFonts w:hint="eastAsia"/>
                      <w:bCs/>
                      <w:color w:val="auto"/>
                      <w:szCs w:val="21"/>
                      <w:highlight w:val="none"/>
                      <w:lang w:eastAsia="zh-CN"/>
                    </w:rPr>
                    <w:t>燃煤锅炉</w:t>
                  </w:r>
                  <w:r>
                    <w:rPr>
                      <w:bCs/>
                      <w:color w:val="auto"/>
                      <w:szCs w:val="21"/>
                      <w:highlight w:val="none"/>
                    </w:rPr>
                    <w:t>。其他具备天然气供应和使用条件的地区，不再新建每小时10蒸吨以下</w:t>
                  </w:r>
                  <w:r>
                    <w:rPr>
                      <w:rFonts w:hint="eastAsia"/>
                      <w:bCs/>
                      <w:color w:val="auto"/>
                      <w:szCs w:val="21"/>
                      <w:highlight w:val="none"/>
                      <w:lang w:eastAsia="zh-CN"/>
                    </w:rPr>
                    <w:t>燃煤锅炉</w:t>
                  </w:r>
                  <w:r>
                    <w:rPr>
                      <w:bCs/>
                      <w:color w:val="auto"/>
                      <w:szCs w:val="21"/>
                      <w:highlight w:val="none"/>
                    </w:rPr>
                    <w:t>。</w:t>
                  </w:r>
                </w:p>
                <w:p w14:paraId="4F8335F5">
                  <w:pPr>
                    <w:rPr>
                      <w:b/>
                      <w:color w:val="auto"/>
                      <w:szCs w:val="21"/>
                      <w:highlight w:val="none"/>
                    </w:rPr>
                  </w:pPr>
                  <w:r>
                    <w:rPr>
                      <w:bCs/>
                      <w:color w:val="auto"/>
                      <w:szCs w:val="21"/>
                      <w:highlight w:val="none"/>
                    </w:rPr>
                    <w:t>②产业聚集区要集中建设热电联产机组或大型集中供热设施，逐步淘汰分散</w:t>
                  </w:r>
                  <w:r>
                    <w:rPr>
                      <w:rFonts w:hint="eastAsia"/>
                      <w:bCs/>
                      <w:color w:val="auto"/>
                      <w:szCs w:val="21"/>
                      <w:highlight w:val="none"/>
                      <w:lang w:eastAsia="zh-CN"/>
                    </w:rPr>
                    <w:t>燃煤锅炉</w:t>
                  </w:r>
                  <w:r>
                    <w:rPr>
                      <w:bCs/>
                      <w:color w:val="auto"/>
                      <w:szCs w:val="21"/>
                      <w:highlight w:val="none"/>
                    </w:rPr>
                    <w:t>。天然气干、支线可以覆盖的地区原则上不再审批以煤(油)作为燃料的新建、改建、扩建项目。</w:t>
                  </w:r>
                </w:p>
              </w:tc>
              <w:tc>
                <w:tcPr>
                  <w:tcW w:w="2766" w:type="dxa"/>
                  <w:vAlign w:val="center"/>
                </w:tcPr>
                <w:p w14:paraId="28C0696C">
                  <w:pPr>
                    <w:jc w:val="center"/>
                    <w:rPr>
                      <w:b/>
                      <w:color w:val="auto"/>
                      <w:szCs w:val="21"/>
                      <w:highlight w:val="none"/>
                    </w:rPr>
                  </w:pPr>
                  <w:r>
                    <w:rPr>
                      <w:bCs/>
                      <w:color w:val="auto"/>
                      <w:szCs w:val="21"/>
                      <w:highlight w:val="none"/>
                    </w:rPr>
                    <w:t>项目</w:t>
                  </w:r>
                  <w:r>
                    <w:rPr>
                      <w:rFonts w:hint="eastAsia"/>
                      <w:bCs/>
                      <w:color w:val="auto"/>
                      <w:szCs w:val="21"/>
                      <w:highlight w:val="none"/>
                    </w:rPr>
                    <w:t>不属于</w:t>
                  </w:r>
                  <w:r>
                    <w:rPr>
                      <w:rFonts w:hint="eastAsia"/>
                      <w:bCs/>
                      <w:color w:val="auto"/>
                      <w:szCs w:val="21"/>
                      <w:highlight w:val="none"/>
                      <w:lang w:eastAsia="zh-CN"/>
                    </w:rPr>
                    <w:t>燃煤锅炉</w:t>
                  </w:r>
                  <w:r>
                    <w:rPr>
                      <w:bCs/>
                      <w:color w:val="auto"/>
                      <w:szCs w:val="21"/>
                      <w:highlight w:val="none"/>
                    </w:rPr>
                    <w:t>。</w:t>
                  </w:r>
                </w:p>
              </w:tc>
              <w:tc>
                <w:tcPr>
                  <w:tcW w:w="676" w:type="dxa"/>
                  <w:vAlign w:val="center"/>
                </w:tcPr>
                <w:p w14:paraId="606C0286">
                  <w:pPr>
                    <w:jc w:val="center"/>
                    <w:rPr>
                      <w:b/>
                      <w:color w:val="auto"/>
                      <w:szCs w:val="21"/>
                      <w:highlight w:val="none"/>
                    </w:rPr>
                  </w:pPr>
                  <w:r>
                    <w:rPr>
                      <w:b/>
                      <w:color w:val="auto"/>
                      <w:szCs w:val="21"/>
                      <w:highlight w:val="none"/>
                    </w:rPr>
                    <w:t>符合</w:t>
                  </w:r>
                </w:p>
              </w:tc>
            </w:tr>
            <w:tr w14:paraId="070F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07" w:type="dxa"/>
                  <w:vAlign w:val="center"/>
                </w:tcPr>
                <w:p w14:paraId="2CD2B563">
                  <w:pPr>
                    <w:jc w:val="center"/>
                    <w:rPr>
                      <w:b/>
                      <w:color w:val="auto"/>
                      <w:szCs w:val="21"/>
                      <w:highlight w:val="none"/>
                    </w:rPr>
                  </w:pPr>
                  <w:r>
                    <w:rPr>
                      <w:b/>
                      <w:color w:val="auto"/>
                      <w:szCs w:val="21"/>
                      <w:highlight w:val="none"/>
                    </w:rPr>
                    <w:t>5</w:t>
                  </w:r>
                </w:p>
              </w:tc>
              <w:tc>
                <w:tcPr>
                  <w:tcW w:w="3838" w:type="dxa"/>
                  <w:vAlign w:val="center"/>
                </w:tcPr>
                <w:p w14:paraId="45DCA7F2">
                  <w:pPr>
                    <w:rPr>
                      <w:b/>
                      <w:color w:val="auto"/>
                      <w:szCs w:val="21"/>
                      <w:highlight w:val="none"/>
                    </w:rPr>
                  </w:pPr>
                  <w:r>
                    <w:rPr>
                      <w:b/>
                      <w:color w:val="auto"/>
                      <w:szCs w:val="21"/>
                      <w:highlight w:val="none"/>
                    </w:rPr>
                    <w:t>加强工业企业大气污染治理：</w:t>
                  </w:r>
                </w:p>
                <w:p w14:paraId="1E72E8A2">
                  <w:pPr>
                    <w:jc w:val="left"/>
                    <w:rPr>
                      <w:bCs/>
                      <w:color w:val="auto"/>
                      <w:szCs w:val="21"/>
                      <w:highlight w:val="none"/>
                    </w:rPr>
                  </w:pPr>
                  <w:r>
                    <w:rPr>
                      <w:bCs/>
                      <w:color w:val="auto"/>
                      <w:szCs w:val="21"/>
                      <w:highlight w:val="none"/>
                    </w:rPr>
                    <w:t>①加快火电、水泥、钢铁、化工、有色金属冶炼等重点行业脱硫、脱硝及除尘改造工程建设。到2015年，现役燃煤机组必须安装脱硫设施并按照规定封堵或取消烟气旁路，不能稳定达标排放的要进行提升改造或者淘汰；20万千瓦以上燃煤机组要实施脱硝改造</w:t>
                  </w:r>
                  <w:r>
                    <w:rPr>
                      <w:rFonts w:hint="eastAsia"/>
                      <w:bCs/>
                      <w:color w:val="auto"/>
                      <w:szCs w:val="21"/>
                      <w:highlight w:val="none"/>
                      <w:lang w:eastAsia="zh-CN"/>
                    </w:rPr>
                    <w:t>；</w:t>
                  </w:r>
                  <w:r>
                    <w:rPr>
                      <w:bCs/>
                      <w:color w:val="auto"/>
                      <w:szCs w:val="21"/>
                      <w:highlight w:val="none"/>
                    </w:rPr>
                    <w:t>钢铁烧结机、球团设备要全面实施烟气脱硫改造</w:t>
                  </w:r>
                  <w:r>
                    <w:rPr>
                      <w:rFonts w:hint="eastAsia"/>
                      <w:bCs/>
                      <w:color w:val="auto"/>
                      <w:szCs w:val="21"/>
                      <w:highlight w:val="none"/>
                      <w:lang w:eastAsia="zh-CN"/>
                    </w:rPr>
                    <w:t>；</w:t>
                  </w:r>
                  <w:r>
                    <w:rPr>
                      <w:bCs/>
                      <w:color w:val="auto"/>
                      <w:szCs w:val="21"/>
                      <w:highlight w:val="none"/>
                    </w:rPr>
                    <w:t>现役新型干法水泥窑推行低氮燃烧技术改造，熟料生产规模在1000吨/日以上的生产线推行烟气脱硝改造。</w:t>
                  </w:r>
                </w:p>
                <w:p w14:paraId="07ED10DB">
                  <w:pPr>
                    <w:jc w:val="left"/>
                    <w:rPr>
                      <w:bCs/>
                      <w:color w:val="auto"/>
                      <w:szCs w:val="21"/>
                      <w:highlight w:val="none"/>
                    </w:rPr>
                  </w:pPr>
                  <w:r>
                    <w:rPr>
                      <w:bCs/>
                      <w:color w:val="auto"/>
                      <w:szCs w:val="21"/>
                      <w:highlight w:val="none"/>
                    </w:rPr>
                    <w:t>②制定钢铁、水泥、石化、有色金属冶炼等重点行业2014-2017年清洁生产审核分年度实施计划，并进行清洁生产审核。定期发布清洁生产审核企业名单，培育一批清洁生产示范企业。</w:t>
                  </w:r>
                </w:p>
                <w:p w14:paraId="4599A476">
                  <w:pPr>
                    <w:jc w:val="left"/>
                    <w:rPr>
                      <w:b/>
                      <w:color w:val="auto"/>
                      <w:szCs w:val="21"/>
                      <w:highlight w:val="none"/>
                    </w:rPr>
                  </w:pPr>
                  <w:r>
                    <w:rPr>
                      <w:bCs/>
                      <w:color w:val="auto"/>
                      <w:szCs w:val="21"/>
                      <w:highlight w:val="none"/>
                    </w:rPr>
                    <w:t>③推进挥发性有机物污染治理。制定加油站、储油库、油罐车油气回收治理计划，2017年底前完成治理工作</w:t>
                  </w:r>
                  <w:r>
                    <w:rPr>
                      <w:rFonts w:hint="eastAsia"/>
                      <w:bCs/>
                      <w:color w:val="auto"/>
                      <w:szCs w:val="21"/>
                      <w:highlight w:val="none"/>
                      <w:lang w:eastAsia="zh-CN"/>
                    </w:rPr>
                    <w:t>；</w:t>
                  </w:r>
                  <w:r>
                    <w:rPr>
                      <w:bCs/>
                      <w:color w:val="auto"/>
                      <w:szCs w:val="21"/>
                      <w:highlight w:val="none"/>
                    </w:rPr>
                    <w:t>开展有机化工、表面涂装、包装印刷等行业挥发性有机物的综合整治。</w:t>
                  </w:r>
                </w:p>
              </w:tc>
              <w:tc>
                <w:tcPr>
                  <w:tcW w:w="2766" w:type="dxa"/>
                  <w:vAlign w:val="center"/>
                </w:tcPr>
                <w:p w14:paraId="7B6936F5">
                  <w:pPr>
                    <w:jc w:val="center"/>
                    <w:rPr>
                      <w:b/>
                      <w:color w:val="auto"/>
                      <w:szCs w:val="21"/>
                      <w:highlight w:val="none"/>
                    </w:rPr>
                  </w:pPr>
                  <w:r>
                    <w:rPr>
                      <w:bCs/>
                      <w:color w:val="auto"/>
                      <w:szCs w:val="21"/>
                      <w:highlight w:val="none"/>
                    </w:rPr>
                    <w:t>不涉及</w:t>
                  </w:r>
                </w:p>
              </w:tc>
              <w:tc>
                <w:tcPr>
                  <w:tcW w:w="676" w:type="dxa"/>
                  <w:vAlign w:val="center"/>
                </w:tcPr>
                <w:p w14:paraId="3D36BC30">
                  <w:pPr>
                    <w:jc w:val="center"/>
                    <w:rPr>
                      <w:b/>
                      <w:color w:val="auto"/>
                      <w:szCs w:val="21"/>
                      <w:highlight w:val="none"/>
                    </w:rPr>
                  </w:pPr>
                  <w:r>
                    <w:rPr>
                      <w:b/>
                      <w:color w:val="auto"/>
                      <w:szCs w:val="21"/>
                      <w:highlight w:val="none"/>
                    </w:rPr>
                    <w:t>符合</w:t>
                  </w:r>
                </w:p>
              </w:tc>
            </w:tr>
            <w:tr w14:paraId="795C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7887" w:type="dxa"/>
                  <w:gridSpan w:val="4"/>
                  <w:vAlign w:val="center"/>
                </w:tcPr>
                <w:p w14:paraId="4A99F8EE">
                  <w:pPr>
                    <w:rPr>
                      <w:b/>
                      <w:color w:val="auto"/>
                      <w:szCs w:val="21"/>
                      <w:highlight w:val="none"/>
                    </w:rPr>
                  </w:pPr>
                  <w:r>
                    <w:rPr>
                      <w:b/>
                      <w:color w:val="auto"/>
                      <w:szCs w:val="21"/>
                      <w:highlight w:val="none"/>
                    </w:rPr>
                    <w:t>备注：其它与项目无关项未列入</w:t>
                  </w:r>
                </w:p>
              </w:tc>
            </w:tr>
          </w:tbl>
          <w:p w14:paraId="42E05085">
            <w:pPr>
              <w:spacing w:line="360" w:lineRule="auto"/>
              <w:ind w:firstLine="480" w:firstLineChars="200"/>
              <w:rPr>
                <w:color w:val="auto"/>
                <w:sz w:val="24"/>
                <w:highlight w:val="none"/>
              </w:rPr>
            </w:pPr>
            <w:r>
              <w:rPr>
                <w:color w:val="auto"/>
                <w:sz w:val="24"/>
                <w:highlight w:val="none"/>
              </w:rPr>
              <w:t>根据上表，项目建设符合《云南省大气污染防治行动实施方案》的相关要求。</w:t>
            </w:r>
          </w:p>
          <w:p w14:paraId="419C90EB">
            <w:pPr>
              <w:spacing w:line="360" w:lineRule="auto"/>
              <w:rPr>
                <w:b/>
                <w:bCs/>
                <w:color w:val="auto"/>
                <w:sz w:val="24"/>
                <w:highlight w:val="none"/>
              </w:rPr>
            </w:pPr>
            <w:r>
              <w:rPr>
                <w:rFonts w:hint="eastAsia"/>
                <w:b/>
                <w:bCs/>
                <w:color w:val="auto"/>
                <w:sz w:val="24"/>
                <w:highlight w:val="none"/>
                <w:lang w:val="en-US" w:eastAsia="zh-CN"/>
              </w:rPr>
              <w:t>10</w:t>
            </w:r>
            <w:r>
              <w:rPr>
                <w:rFonts w:hint="eastAsia"/>
                <w:b/>
                <w:bCs/>
                <w:color w:val="auto"/>
                <w:sz w:val="24"/>
                <w:highlight w:val="none"/>
              </w:rPr>
              <w:t>、</w:t>
            </w:r>
            <w:r>
              <w:rPr>
                <w:b/>
                <w:bCs/>
                <w:color w:val="auto"/>
                <w:sz w:val="24"/>
                <w:highlight w:val="none"/>
              </w:rPr>
              <w:t>与</w:t>
            </w:r>
            <w:bookmarkStart w:id="15" w:name="_Hlk161928072"/>
            <w:r>
              <w:rPr>
                <w:b/>
                <w:bCs/>
                <w:color w:val="auto"/>
                <w:sz w:val="24"/>
                <w:highlight w:val="none"/>
              </w:rPr>
              <w:t>《玉溪市大气污染防治行动实施方案》</w:t>
            </w:r>
            <w:bookmarkEnd w:id="15"/>
            <w:r>
              <w:rPr>
                <w:b/>
                <w:bCs/>
                <w:color w:val="auto"/>
                <w:sz w:val="24"/>
                <w:highlight w:val="none"/>
              </w:rPr>
              <w:t>相关符合性分析</w:t>
            </w:r>
          </w:p>
          <w:p w14:paraId="7FBEE994">
            <w:pPr>
              <w:pStyle w:val="15"/>
              <w:spacing w:line="360" w:lineRule="auto"/>
              <w:jc w:val="center"/>
              <w:rPr>
                <w:rFonts w:hint="default" w:ascii="Times New Roman" w:hAnsi="Times New Roman"/>
                <w:color w:val="auto"/>
                <w:sz w:val="24"/>
                <w:highlight w:val="none"/>
              </w:rPr>
            </w:pPr>
            <w:r>
              <w:rPr>
                <w:rFonts w:hint="default" w:ascii="Times New Roman" w:hAnsi="Times New Roman"/>
                <w:b/>
                <w:color w:val="auto"/>
                <w:sz w:val="24"/>
                <w:highlight w:val="none"/>
              </w:rPr>
              <w:t>表1-</w:t>
            </w:r>
            <w:r>
              <w:rPr>
                <w:rFonts w:hint="eastAsia" w:ascii="Times New Roman" w:hAnsi="Times New Roman"/>
                <w:b/>
                <w:color w:val="auto"/>
                <w:sz w:val="24"/>
                <w:highlight w:val="none"/>
                <w:lang w:val="en-US" w:eastAsia="zh-CN"/>
              </w:rPr>
              <w:t>9</w:t>
            </w:r>
            <w:r>
              <w:rPr>
                <w:rFonts w:hint="default" w:ascii="Times New Roman" w:hAnsi="Times New Roman"/>
                <w:b/>
                <w:color w:val="auto"/>
                <w:sz w:val="24"/>
                <w:highlight w:val="none"/>
              </w:rPr>
              <w:t xml:space="preserve"> </w:t>
            </w:r>
            <w:r>
              <w:rPr>
                <w:rFonts w:hint="eastAsia" w:ascii="Times New Roman" w:hAnsi="Times New Roman"/>
                <w:b/>
                <w:color w:val="auto"/>
                <w:sz w:val="24"/>
                <w:highlight w:val="none"/>
                <w:lang w:val="en-US" w:eastAsia="zh-CN"/>
              </w:rPr>
              <w:t xml:space="preserve"> </w:t>
            </w:r>
            <w:r>
              <w:rPr>
                <w:rFonts w:hint="default" w:ascii="Times New Roman" w:hAnsi="Times New Roman"/>
                <w:b/>
                <w:color w:val="auto"/>
                <w:sz w:val="24"/>
                <w:highlight w:val="none"/>
              </w:rPr>
              <w:t>项目与《玉溪市大气污染防治行动实施方案》相关符合性分析</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048"/>
              <w:gridCol w:w="2634"/>
              <w:gridCol w:w="763"/>
            </w:tblGrid>
            <w:tr w14:paraId="7250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 w:type="pct"/>
                  <w:vAlign w:val="center"/>
                </w:tcPr>
                <w:p w14:paraId="6CD46377">
                  <w:pPr>
                    <w:jc w:val="center"/>
                    <w:rPr>
                      <w:b/>
                      <w:bCs/>
                      <w:color w:val="auto"/>
                      <w:kern w:val="0"/>
                      <w:szCs w:val="21"/>
                      <w:highlight w:val="none"/>
                    </w:rPr>
                  </w:pPr>
                  <w:r>
                    <w:rPr>
                      <w:b/>
                      <w:bCs/>
                      <w:color w:val="auto"/>
                      <w:kern w:val="0"/>
                      <w:szCs w:val="21"/>
                      <w:highlight w:val="none"/>
                    </w:rPr>
                    <w:t>序号</w:t>
                  </w:r>
                </w:p>
              </w:tc>
              <w:tc>
                <w:tcPr>
                  <w:tcW w:w="2568" w:type="pct"/>
                  <w:vAlign w:val="center"/>
                </w:tcPr>
                <w:p w14:paraId="780852D0">
                  <w:pPr>
                    <w:jc w:val="center"/>
                    <w:rPr>
                      <w:b/>
                      <w:bCs/>
                      <w:color w:val="auto"/>
                      <w:kern w:val="0"/>
                      <w:szCs w:val="21"/>
                      <w:highlight w:val="none"/>
                    </w:rPr>
                  </w:pPr>
                  <w:r>
                    <w:rPr>
                      <w:b/>
                      <w:bCs/>
                      <w:color w:val="auto"/>
                      <w:kern w:val="0"/>
                      <w:szCs w:val="21"/>
                      <w:highlight w:val="none"/>
                    </w:rPr>
                    <w:t>内容</w:t>
                  </w:r>
                </w:p>
              </w:tc>
              <w:tc>
                <w:tcPr>
                  <w:tcW w:w="1671" w:type="pct"/>
                  <w:vAlign w:val="center"/>
                </w:tcPr>
                <w:p w14:paraId="41046411">
                  <w:pPr>
                    <w:jc w:val="center"/>
                    <w:rPr>
                      <w:b/>
                      <w:bCs/>
                      <w:color w:val="auto"/>
                      <w:kern w:val="0"/>
                      <w:szCs w:val="21"/>
                      <w:highlight w:val="none"/>
                    </w:rPr>
                  </w:pPr>
                  <w:r>
                    <w:rPr>
                      <w:b/>
                      <w:bCs/>
                      <w:color w:val="auto"/>
                      <w:kern w:val="0"/>
                      <w:szCs w:val="21"/>
                      <w:highlight w:val="none"/>
                    </w:rPr>
                    <w:t>相符性分析</w:t>
                  </w:r>
                </w:p>
              </w:tc>
              <w:tc>
                <w:tcPr>
                  <w:tcW w:w="482" w:type="pct"/>
                  <w:vAlign w:val="center"/>
                </w:tcPr>
                <w:p w14:paraId="28A6D7E2">
                  <w:pPr>
                    <w:jc w:val="center"/>
                    <w:rPr>
                      <w:b/>
                      <w:bCs/>
                      <w:color w:val="auto"/>
                      <w:kern w:val="0"/>
                      <w:szCs w:val="21"/>
                      <w:highlight w:val="none"/>
                    </w:rPr>
                  </w:pPr>
                  <w:r>
                    <w:rPr>
                      <w:b/>
                      <w:bCs/>
                      <w:color w:val="auto"/>
                      <w:kern w:val="0"/>
                      <w:szCs w:val="21"/>
                      <w:highlight w:val="none"/>
                    </w:rPr>
                    <w:t>符合性</w:t>
                  </w:r>
                </w:p>
              </w:tc>
            </w:tr>
            <w:tr w14:paraId="1E6B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14:paraId="5A93B833">
                  <w:pPr>
                    <w:jc w:val="center"/>
                    <w:rPr>
                      <w:color w:val="auto"/>
                      <w:kern w:val="0"/>
                      <w:szCs w:val="21"/>
                      <w:highlight w:val="none"/>
                    </w:rPr>
                  </w:pPr>
                  <w:r>
                    <w:rPr>
                      <w:color w:val="auto"/>
                      <w:kern w:val="0"/>
                      <w:szCs w:val="21"/>
                      <w:highlight w:val="none"/>
                    </w:rPr>
                    <w:t>1</w:t>
                  </w:r>
                </w:p>
              </w:tc>
              <w:tc>
                <w:tcPr>
                  <w:tcW w:w="2568" w:type="pct"/>
                  <w:vAlign w:val="center"/>
                </w:tcPr>
                <w:p w14:paraId="43F48A0B">
                  <w:pPr>
                    <w:rPr>
                      <w:color w:val="auto"/>
                      <w:kern w:val="0"/>
                      <w:szCs w:val="21"/>
                      <w:highlight w:val="none"/>
                    </w:rPr>
                  </w:pPr>
                  <w:r>
                    <w:rPr>
                      <w:color w:val="auto"/>
                      <w:kern w:val="0"/>
                      <w:szCs w:val="21"/>
                      <w:highlight w:val="none"/>
                    </w:rPr>
                    <w:t>（二）严格节能环保准入。提高高污染、高耗能行业准入门槛，进一步强化节能、环保指标约束，严控高污染、高耗能行业新增产能。对新增用能项目，要实施严格的节能评估审查和环境影响评价制度。把二氧化硫、氮氧化物、烟粉尘和挥发性有机物排放是否符合总量控制要求，作为建设项目环境影响评价审批的主要因素予以审查。未通过能评和环评审查的建设项目，有关部门不得审批、核准、备案。积极发展绿色建筑，新建建筑要严格执行强制性节能标准，大力推广使用太阳能热水系统和光伏建筑一体化等技术和装备。</w:t>
                  </w:r>
                </w:p>
              </w:tc>
              <w:tc>
                <w:tcPr>
                  <w:tcW w:w="1671" w:type="pct"/>
                  <w:vAlign w:val="center"/>
                </w:tcPr>
                <w:p w14:paraId="0A6A5D3F">
                  <w:pPr>
                    <w:jc w:val="left"/>
                    <w:rPr>
                      <w:color w:val="auto"/>
                      <w:kern w:val="0"/>
                      <w:szCs w:val="21"/>
                      <w:highlight w:val="none"/>
                    </w:rPr>
                  </w:pPr>
                  <w:r>
                    <w:rPr>
                      <w:color w:val="auto"/>
                      <w:kern w:val="0"/>
                      <w:szCs w:val="21"/>
                      <w:highlight w:val="none"/>
                    </w:rPr>
                    <w:t>本项目</w:t>
                  </w:r>
                  <w:r>
                    <w:rPr>
                      <w:rFonts w:hint="eastAsia"/>
                      <w:color w:val="auto"/>
                      <w:kern w:val="0"/>
                      <w:szCs w:val="21"/>
                      <w:highlight w:val="none"/>
                    </w:rPr>
                    <w:t>为生物质</w:t>
                  </w:r>
                  <w:r>
                    <w:rPr>
                      <w:rFonts w:hint="eastAsia"/>
                      <w:color w:val="auto"/>
                      <w:kern w:val="0"/>
                      <w:szCs w:val="21"/>
                      <w:highlight w:val="none"/>
                      <w:lang w:eastAsia="zh-CN"/>
                    </w:rPr>
                    <w:t>蒸汽发生器</w:t>
                  </w:r>
                  <w:r>
                    <w:rPr>
                      <w:color w:val="auto"/>
                      <w:kern w:val="0"/>
                      <w:szCs w:val="21"/>
                      <w:highlight w:val="none"/>
                    </w:rPr>
                    <w:t>，为热力生产和供应行业，不属于高污染、高耗能行业。</w:t>
                  </w:r>
                </w:p>
              </w:tc>
              <w:tc>
                <w:tcPr>
                  <w:tcW w:w="482" w:type="pct"/>
                  <w:vAlign w:val="center"/>
                </w:tcPr>
                <w:p w14:paraId="5B8F76F5">
                  <w:pPr>
                    <w:jc w:val="center"/>
                    <w:rPr>
                      <w:color w:val="auto"/>
                      <w:kern w:val="0"/>
                      <w:szCs w:val="21"/>
                      <w:highlight w:val="none"/>
                    </w:rPr>
                  </w:pPr>
                  <w:r>
                    <w:rPr>
                      <w:color w:val="auto"/>
                      <w:kern w:val="0"/>
                      <w:szCs w:val="21"/>
                      <w:highlight w:val="none"/>
                    </w:rPr>
                    <w:t>符合</w:t>
                  </w:r>
                </w:p>
              </w:tc>
            </w:tr>
            <w:tr w14:paraId="1BEC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14:paraId="15A23E1B">
                  <w:pPr>
                    <w:jc w:val="center"/>
                    <w:rPr>
                      <w:color w:val="auto"/>
                      <w:kern w:val="0"/>
                      <w:szCs w:val="21"/>
                      <w:highlight w:val="none"/>
                    </w:rPr>
                  </w:pPr>
                  <w:r>
                    <w:rPr>
                      <w:color w:val="auto"/>
                      <w:kern w:val="0"/>
                      <w:szCs w:val="21"/>
                      <w:highlight w:val="none"/>
                    </w:rPr>
                    <w:t>2</w:t>
                  </w:r>
                </w:p>
              </w:tc>
              <w:tc>
                <w:tcPr>
                  <w:tcW w:w="2568" w:type="pct"/>
                  <w:vAlign w:val="center"/>
                </w:tcPr>
                <w:p w14:paraId="2A186C7D">
                  <w:pPr>
                    <w:rPr>
                      <w:color w:val="auto"/>
                      <w:kern w:val="0"/>
                      <w:szCs w:val="21"/>
                      <w:highlight w:val="none"/>
                    </w:rPr>
                  </w:pPr>
                  <w:r>
                    <w:rPr>
                      <w:color w:val="auto"/>
                      <w:kern w:val="0"/>
                      <w:szCs w:val="21"/>
                      <w:highlight w:val="none"/>
                    </w:rPr>
                    <w:t>（四）加快清洁能源替代利用。优化调整能源结构，加大清洁能源推广使用力度。在做好生态保护和移民安置的基础上，积极推进水电开发，统筹协调中小水电发展，规范有序发展风电。</w:t>
                  </w:r>
                  <w:r>
                    <w:rPr>
                      <w:b w:val="0"/>
                      <w:bCs w:val="0"/>
                      <w:color w:val="auto"/>
                      <w:kern w:val="0"/>
                      <w:szCs w:val="21"/>
                      <w:highlight w:val="none"/>
                    </w:rPr>
                    <w:t>积极开发以生物柴油、生物质固体成型燃料为主的生物质能，稳妥推进太阳能发电，加快推进太阳能多元化利用。</w:t>
                  </w:r>
                  <w:r>
                    <w:rPr>
                      <w:color w:val="auto"/>
                      <w:kern w:val="0"/>
                      <w:szCs w:val="21"/>
                      <w:highlight w:val="none"/>
                    </w:rPr>
                    <w:t>加快建设和完善天然气管网及配套设施，不断扩大天然气利用规模。认真落实《玉溪市人民政府办公室关于印发玉溪市中心城区天然气利用发展三年行动计划的通知》（玉政办发〔2014〕113号），从2014年起，用3年左右的时间，全力推进中心城区天然气利用普及工作。各县区应逐步建设和完善天然气管网及配套设施，加快清洁能源替代，优化调整能源结构。</w:t>
                  </w:r>
                </w:p>
              </w:tc>
              <w:tc>
                <w:tcPr>
                  <w:tcW w:w="1671" w:type="pct"/>
                  <w:vAlign w:val="center"/>
                </w:tcPr>
                <w:p w14:paraId="4DA7537F">
                  <w:pPr>
                    <w:pStyle w:val="10"/>
                    <w:rPr>
                      <w:caps/>
                      <w:color w:val="auto"/>
                      <w:sz w:val="21"/>
                      <w:szCs w:val="21"/>
                      <w:highlight w:val="none"/>
                    </w:rPr>
                  </w:pPr>
                  <w:r>
                    <w:rPr>
                      <w:color w:val="auto"/>
                      <w:sz w:val="21"/>
                      <w:szCs w:val="21"/>
                      <w:highlight w:val="none"/>
                    </w:rPr>
                    <w:t>本项目</w:t>
                  </w:r>
                  <w:r>
                    <w:rPr>
                      <w:rFonts w:hint="eastAsia"/>
                      <w:color w:val="auto"/>
                      <w:sz w:val="21"/>
                      <w:szCs w:val="21"/>
                      <w:highlight w:val="none"/>
                    </w:rPr>
                    <w:t>不位于中心城区，</w:t>
                  </w:r>
                  <w:r>
                    <w:rPr>
                      <w:rFonts w:hint="eastAsia"/>
                      <w:caps/>
                      <w:color w:val="auto"/>
                      <w:sz w:val="21"/>
                      <w:szCs w:val="21"/>
                      <w:highlight w:val="none"/>
                    </w:rPr>
                    <w:t>根据《玉溪市红塔区人民政府关于进一步扩大高污染燃料禁燃区的通知》，本项目所在地不属于高污染燃料禁燃区。</w:t>
                  </w:r>
                </w:p>
                <w:p w14:paraId="340B1B68">
                  <w:pPr>
                    <w:pStyle w:val="10"/>
                    <w:rPr>
                      <w:color w:val="auto"/>
                      <w:sz w:val="21"/>
                      <w:szCs w:val="21"/>
                      <w:highlight w:val="none"/>
                    </w:rPr>
                  </w:pPr>
                  <w:r>
                    <w:rPr>
                      <w:rFonts w:hint="eastAsia"/>
                      <w:caps/>
                      <w:color w:val="auto"/>
                      <w:sz w:val="21"/>
                      <w:szCs w:val="21"/>
                      <w:highlight w:val="none"/>
                    </w:rPr>
                    <w:t>本项目</w:t>
                  </w:r>
                  <w:r>
                    <w:rPr>
                      <w:rFonts w:hint="eastAsia"/>
                      <w:color w:val="auto"/>
                      <w:sz w:val="21"/>
                      <w:szCs w:val="21"/>
                      <w:highlight w:val="none"/>
                      <w:lang w:eastAsia="zh-CN"/>
                    </w:rPr>
                    <w:t>蒸汽发生器</w:t>
                  </w:r>
                  <w:r>
                    <w:rPr>
                      <w:color w:val="auto"/>
                      <w:sz w:val="21"/>
                      <w:szCs w:val="21"/>
                      <w:highlight w:val="none"/>
                    </w:rPr>
                    <w:t>燃料使用生物质燃料，符合其要求。</w:t>
                  </w:r>
                </w:p>
                <w:p w14:paraId="732CBC7F">
                  <w:pPr>
                    <w:jc w:val="center"/>
                    <w:rPr>
                      <w:color w:val="auto"/>
                      <w:kern w:val="0"/>
                      <w:szCs w:val="21"/>
                      <w:highlight w:val="none"/>
                    </w:rPr>
                  </w:pPr>
                </w:p>
              </w:tc>
              <w:tc>
                <w:tcPr>
                  <w:tcW w:w="482" w:type="pct"/>
                  <w:vAlign w:val="center"/>
                </w:tcPr>
                <w:p w14:paraId="3F99E55C">
                  <w:pPr>
                    <w:jc w:val="center"/>
                    <w:rPr>
                      <w:color w:val="auto"/>
                      <w:kern w:val="0"/>
                      <w:szCs w:val="21"/>
                      <w:highlight w:val="none"/>
                    </w:rPr>
                  </w:pPr>
                  <w:r>
                    <w:rPr>
                      <w:color w:val="auto"/>
                      <w:kern w:val="0"/>
                      <w:szCs w:val="21"/>
                      <w:highlight w:val="none"/>
                    </w:rPr>
                    <w:t>符合</w:t>
                  </w:r>
                </w:p>
              </w:tc>
            </w:tr>
            <w:tr w14:paraId="77A2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 w:type="pct"/>
                  <w:vAlign w:val="center"/>
                </w:tcPr>
                <w:p w14:paraId="5075B174">
                  <w:pPr>
                    <w:jc w:val="center"/>
                    <w:rPr>
                      <w:color w:val="auto"/>
                      <w:kern w:val="0"/>
                      <w:szCs w:val="21"/>
                      <w:highlight w:val="none"/>
                    </w:rPr>
                  </w:pPr>
                  <w:r>
                    <w:rPr>
                      <w:color w:val="auto"/>
                      <w:kern w:val="0"/>
                      <w:szCs w:val="21"/>
                      <w:highlight w:val="none"/>
                    </w:rPr>
                    <w:t>3</w:t>
                  </w:r>
                </w:p>
              </w:tc>
              <w:tc>
                <w:tcPr>
                  <w:tcW w:w="2568" w:type="pct"/>
                  <w:vAlign w:val="center"/>
                </w:tcPr>
                <w:p w14:paraId="39AA0219">
                  <w:pPr>
                    <w:rPr>
                      <w:color w:val="auto"/>
                      <w:szCs w:val="21"/>
                      <w:highlight w:val="none"/>
                    </w:rPr>
                  </w:pPr>
                  <w:r>
                    <w:rPr>
                      <w:color w:val="auto"/>
                      <w:kern w:val="0"/>
                      <w:szCs w:val="21"/>
                      <w:highlight w:val="none"/>
                    </w:rPr>
                    <w:t>（五）转变生产、生活方式，逐步取缔高污染燃料。各县区政府所在地建成区全面禁止烧煤、烧柴，取缔</w:t>
                  </w:r>
                  <w:r>
                    <w:rPr>
                      <w:rFonts w:hint="eastAsia"/>
                      <w:color w:val="auto"/>
                      <w:kern w:val="0"/>
                      <w:szCs w:val="21"/>
                      <w:highlight w:val="none"/>
                      <w:lang w:eastAsia="zh-CN"/>
                    </w:rPr>
                    <w:t>燃煤锅炉</w:t>
                  </w:r>
                  <w:r>
                    <w:rPr>
                      <w:color w:val="auto"/>
                      <w:kern w:val="0"/>
                      <w:szCs w:val="21"/>
                      <w:highlight w:val="none"/>
                    </w:rPr>
                    <w:t>、炉灶，</w:t>
                  </w:r>
                  <w:r>
                    <w:rPr>
                      <w:b w:val="0"/>
                      <w:bCs w:val="0"/>
                      <w:color w:val="auto"/>
                      <w:kern w:val="0"/>
                      <w:szCs w:val="21"/>
                      <w:highlight w:val="none"/>
                    </w:rPr>
                    <w:t>推广使用天然气、液化石油气、电力、生物燃料等清洁能源。</w:t>
                  </w:r>
                  <w:r>
                    <w:rPr>
                      <w:color w:val="auto"/>
                      <w:kern w:val="0"/>
                      <w:szCs w:val="21"/>
                      <w:highlight w:val="none"/>
                    </w:rPr>
                    <w:t>中心城区及各县县城所在地建成区在2016年底前制定并实施高污染燃料禁燃区管理规定。提高煤炭洗选比例，鼓励建设群矿型和矿区选煤厂，大力发展煤炭洗选加工技术，现有煤矿要加快结构调整和升级改造。发展洁净煤技术，实现煤炭高效洁净燃烧，新建高耗能项目单位产品（产值）能耗要达到国内先进水平。逐步淘汰各县区</w:t>
                  </w:r>
                  <w:r>
                    <w:rPr>
                      <w:rFonts w:hint="eastAsia"/>
                      <w:color w:val="auto"/>
                      <w:kern w:val="0"/>
                      <w:szCs w:val="21"/>
                      <w:highlight w:val="none"/>
                      <w:lang w:eastAsia="zh-CN"/>
                    </w:rPr>
                    <w:t>燃煤锅炉</w:t>
                  </w:r>
                  <w:r>
                    <w:rPr>
                      <w:color w:val="auto"/>
                      <w:kern w:val="0"/>
                      <w:szCs w:val="21"/>
                      <w:highlight w:val="none"/>
                    </w:rPr>
                    <w:t>，到2017年底基本淘汰中心城区建成区内每小时10蒸吨及以下</w:t>
                  </w:r>
                  <w:r>
                    <w:rPr>
                      <w:rFonts w:hint="eastAsia"/>
                      <w:color w:val="auto"/>
                      <w:kern w:val="0"/>
                      <w:szCs w:val="21"/>
                      <w:highlight w:val="none"/>
                      <w:lang w:eastAsia="zh-CN"/>
                    </w:rPr>
                    <w:t>燃煤锅炉</w:t>
                  </w:r>
                  <w:r>
                    <w:rPr>
                      <w:color w:val="auto"/>
                      <w:kern w:val="0"/>
                      <w:szCs w:val="21"/>
                      <w:highlight w:val="none"/>
                    </w:rPr>
                    <w:t>；原则上不再新建、改建、扩建</w:t>
                  </w:r>
                  <w:r>
                    <w:rPr>
                      <w:rFonts w:hint="eastAsia"/>
                      <w:color w:val="auto"/>
                      <w:kern w:val="0"/>
                      <w:szCs w:val="21"/>
                      <w:highlight w:val="none"/>
                      <w:lang w:eastAsia="zh-CN"/>
                    </w:rPr>
                    <w:t>燃煤锅炉</w:t>
                  </w:r>
                  <w:r>
                    <w:rPr>
                      <w:color w:val="auto"/>
                      <w:kern w:val="0"/>
                      <w:szCs w:val="21"/>
                      <w:highlight w:val="none"/>
                    </w:rPr>
                    <w:t>，禁止新建每小时20蒸吨以下</w:t>
                  </w:r>
                  <w:r>
                    <w:rPr>
                      <w:rFonts w:hint="eastAsia"/>
                      <w:color w:val="auto"/>
                      <w:kern w:val="0"/>
                      <w:szCs w:val="21"/>
                      <w:highlight w:val="none"/>
                      <w:lang w:eastAsia="zh-CN"/>
                    </w:rPr>
                    <w:t>燃煤锅炉</w:t>
                  </w:r>
                  <w:r>
                    <w:rPr>
                      <w:color w:val="auto"/>
                      <w:kern w:val="0"/>
                      <w:szCs w:val="21"/>
                      <w:highlight w:val="none"/>
                    </w:rPr>
                    <w:t>。其他具备天然气供应和使用条件的地区，不再新建每小时10蒸吨以下</w:t>
                  </w:r>
                  <w:r>
                    <w:rPr>
                      <w:rFonts w:hint="eastAsia"/>
                      <w:color w:val="auto"/>
                      <w:kern w:val="0"/>
                      <w:szCs w:val="21"/>
                      <w:highlight w:val="none"/>
                      <w:lang w:eastAsia="zh-CN"/>
                    </w:rPr>
                    <w:t>燃煤锅炉</w:t>
                  </w:r>
                  <w:r>
                    <w:rPr>
                      <w:color w:val="auto"/>
                      <w:kern w:val="0"/>
                      <w:szCs w:val="21"/>
                      <w:highlight w:val="none"/>
                    </w:rPr>
                    <w:t>。2017年底前，县区政府所在地建成区全面禁止使用</w:t>
                  </w:r>
                  <w:r>
                    <w:rPr>
                      <w:rFonts w:hint="eastAsia"/>
                      <w:color w:val="auto"/>
                      <w:kern w:val="0"/>
                      <w:szCs w:val="21"/>
                      <w:highlight w:val="none"/>
                      <w:lang w:eastAsia="zh-CN"/>
                    </w:rPr>
                    <w:t>燃煤锅炉</w:t>
                  </w:r>
                  <w:r>
                    <w:rPr>
                      <w:color w:val="auto"/>
                      <w:kern w:val="0"/>
                      <w:szCs w:val="21"/>
                      <w:highlight w:val="none"/>
                    </w:rPr>
                    <w:t>。产业聚集区要集中建设热电联产机组或大型集中供热设施，逐步淘汰分散</w:t>
                  </w:r>
                  <w:r>
                    <w:rPr>
                      <w:rFonts w:hint="eastAsia"/>
                      <w:color w:val="auto"/>
                      <w:kern w:val="0"/>
                      <w:szCs w:val="21"/>
                      <w:highlight w:val="none"/>
                      <w:lang w:eastAsia="zh-CN"/>
                    </w:rPr>
                    <w:t>燃煤锅炉</w:t>
                  </w:r>
                  <w:r>
                    <w:rPr>
                      <w:color w:val="auto"/>
                      <w:kern w:val="0"/>
                      <w:szCs w:val="21"/>
                      <w:highlight w:val="none"/>
                    </w:rPr>
                    <w:t>。天然气干、支线可以覆盖的地区原则上不再审批以煤（油）作为燃料的新建、改建、扩建项目。</w:t>
                  </w:r>
                </w:p>
              </w:tc>
              <w:tc>
                <w:tcPr>
                  <w:tcW w:w="1671" w:type="pct"/>
                  <w:vAlign w:val="center"/>
                </w:tcPr>
                <w:p w14:paraId="5A5C30EA">
                  <w:pPr>
                    <w:pStyle w:val="10"/>
                    <w:rPr>
                      <w:caps/>
                      <w:color w:val="auto"/>
                      <w:sz w:val="21"/>
                      <w:szCs w:val="21"/>
                      <w:highlight w:val="none"/>
                    </w:rPr>
                  </w:pPr>
                  <w:r>
                    <w:rPr>
                      <w:color w:val="auto"/>
                      <w:sz w:val="21"/>
                      <w:szCs w:val="21"/>
                      <w:highlight w:val="none"/>
                    </w:rPr>
                    <w:t>本项目</w:t>
                  </w:r>
                  <w:r>
                    <w:rPr>
                      <w:rFonts w:hint="eastAsia"/>
                      <w:color w:val="auto"/>
                      <w:sz w:val="21"/>
                      <w:szCs w:val="21"/>
                      <w:highlight w:val="none"/>
                    </w:rPr>
                    <w:t>不位于中心城区，</w:t>
                  </w:r>
                  <w:r>
                    <w:rPr>
                      <w:rFonts w:hint="eastAsia"/>
                      <w:caps/>
                      <w:color w:val="auto"/>
                      <w:sz w:val="21"/>
                      <w:szCs w:val="21"/>
                      <w:highlight w:val="none"/>
                    </w:rPr>
                    <w:t>根据《玉溪市红塔区人民政府关于进一步扩大高污染燃料禁燃区的通知》，本项目所在地不属于高污染燃料禁燃区。</w:t>
                  </w:r>
                </w:p>
                <w:p w14:paraId="7E41EB78">
                  <w:pPr>
                    <w:pStyle w:val="10"/>
                    <w:jc w:val="center"/>
                    <w:rPr>
                      <w:bCs/>
                      <w:color w:val="auto"/>
                      <w:sz w:val="21"/>
                      <w:szCs w:val="21"/>
                      <w:highlight w:val="none"/>
                    </w:rPr>
                  </w:pPr>
                  <w:r>
                    <w:rPr>
                      <w:rFonts w:hint="eastAsia"/>
                      <w:bCs/>
                      <w:color w:val="auto"/>
                      <w:sz w:val="21"/>
                      <w:szCs w:val="21"/>
                      <w:highlight w:val="none"/>
                      <w:lang w:val="en-US" w:eastAsia="zh-CN"/>
                    </w:rPr>
                    <w:t>本项目</w:t>
                  </w:r>
                  <w:r>
                    <w:rPr>
                      <w:rFonts w:hint="eastAsia"/>
                      <w:bCs/>
                      <w:color w:val="auto"/>
                      <w:sz w:val="21"/>
                      <w:szCs w:val="21"/>
                      <w:highlight w:val="none"/>
                      <w:lang w:eastAsia="zh-CN"/>
                    </w:rPr>
                    <w:t>蒸汽发生器</w:t>
                  </w:r>
                  <w:r>
                    <w:rPr>
                      <w:rFonts w:hint="eastAsia"/>
                      <w:bCs/>
                      <w:color w:val="auto"/>
                      <w:sz w:val="21"/>
                      <w:szCs w:val="21"/>
                      <w:highlight w:val="none"/>
                      <w:lang w:val="en-US" w:eastAsia="zh-CN"/>
                    </w:rPr>
                    <w:t>燃料使用生物质燃料</w:t>
                  </w:r>
                  <w:r>
                    <w:rPr>
                      <w:bCs/>
                      <w:color w:val="auto"/>
                      <w:sz w:val="21"/>
                      <w:szCs w:val="21"/>
                      <w:highlight w:val="none"/>
                    </w:rPr>
                    <w:t>，</w:t>
                  </w:r>
                  <w:r>
                    <w:rPr>
                      <w:rFonts w:hint="eastAsia"/>
                      <w:bCs/>
                      <w:color w:val="auto"/>
                      <w:sz w:val="21"/>
                      <w:szCs w:val="21"/>
                      <w:highlight w:val="none"/>
                    </w:rPr>
                    <w:t>燃料属于推广使用的生物质燃料。</w:t>
                  </w:r>
                </w:p>
                <w:p w14:paraId="77582AED">
                  <w:pPr>
                    <w:pStyle w:val="10"/>
                    <w:jc w:val="center"/>
                    <w:rPr>
                      <w:color w:val="auto"/>
                      <w:kern w:val="2"/>
                      <w:sz w:val="21"/>
                      <w:szCs w:val="21"/>
                      <w:highlight w:val="none"/>
                    </w:rPr>
                  </w:pPr>
                  <w:r>
                    <w:rPr>
                      <w:rFonts w:hint="eastAsia"/>
                      <w:bCs/>
                      <w:color w:val="auto"/>
                      <w:sz w:val="21"/>
                      <w:szCs w:val="21"/>
                      <w:highlight w:val="none"/>
                    </w:rPr>
                    <w:t>本项目不属于</w:t>
                  </w:r>
                  <w:r>
                    <w:rPr>
                      <w:rFonts w:hint="eastAsia"/>
                      <w:bCs/>
                      <w:color w:val="auto"/>
                      <w:sz w:val="21"/>
                      <w:szCs w:val="21"/>
                      <w:highlight w:val="none"/>
                      <w:lang w:eastAsia="zh-CN"/>
                    </w:rPr>
                    <w:t>燃煤锅炉</w:t>
                  </w:r>
                  <w:r>
                    <w:rPr>
                      <w:bCs/>
                      <w:color w:val="auto"/>
                      <w:sz w:val="21"/>
                      <w:szCs w:val="21"/>
                      <w:highlight w:val="none"/>
                    </w:rPr>
                    <w:t>。</w:t>
                  </w:r>
                </w:p>
              </w:tc>
              <w:tc>
                <w:tcPr>
                  <w:tcW w:w="482" w:type="pct"/>
                  <w:vAlign w:val="center"/>
                </w:tcPr>
                <w:p w14:paraId="1B5D58BB">
                  <w:pPr>
                    <w:pStyle w:val="10"/>
                    <w:jc w:val="center"/>
                    <w:rPr>
                      <w:color w:val="auto"/>
                      <w:kern w:val="2"/>
                      <w:sz w:val="21"/>
                      <w:szCs w:val="21"/>
                      <w:highlight w:val="none"/>
                    </w:rPr>
                  </w:pPr>
                  <w:r>
                    <w:rPr>
                      <w:color w:val="auto"/>
                      <w:kern w:val="2"/>
                      <w:sz w:val="21"/>
                      <w:szCs w:val="21"/>
                      <w:highlight w:val="none"/>
                    </w:rPr>
                    <w:t>符合</w:t>
                  </w:r>
                </w:p>
              </w:tc>
            </w:tr>
            <w:tr w14:paraId="5357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7" w:type="pct"/>
                  <w:vAlign w:val="center"/>
                </w:tcPr>
                <w:p w14:paraId="163F29D6">
                  <w:pPr>
                    <w:jc w:val="center"/>
                    <w:rPr>
                      <w:color w:val="auto"/>
                      <w:kern w:val="0"/>
                      <w:szCs w:val="21"/>
                      <w:highlight w:val="none"/>
                    </w:rPr>
                  </w:pPr>
                  <w:r>
                    <w:rPr>
                      <w:color w:val="auto"/>
                      <w:kern w:val="0"/>
                      <w:szCs w:val="21"/>
                      <w:highlight w:val="none"/>
                    </w:rPr>
                    <w:t>4</w:t>
                  </w:r>
                </w:p>
              </w:tc>
              <w:tc>
                <w:tcPr>
                  <w:tcW w:w="2568" w:type="pct"/>
                  <w:vAlign w:val="center"/>
                </w:tcPr>
                <w:p w14:paraId="7224C9F2">
                  <w:pPr>
                    <w:rPr>
                      <w:color w:val="auto"/>
                      <w:kern w:val="0"/>
                      <w:szCs w:val="21"/>
                      <w:highlight w:val="none"/>
                    </w:rPr>
                  </w:pPr>
                  <w:r>
                    <w:rPr>
                      <w:color w:val="auto"/>
                      <w:kern w:val="0"/>
                      <w:szCs w:val="21"/>
                      <w:highlight w:val="none"/>
                    </w:rPr>
                    <w:t>（八）深化城市扬尘污染治理。2014年底前，各县区人民政府要制定并完善工程建设工地扬尘管理措施办法，明确部门职责，加强施工扬尘监管，积极推进绿色施工。城市建成区及周边地区的工程建设施工现场应全封闭设置围挡墙、施工围网、防风抑尘网，严禁敞开式作业，施工现场道路应进行地面硬化。渣土运输车辆进出施工工地要进行清洗，运输过程采取密闭措施，并按照指定路线运输，2017年底前基本安装卫星定位系统。县级以上城市要加大城市建成区内洒水等防风抑尘作业力度，推行道路机械化清扫等低尘作业方式；大型煤堆、料堆实现封闭存储或建设防风抑尘设施。</w:t>
                  </w:r>
                </w:p>
              </w:tc>
              <w:tc>
                <w:tcPr>
                  <w:tcW w:w="1671" w:type="pct"/>
                  <w:vAlign w:val="center"/>
                </w:tcPr>
                <w:p w14:paraId="197D1989">
                  <w:pPr>
                    <w:jc w:val="center"/>
                    <w:rPr>
                      <w:color w:val="auto"/>
                      <w:kern w:val="0"/>
                      <w:szCs w:val="21"/>
                      <w:highlight w:val="none"/>
                    </w:rPr>
                  </w:pPr>
                  <w:r>
                    <w:rPr>
                      <w:color w:val="auto"/>
                      <w:kern w:val="0"/>
                      <w:szCs w:val="21"/>
                      <w:highlight w:val="none"/>
                    </w:rPr>
                    <w:t>项目施工工程量小，扬尘产生量较少</w:t>
                  </w:r>
                  <w:r>
                    <w:rPr>
                      <w:rFonts w:hint="eastAsia"/>
                      <w:color w:val="auto"/>
                      <w:kern w:val="0"/>
                      <w:szCs w:val="21"/>
                      <w:highlight w:val="none"/>
                    </w:rPr>
                    <w:t>，施工过程中通过采取洒水降尘、施工围挡等措施后，措施</w:t>
                  </w:r>
                  <w:r>
                    <w:rPr>
                      <w:rFonts w:hint="eastAsia"/>
                      <w:color w:val="auto"/>
                      <w:kern w:val="0"/>
                      <w:szCs w:val="21"/>
                      <w:highlight w:val="none"/>
                      <w:lang w:eastAsia="zh-CN"/>
                    </w:rPr>
                    <w:t>的</w:t>
                  </w:r>
                  <w:r>
                    <w:rPr>
                      <w:rFonts w:hint="eastAsia"/>
                      <w:color w:val="auto"/>
                      <w:kern w:val="0"/>
                      <w:szCs w:val="21"/>
                      <w:highlight w:val="none"/>
                    </w:rPr>
                    <w:t>扬尘对周边环境影响较小</w:t>
                  </w:r>
                  <w:r>
                    <w:rPr>
                      <w:color w:val="auto"/>
                      <w:kern w:val="0"/>
                      <w:szCs w:val="21"/>
                      <w:highlight w:val="none"/>
                    </w:rPr>
                    <w:t>。</w:t>
                  </w:r>
                </w:p>
              </w:tc>
              <w:tc>
                <w:tcPr>
                  <w:tcW w:w="482" w:type="pct"/>
                  <w:vAlign w:val="center"/>
                </w:tcPr>
                <w:p w14:paraId="3C52A64E">
                  <w:pPr>
                    <w:jc w:val="center"/>
                    <w:rPr>
                      <w:color w:val="auto"/>
                      <w:kern w:val="0"/>
                      <w:szCs w:val="21"/>
                      <w:highlight w:val="none"/>
                    </w:rPr>
                  </w:pPr>
                  <w:r>
                    <w:rPr>
                      <w:color w:val="auto"/>
                      <w:kern w:val="0"/>
                      <w:szCs w:val="21"/>
                      <w:highlight w:val="none"/>
                    </w:rPr>
                    <w:t>符合</w:t>
                  </w:r>
                </w:p>
              </w:tc>
            </w:tr>
            <w:tr w14:paraId="06D3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1D6BBD31">
                  <w:pPr>
                    <w:rPr>
                      <w:b/>
                      <w:color w:val="auto"/>
                      <w:szCs w:val="21"/>
                      <w:highlight w:val="none"/>
                    </w:rPr>
                  </w:pPr>
                  <w:r>
                    <w:rPr>
                      <w:b/>
                      <w:color w:val="auto"/>
                      <w:szCs w:val="21"/>
                      <w:highlight w:val="none"/>
                    </w:rPr>
                    <w:t>备注：其它与项目无关项未列入</w:t>
                  </w:r>
                </w:p>
              </w:tc>
            </w:tr>
          </w:tbl>
          <w:p w14:paraId="49A6A92F">
            <w:pPr>
              <w:autoSpaceDE w:val="0"/>
              <w:autoSpaceDN w:val="0"/>
              <w:adjustRightInd w:val="0"/>
              <w:snapToGrid w:val="0"/>
              <w:spacing w:line="360" w:lineRule="auto"/>
              <w:ind w:firstLine="480" w:firstLineChars="200"/>
              <w:jc w:val="left"/>
              <w:rPr>
                <w:color w:val="auto"/>
                <w:kern w:val="0"/>
                <w:sz w:val="24"/>
                <w:highlight w:val="none"/>
              </w:rPr>
            </w:pPr>
            <w:r>
              <w:rPr>
                <w:color w:val="auto"/>
                <w:sz w:val="24"/>
                <w:highlight w:val="none"/>
              </w:rPr>
              <w:t>根据上表，项目建设符合《玉溪市大气污染防治行动实施方案》的相关要求</w:t>
            </w:r>
            <w:r>
              <w:rPr>
                <w:color w:val="auto"/>
                <w:kern w:val="0"/>
                <w:sz w:val="24"/>
                <w:highlight w:val="none"/>
              </w:rPr>
              <w:t>。</w:t>
            </w:r>
          </w:p>
          <w:p w14:paraId="2949041C">
            <w:pPr>
              <w:autoSpaceDE w:val="0"/>
              <w:autoSpaceDN w:val="0"/>
              <w:adjustRightInd w:val="0"/>
              <w:snapToGrid w:val="0"/>
              <w:spacing w:line="360" w:lineRule="auto"/>
              <w:jc w:val="left"/>
              <w:rPr>
                <w:b/>
                <w:bCs/>
                <w:color w:val="auto"/>
                <w:kern w:val="0"/>
                <w:sz w:val="24"/>
                <w:highlight w:val="none"/>
              </w:rPr>
            </w:pPr>
            <w:r>
              <w:rPr>
                <w:rFonts w:hint="eastAsia"/>
                <w:b/>
                <w:bCs/>
                <w:color w:val="auto"/>
                <w:kern w:val="0"/>
                <w:sz w:val="24"/>
                <w:highlight w:val="none"/>
                <w:lang w:val="en-US" w:eastAsia="zh-CN"/>
              </w:rPr>
              <w:t>11</w:t>
            </w:r>
            <w:r>
              <w:rPr>
                <w:rFonts w:hint="eastAsia"/>
                <w:b/>
                <w:bCs/>
                <w:color w:val="auto"/>
                <w:kern w:val="0"/>
                <w:sz w:val="24"/>
                <w:highlight w:val="none"/>
              </w:rPr>
              <w:t>、与</w:t>
            </w:r>
            <w:bookmarkStart w:id="16" w:name="_Hlk161928085"/>
            <w:r>
              <w:rPr>
                <w:rFonts w:hint="eastAsia"/>
                <w:b/>
                <w:bCs/>
                <w:color w:val="auto"/>
                <w:kern w:val="0"/>
                <w:sz w:val="24"/>
                <w:highlight w:val="none"/>
              </w:rPr>
              <w:t>《空气质量持续改善行动计划》</w:t>
            </w:r>
            <w:bookmarkEnd w:id="16"/>
            <w:r>
              <w:rPr>
                <w:rFonts w:hint="eastAsia"/>
                <w:b/>
                <w:bCs/>
                <w:color w:val="auto"/>
                <w:kern w:val="0"/>
                <w:sz w:val="24"/>
                <w:highlight w:val="none"/>
              </w:rPr>
              <w:t>（国发[2023]24号）的符合性分析</w:t>
            </w:r>
          </w:p>
          <w:p w14:paraId="0B276952">
            <w:pPr>
              <w:autoSpaceDE w:val="0"/>
              <w:autoSpaceDN w:val="0"/>
              <w:adjustRightInd w:val="0"/>
              <w:snapToGrid w:val="0"/>
              <w:spacing w:line="360" w:lineRule="auto"/>
              <w:jc w:val="center"/>
              <w:rPr>
                <w:b/>
                <w:bCs/>
                <w:color w:val="auto"/>
                <w:kern w:val="0"/>
                <w:sz w:val="24"/>
                <w:highlight w:val="none"/>
              </w:rPr>
            </w:pPr>
            <w:r>
              <w:rPr>
                <w:rFonts w:hint="eastAsia"/>
                <w:b/>
                <w:bCs/>
                <w:color w:val="auto"/>
                <w:kern w:val="0"/>
                <w:sz w:val="24"/>
                <w:highlight w:val="none"/>
              </w:rPr>
              <w:t>表1-1</w:t>
            </w:r>
            <w:r>
              <w:rPr>
                <w:rFonts w:hint="eastAsia"/>
                <w:b/>
                <w:bCs/>
                <w:color w:val="auto"/>
                <w:kern w:val="0"/>
                <w:sz w:val="24"/>
                <w:highlight w:val="none"/>
                <w:lang w:val="en-US" w:eastAsia="zh-CN"/>
              </w:rPr>
              <w:t>0</w:t>
            </w:r>
            <w:r>
              <w:rPr>
                <w:rFonts w:hint="eastAsia"/>
                <w:b/>
                <w:bCs/>
                <w:color w:val="auto"/>
                <w:kern w:val="0"/>
                <w:sz w:val="24"/>
                <w:highlight w:val="none"/>
              </w:rPr>
              <w:t xml:space="preserve"> </w:t>
            </w:r>
            <w:r>
              <w:rPr>
                <w:rFonts w:hint="eastAsia"/>
                <w:b/>
                <w:bCs/>
                <w:color w:val="auto"/>
                <w:kern w:val="0"/>
                <w:sz w:val="24"/>
                <w:highlight w:val="none"/>
                <w:lang w:val="en-US" w:eastAsia="zh-CN"/>
              </w:rPr>
              <w:t xml:space="preserve"> </w:t>
            </w:r>
            <w:r>
              <w:rPr>
                <w:rFonts w:hint="eastAsia"/>
                <w:b/>
                <w:bCs/>
                <w:color w:val="auto"/>
                <w:kern w:val="0"/>
                <w:sz w:val="24"/>
                <w:highlight w:val="none"/>
              </w:rPr>
              <w:t>项目与《空气质量持续改善行动计划》的符合性分析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3045"/>
              <w:gridCol w:w="783"/>
            </w:tblGrid>
            <w:tr w14:paraId="1DAB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24A5DCA7">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文件内容</w:t>
                  </w:r>
                </w:p>
              </w:tc>
              <w:tc>
                <w:tcPr>
                  <w:tcW w:w="3045" w:type="dxa"/>
                  <w:vAlign w:val="center"/>
                </w:tcPr>
                <w:p w14:paraId="4366DB22">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相符性分析</w:t>
                  </w:r>
                </w:p>
              </w:tc>
              <w:tc>
                <w:tcPr>
                  <w:tcW w:w="783" w:type="dxa"/>
                  <w:vAlign w:val="center"/>
                </w:tcPr>
                <w:p w14:paraId="36D22E36">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符合性</w:t>
                  </w:r>
                </w:p>
              </w:tc>
            </w:tr>
            <w:tr w14:paraId="5FA8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7E9ED872">
                  <w:pPr>
                    <w:autoSpaceDE w:val="0"/>
                    <w:autoSpaceDN w:val="0"/>
                    <w:adjustRightInd w:val="0"/>
                    <w:snapToGrid w:val="0"/>
                    <w:jc w:val="left"/>
                    <w:rPr>
                      <w:color w:val="auto"/>
                      <w:kern w:val="0"/>
                      <w:szCs w:val="21"/>
                      <w:highlight w:val="none"/>
                    </w:rPr>
                  </w:pPr>
                  <w:r>
                    <w:rPr>
                      <w:rFonts w:hint="eastAsia"/>
                      <w:b/>
                      <w:bCs/>
                      <w:color w:val="auto"/>
                      <w:kern w:val="0"/>
                      <w:szCs w:val="21"/>
                      <w:highlight w:val="none"/>
                    </w:rPr>
                    <w:t>（四）坚决遏制高耗能、高排放、低水平项目盲目上马。</w:t>
                  </w:r>
                  <w:r>
                    <w:rPr>
                      <w:rFonts w:hint="eastAsia"/>
                      <w:color w:val="auto"/>
                      <w:kern w:val="0"/>
                      <w:szCs w:val="21"/>
                      <w:highlight w:val="none"/>
                    </w:rPr>
                    <w:t>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3045" w:type="dxa"/>
                  <w:vAlign w:val="center"/>
                </w:tcPr>
                <w:p w14:paraId="6E21B6A9">
                  <w:pPr>
                    <w:autoSpaceDE w:val="0"/>
                    <w:autoSpaceDN w:val="0"/>
                    <w:adjustRightInd w:val="0"/>
                    <w:snapToGrid w:val="0"/>
                    <w:jc w:val="left"/>
                    <w:rPr>
                      <w:color w:val="auto"/>
                      <w:kern w:val="0"/>
                      <w:szCs w:val="21"/>
                      <w:highlight w:val="none"/>
                    </w:rPr>
                  </w:pPr>
                  <w:r>
                    <w:rPr>
                      <w:rFonts w:hint="eastAsia"/>
                      <w:color w:val="auto"/>
                      <w:kern w:val="0"/>
                      <w:szCs w:val="21"/>
                      <w:highlight w:val="none"/>
                    </w:rPr>
                    <w:t>本项目不属于高耗能、高排放项目。项目属于《产业结构调整指导目录（2024年本）》，本项目属于</w:t>
                  </w:r>
                  <w:r>
                    <w:rPr>
                      <w:rFonts w:hint="eastAsia"/>
                      <w:color w:val="auto"/>
                      <w:kern w:val="0"/>
                      <w:szCs w:val="21"/>
                      <w:highlight w:val="none"/>
                      <w:lang w:val="en-US" w:eastAsia="zh-CN"/>
                    </w:rPr>
                    <w:t>第一类“鼓励类”中的“一、农林牧渔业，17.可再生资源综合利用、生物质能清洁供热”。</w:t>
                  </w:r>
                  <w:r>
                    <w:rPr>
                      <w:rFonts w:hint="eastAsia"/>
                      <w:color w:val="auto"/>
                      <w:kern w:val="0"/>
                      <w:szCs w:val="21"/>
                      <w:highlight w:val="none"/>
                    </w:rPr>
                    <w:t>符合国家产业政策。</w:t>
                  </w:r>
                </w:p>
                <w:p w14:paraId="0E9D4D03">
                  <w:pPr>
                    <w:autoSpaceDE w:val="0"/>
                    <w:autoSpaceDN w:val="0"/>
                    <w:adjustRightInd w:val="0"/>
                    <w:snapToGrid w:val="0"/>
                    <w:jc w:val="center"/>
                    <w:rPr>
                      <w:color w:val="auto"/>
                      <w:kern w:val="0"/>
                      <w:szCs w:val="21"/>
                      <w:highlight w:val="none"/>
                    </w:rPr>
                  </w:pPr>
                  <w:r>
                    <w:rPr>
                      <w:rFonts w:hint="eastAsia"/>
                      <w:color w:val="auto"/>
                      <w:kern w:val="0"/>
                      <w:szCs w:val="21"/>
                      <w:highlight w:val="none"/>
                    </w:rPr>
                    <w:t>本项目不涉及产能置换。</w:t>
                  </w:r>
                </w:p>
              </w:tc>
              <w:tc>
                <w:tcPr>
                  <w:tcW w:w="783" w:type="dxa"/>
                  <w:vAlign w:val="center"/>
                </w:tcPr>
                <w:p w14:paraId="18FE39E6">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3289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316EFB60">
                  <w:pPr>
                    <w:widowControl/>
                    <w:jc w:val="left"/>
                    <w:rPr>
                      <w:color w:val="auto"/>
                      <w:kern w:val="0"/>
                      <w:szCs w:val="21"/>
                      <w:highlight w:val="none"/>
                    </w:rPr>
                  </w:pPr>
                  <w:r>
                    <w:rPr>
                      <w:rFonts w:hint="eastAsia" w:ascii="宋体" w:hAnsi="宋体" w:cs="宋体"/>
                      <w:b/>
                      <w:bCs/>
                      <w:color w:val="auto"/>
                      <w:kern w:val="0"/>
                      <w:szCs w:val="21"/>
                      <w:highlight w:val="none"/>
                      <w:lang w:bidi="ar"/>
                    </w:rPr>
                    <w:t>（五）加快退出重点行业落后产能。</w:t>
                  </w:r>
                  <w:r>
                    <w:rPr>
                      <w:rFonts w:hint="eastAsia" w:ascii="宋体" w:hAnsi="宋体" w:cs="宋体"/>
                      <w:color w:val="auto"/>
                      <w:kern w:val="0"/>
                      <w:szCs w:val="21"/>
                      <w:highlight w:val="none"/>
                      <w:lang w:bidi="ar"/>
                    </w:rPr>
                    <w:t>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逐步淘汰步进式烧结机和球团竖炉以及半封闭式硅锰合金、镍铁、高碳铬铁、高碳锰铁电炉。引导重点区域钢铁、焦化、电解铝等产业有序调整优化。</w:t>
                  </w:r>
                </w:p>
              </w:tc>
              <w:tc>
                <w:tcPr>
                  <w:tcW w:w="3045" w:type="dxa"/>
                  <w:vAlign w:val="center"/>
                </w:tcPr>
                <w:p w14:paraId="58CD70F9">
                  <w:pPr>
                    <w:autoSpaceDE w:val="0"/>
                    <w:autoSpaceDN w:val="0"/>
                    <w:adjustRightInd w:val="0"/>
                    <w:snapToGrid w:val="0"/>
                    <w:jc w:val="left"/>
                    <w:rPr>
                      <w:color w:val="auto"/>
                      <w:kern w:val="0"/>
                      <w:szCs w:val="21"/>
                      <w:highlight w:val="none"/>
                    </w:rPr>
                  </w:pPr>
                  <w:r>
                    <w:rPr>
                      <w:rFonts w:hint="eastAsia"/>
                      <w:color w:val="auto"/>
                      <w:kern w:val="0"/>
                      <w:szCs w:val="21"/>
                      <w:highlight w:val="none"/>
                    </w:rPr>
                    <w:t>本项目属于《产业结构调整指导目录（2024年本）》，本项目属于</w:t>
                  </w:r>
                  <w:r>
                    <w:rPr>
                      <w:rFonts w:hint="eastAsia"/>
                      <w:color w:val="auto"/>
                      <w:kern w:val="0"/>
                      <w:szCs w:val="21"/>
                      <w:highlight w:val="none"/>
                      <w:lang w:val="en-US" w:eastAsia="zh-CN"/>
                    </w:rPr>
                    <w:t>第一类“鼓励类”中的“一、农林牧渔业，17.可再生资源综合利用、生物质能清洁供热”。</w:t>
                  </w:r>
                  <w:r>
                    <w:rPr>
                      <w:rFonts w:hint="eastAsia"/>
                      <w:color w:val="auto"/>
                      <w:kern w:val="0"/>
                      <w:szCs w:val="21"/>
                      <w:highlight w:val="none"/>
                    </w:rPr>
                    <w:t>符合国家产业政策，不属于落后产能。</w:t>
                  </w:r>
                </w:p>
              </w:tc>
              <w:tc>
                <w:tcPr>
                  <w:tcW w:w="783" w:type="dxa"/>
                  <w:vAlign w:val="center"/>
                </w:tcPr>
                <w:p w14:paraId="344C2E5A">
                  <w:pPr>
                    <w:autoSpaceDE w:val="0"/>
                    <w:autoSpaceDN w:val="0"/>
                    <w:adjustRightInd w:val="0"/>
                    <w:snapToGrid w:val="0"/>
                    <w:jc w:val="left"/>
                    <w:rPr>
                      <w:color w:val="auto"/>
                      <w:kern w:val="0"/>
                      <w:szCs w:val="21"/>
                      <w:highlight w:val="none"/>
                    </w:rPr>
                  </w:pPr>
                  <w:r>
                    <w:rPr>
                      <w:rFonts w:hint="eastAsia"/>
                      <w:color w:val="auto"/>
                      <w:kern w:val="0"/>
                      <w:szCs w:val="21"/>
                      <w:highlight w:val="none"/>
                    </w:rPr>
                    <w:t>符合</w:t>
                  </w:r>
                </w:p>
              </w:tc>
            </w:tr>
            <w:tr w14:paraId="52DB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475C3E33">
                  <w:pPr>
                    <w:autoSpaceDE w:val="0"/>
                    <w:autoSpaceDN w:val="0"/>
                    <w:adjustRightInd w:val="0"/>
                    <w:snapToGrid w:val="0"/>
                    <w:jc w:val="left"/>
                    <w:rPr>
                      <w:color w:val="auto"/>
                      <w:kern w:val="0"/>
                      <w:szCs w:val="21"/>
                      <w:highlight w:val="none"/>
                    </w:rPr>
                  </w:pPr>
                  <w:r>
                    <w:rPr>
                      <w:rFonts w:hint="eastAsia"/>
                      <w:b/>
                      <w:bCs/>
                      <w:color w:val="auto"/>
                      <w:kern w:val="0"/>
                      <w:szCs w:val="21"/>
                      <w:highlight w:val="none"/>
                    </w:rPr>
                    <w:t>（十）严格合理控制煤炭消费总量。</w:t>
                  </w:r>
                  <w:r>
                    <w:rPr>
                      <w:rFonts w:hint="eastAsia"/>
                      <w:color w:val="auto"/>
                      <w:kern w:val="0"/>
                      <w:szCs w:val="21"/>
                      <w:highlight w:val="none"/>
                    </w:rPr>
                    <w:t>在保障能源安全供应的前提下，重点区域继续实施煤炭消费总量控制。到2025年，京津冀及周边地区、长三角地区煤炭消费量较2020年分别下降10%和5%左右，汾渭平原煤炭消费量实现负增长，重点削减非电力用煤。重点区域新改扩建用煤项目，依法实行煤炭等量或减量替代，替代方案不完善的不予审批；不得将使用石油焦、焦炭、兰炭等高污染燃料作为煤炭减量替代措施。完善重点区域煤炭消费减量替代管理办法，煤矸石、原料用煤不纳入煤炭消费总量考核。原则上不再新增自备燃煤机组，支持自备燃煤机组实施清洁能源替代。对支撑电力稳定供应、电网安全运行、清洁能源大规模并网消纳的煤电项目及其用煤量应予以合理保障。</w:t>
                  </w:r>
                </w:p>
              </w:tc>
              <w:tc>
                <w:tcPr>
                  <w:tcW w:w="3045" w:type="dxa"/>
                  <w:vAlign w:val="center"/>
                </w:tcPr>
                <w:p w14:paraId="5DA2F9E5">
                  <w:pPr>
                    <w:autoSpaceDE w:val="0"/>
                    <w:autoSpaceDN w:val="0"/>
                    <w:adjustRightInd w:val="0"/>
                    <w:snapToGrid w:val="0"/>
                    <w:jc w:val="left"/>
                    <w:rPr>
                      <w:color w:val="auto"/>
                      <w:kern w:val="0"/>
                      <w:szCs w:val="21"/>
                      <w:highlight w:val="none"/>
                    </w:rPr>
                  </w:pPr>
                  <w:r>
                    <w:rPr>
                      <w:rFonts w:hint="eastAsia"/>
                      <w:color w:val="auto"/>
                      <w:kern w:val="0"/>
                      <w:szCs w:val="21"/>
                      <w:highlight w:val="none"/>
                    </w:rPr>
                    <w:t>本项目燃料为生物质燃料，不涉及煤炭使用。</w:t>
                  </w:r>
                </w:p>
                <w:p w14:paraId="5E503EBC">
                  <w:pPr>
                    <w:autoSpaceDE w:val="0"/>
                    <w:autoSpaceDN w:val="0"/>
                    <w:adjustRightInd w:val="0"/>
                    <w:snapToGrid w:val="0"/>
                    <w:jc w:val="left"/>
                    <w:rPr>
                      <w:color w:val="auto"/>
                      <w:kern w:val="0"/>
                      <w:szCs w:val="21"/>
                      <w:highlight w:val="none"/>
                    </w:rPr>
                  </w:pPr>
                </w:p>
              </w:tc>
              <w:tc>
                <w:tcPr>
                  <w:tcW w:w="783" w:type="dxa"/>
                  <w:vAlign w:val="center"/>
                </w:tcPr>
                <w:p w14:paraId="603377CF">
                  <w:pPr>
                    <w:autoSpaceDE w:val="0"/>
                    <w:autoSpaceDN w:val="0"/>
                    <w:adjustRightInd w:val="0"/>
                    <w:snapToGrid w:val="0"/>
                    <w:jc w:val="left"/>
                    <w:rPr>
                      <w:color w:val="auto"/>
                      <w:kern w:val="0"/>
                      <w:szCs w:val="21"/>
                      <w:highlight w:val="none"/>
                    </w:rPr>
                  </w:pPr>
                  <w:r>
                    <w:rPr>
                      <w:rFonts w:hint="eastAsia"/>
                      <w:color w:val="auto"/>
                      <w:kern w:val="0"/>
                      <w:szCs w:val="21"/>
                      <w:highlight w:val="none"/>
                    </w:rPr>
                    <w:t>符合</w:t>
                  </w:r>
                </w:p>
              </w:tc>
            </w:tr>
            <w:tr w14:paraId="4883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6D56EDF6">
                  <w:pPr>
                    <w:autoSpaceDE w:val="0"/>
                    <w:autoSpaceDN w:val="0"/>
                    <w:adjustRightInd w:val="0"/>
                    <w:snapToGrid w:val="0"/>
                    <w:jc w:val="left"/>
                    <w:rPr>
                      <w:b/>
                      <w:bCs/>
                      <w:color w:val="auto"/>
                      <w:kern w:val="0"/>
                      <w:szCs w:val="21"/>
                      <w:highlight w:val="none"/>
                    </w:rPr>
                  </w:pPr>
                  <w:r>
                    <w:rPr>
                      <w:rFonts w:hint="eastAsia"/>
                      <w:b/>
                      <w:bCs/>
                      <w:color w:val="auto"/>
                      <w:kern w:val="0"/>
                      <w:szCs w:val="21"/>
                      <w:highlight w:val="none"/>
                    </w:rPr>
                    <w:t>（十一）积极开展</w:t>
                  </w:r>
                  <w:r>
                    <w:rPr>
                      <w:rFonts w:hint="eastAsia"/>
                      <w:b/>
                      <w:bCs/>
                      <w:color w:val="auto"/>
                      <w:kern w:val="0"/>
                      <w:szCs w:val="21"/>
                      <w:highlight w:val="none"/>
                      <w:lang w:eastAsia="zh-CN"/>
                    </w:rPr>
                    <w:t>燃煤锅炉</w:t>
                  </w:r>
                  <w:r>
                    <w:rPr>
                      <w:rFonts w:hint="eastAsia"/>
                      <w:b/>
                      <w:bCs/>
                      <w:color w:val="auto"/>
                      <w:kern w:val="0"/>
                      <w:szCs w:val="21"/>
                      <w:highlight w:val="none"/>
                    </w:rPr>
                    <w:t xml:space="preserve">关停整合。 </w:t>
                  </w:r>
                </w:p>
                <w:p w14:paraId="4535D97A">
                  <w:pPr>
                    <w:autoSpaceDE w:val="0"/>
                    <w:autoSpaceDN w:val="0"/>
                    <w:adjustRightInd w:val="0"/>
                    <w:snapToGrid w:val="0"/>
                    <w:jc w:val="left"/>
                    <w:rPr>
                      <w:color w:val="auto"/>
                      <w:kern w:val="0"/>
                      <w:szCs w:val="21"/>
                      <w:highlight w:val="none"/>
                    </w:rPr>
                  </w:pPr>
                  <w:r>
                    <w:rPr>
                      <w:rFonts w:hint="eastAsia"/>
                      <w:color w:val="auto"/>
                      <w:kern w:val="0"/>
                      <w:szCs w:val="21"/>
                      <w:highlight w:val="none"/>
                    </w:rPr>
                    <w:t>各地要将燃煤供热</w:t>
                  </w:r>
                  <w:r>
                    <w:rPr>
                      <w:rFonts w:hint="eastAsia"/>
                      <w:color w:val="auto"/>
                      <w:kern w:val="0"/>
                      <w:szCs w:val="21"/>
                      <w:highlight w:val="none"/>
                      <w:lang w:val="en-US" w:eastAsia="zh-CN"/>
                    </w:rPr>
                    <w:t>锅炉</w:t>
                  </w:r>
                  <w:r>
                    <w:rPr>
                      <w:rFonts w:hint="eastAsia"/>
                      <w:color w:val="auto"/>
                      <w:kern w:val="0"/>
                      <w:szCs w:val="21"/>
                      <w:highlight w:val="none"/>
                    </w:rPr>
                    <w:t>替代项目纳入城镇供热规划。县级及以上城市建成区原则上不再新建35蒸吨/小时及以下</w:t>
                  </w:r>
                  <w:r>
                    <w:rPr>
                      <w:rFonts w:hint="eastAsia"/>
                      <w:color w:val="auto"/>
                      <w:kern w:val="0"/>
                      <w:szCs w:val="21"/>
                      <w:highlight w:val="none"/>
                      <w:lang w:eastAsia="zh-CN"/>
                    </w:rPr>
                    <w:t>燃煤锅炉</w:t>
                  </w:r>
                  <w:r>
                    <w:rPr>
                      <w:rFonts w:hint="eastAsia"/>
                      <w:color w:val="auto"/>
                      <w:kern w:val="0"/>
                      <w:szCs w:val="21"/>
                      <w:highlight w:val="none"/>
                    </w:rPr>
                    <w:t>，重点区域原则上不再新建除集中供暖外的</w:t>
                  </w:r>
                  <w:r>
                    <w:rPr>
                      <w:rFonts w:hint="eastAsia"/>
                      <w:color w:val="auto"/>
                      <w:kern w:val="0"/>
                      <w:szCs w:val="21"/>
                      <w:highlight w:val="none"/>
                      <w:lang w:eastAsia="zh-CN"/>
                    </w:rPr>
                    <w:t>燃煤锅炉</w:t>
                  </w:r>
                  <w:r>
                    <w:rPr>
                      <w:rFonts w:hint="eastAsia"/>
                      <w:color w:val="auto"/>
                      <w:kern w:val="0"/>
                      <w:szCs w:val="21"/>
                      <w:highlight w:val="none"/>
                    </w:rPr>
                    <w:t>。加快热力管网建设，依托电厂、大型工业企业开展远距离供热示范，淘汰管网覆盖范围内的</w:t>
                  </w:r>
                  <w:r>
                    <w:rPr>
                      <w:rFonts w:hint="eastAsia"/>
                      <w:color w:val="auto"/>
                      <w:kern w:val="0"/>
                      <w:szCs w:val="21"/>
                      <w:highlight w:val="none"/>
                      <w:lang w:eastAsia="zh-CN"/>
                    </w:rPr>
                    <w:t>燃煤锅炉</w:t>
                  </w:r>
                  <w:r>
                    <w:rPr>
                      <w:rFonts w:hint="eastAsia"/>
                      <w:color w:val="auto"/>
                      <w:kern w:val="0"/>
                      <w:szCs w:val="21"/>
                      <w:highlight w:val="none"/>
                    </w:rPr>
                    <w:t>和散煤。到2025年，PM2.5未达标城市基本淘汰10蒸吨/小时及以下</w:t>
                  </w:r>
                  <w:r>
                    <w:rPr>
                      <w:rFonts w:hint="eastAsia"/>
                      <w:color w:val="auto"/>
                      <w:kern w:val="0"/>
                      <w:szCs w:val="21"/>
                      <w:highlight w:val="none"/>
                      <w:lang w:eastAsia="zh-CN"/>
                    </w:rPr>
                    <w:t>燃煤锅炉</w:t>
                  </w:r>
                  <w:r>
                    <w:rPr>
                      <w:rFonts w:hint="eastAsia"/>
                      <w:color w:val="auto"/>
                      <w:kern w:val="0"/>
                      <w:szCs w:val="21"/>
                      <w:highlight w:val="none"/>
                    </w:rPr>
                    <w:t>；重点区域基本淘汰35蒸吨/小时及以下</w:t>
                  </w:r>
                  <w:r>
                    <w:rPr>
                      <w:rFonts w:hint="eastAsia"/>
                      <w:color w:val="auto"/>
                      <w:kern w:val="0"/>
                      <w:szCs w:val="21"/>
                      <w:highlight w:val="none"/>
                      <w:lang w:eastAsia="zh-CN"/>
                    </w:rPr>
                    <w:t>燃煤锅炉</w:t>
                  </w:r>
                  <w:r>
                    <w:rPr>
                      <w:rFonts w:hint="eastAsia"/>
                      <w:color w:val="auto"/>
                      <w:kern w:val="0"/>
                      <w:szCs w:val="21"/>
                      <w:highlight w:val="none"/>
                    </w:rPr>
                    <w:t>及茶水炉、经营性炉灶、储粮烘干设备、农产品加工等燃煤设施，充分发挥30万千瓦及以上热电联产电厂的供热能力，对其供热半径30公里范围内的</w:t>
                  </w:r>
                  <w:r>
                    <w:rPr>
                      <w:rFonts w:hint="eastAsia"/>
                      <w:color w:val="auto"/>
                      <w:kern w:val="0"/>
                      <w:szCs w:val="21"/>
                      <w:highlight w:val="none"/>
                      <w:lang w:eastAsia="zh-CN"/>
                    </w:rPr>
                    <w:t>燃煤锅炉</w:t>
                  </w:r>
                  <w:r>
                    <w:rPr>
                      <w:rFonts w:hint="eastAsia"/>
                      <w:color w:val="auto"/>
                      <w:kern w:val="0"/>
                      <w:szCs w:val="21"/>
                      <w:highlight w:val="none"/>
                    </w:rPr>
                    <w:t>和落后燃煤小热电机组（含自备电厂）进行关停或整合。</w:t>
                  </w:r>
                </w:p>
              </w:tc>
              <w:tc>
                <w:tcPr>
                  <w:tcW w:w="3045" w:type="dxa"/>
                  <w:vAlign w:val="center"/>
                </w:tcPr>
                <w:p w14:paraId="7A135F2A">
                  <w:pPr>
                    <w:autoSpaceDE w:val="0"/>
                    <w:autoSpaceDN w:val="0"/>
                    <w:adjustRightInd w:val="0"/>
                    <w:snapToGrid w:val="0"/>
                    <w:jc w:val="left"/>
                    <w:rPr>
                      <w:color w:val="auto"/>
                      <w:kern w:val="0"/>
                      <w:szCs w:val="21"/>
                      <w:highlight w:val="none"/>
                    </w:rPr>
                  </w:pPr>
                  <w:r>
                    <w:rPr>
                      <w:rFonts w:hint="eastAsia"/>
                      <w:color w:val="auto"/>
                      <w:kern w:val="0"/>
                      <w:szCs w:val="21"/>
                      <w:highlight w:val="none"/>
                    </w:rPr>
                    <w:t>本项目为生物质</w:t>
                  </w:r>
                  <w:r>
                    <w:rPr>
                      <w:rFonts w:hint="eastAsia"/>
                      <w:color w:val="auto"/>
                      <w:kern w:val="0"/>
                      <w:szCs w:val="21"/>
                      <w:highlight w:val="none"/>
                      <w:lang w:eastAsia="zh-CN"/>
                    </w:rPr>
                    <w:t>蒸汽发生器</w:t>
                  </w:r>
                  <w:r>
                    <w:rPr>
                      <w:rFonts w:hint="eastAsia"/>
                      <w:color w:val="auto"/>
                      <w:kern w:val="0"/>
                      <w:szCs w:val="21"/>
                      <w:highlight w:val="none"/>
                    </w:rPr>
                    <w:t>，不涉及</w:t>
                  </w:r>
                  <w:r>
                    <w:rPr>
                      <w:rFonts w:hint="eastAsia"/>
                      <w:color w:val="auto"/>
                      <w:kern w:val="0"/>
                      <w:szCs w:val="21"/>
                      <w:highlight w:val="none"/>
                      <w:lang w:eastAsia="zh-CN"/>
                    </w:rPr>
                    <w:t>燃煤锅炉</w:t>
                  </w:r>
                  <w:r>
                    <w:rPr>
                      <w:rFonts w:hint="eastAsia"/>
                      <w:color w:val="auto"/>
                      <w:kern w:val="0"/>
                      <w:szCs w:val="21"/>
                      <w:highlight w:val="none"/>
                    </w:rPr>
                    <w:t>。</w:t>
                  </w:r>
                </w:p>
                <w:p w14:paraId="331442CC">
                  <w:pPr>
                    <w:autoSpaceDE w:val="0"/>
                    <w:autoSpaceDN w:val="0"/>
                    <w:adjustRightInd w:val="0"/>
                    <w:snapToGrid w:val="0"/>
                    <w:jc w:val="left"/>
                    <w:rPr>
                      <w:color w:val="auto"/>
                      <w:kern w:val="0"/>
                      <w:szCs w:val="21"/>
                      <w:highlight w:val="none"/>
                    </w:rPr>
                  </w:pPr>
                </w:p>
              </w:tc>
              <w:tc>
                <w:tcPr>
                  <w:tcW w:w="783" w:type="dxa"/>
                  <w:vAlign w:val="center"/>
                </w:tcPr>
                <w:p w14:paraId="41ED80C6">
                  <w:pPr>
                    <w:autoSpaceDE w:val="0"/>
                    <w:autoSpaceDN w:val="0"/>
                    <w:adjustRightInd w:val="0"/>
                    <w:snapToGrid w:val="0"/>
                    <w:jc w:val="left"/>
                    <w:rPr>
                      <w:color w:val="auto"/>
                      <w:kern w:val="0"/>
                      <w:szCs w:val="21"/>
                      <w:highlight w:val="none"/>
                    </w:rPr>
                  </w:pPr>
                  <w:r>
                    <w:rPr>
                      <w:rFonts w:hint="eastAsia"/>
                      <w:color w:val="auto"/>
                      <w:kern w:val="0"/>
                      <w:szCs w:val="21"/>
                      <w:highlight w:val="none"/>
                    </w:rPr>
                    <w:t>符合</w:t>
                  </w:r>
                </w:p>
              </w:tc>
            </w:tr>
            <w:tr w14:paraId="41CD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7659EA46">
                  <w:pPr>
                    <w:autoSpaceDE w:val="0"/>
                    <w:autoSpaceDN w:val="0"/>
                    <w:adjustRightInd w:val="0"/>
                    <w:snapToGrid w:val="0"/>
                    <w:jc w:val="left"/>
                    <w:rPr>
                      <w:color w:val="auto"/>
                      <w:kern w:val="0"/>
                      <w:szCs w:val="21"/>
                      <w:highlight w:val="none"/>
                    </w:rPr>
                  </w:pPr>
                  <w:r>
                    <w:rPr>
                      <w:rFonts w:hint="eastAsia"/>
                      <w:b/>
                      <w:bCs/>
                      <w:color w:val="auto"/>
                      <w:kern w:val="0"/>
                      <w:szCs w:val="21"/>
                      <w:highlight w:val="none"/>
                    </w:rPr>
                    <w:t>（十八）深化扬尘污染综合治理。</w:t>
                  </w:r>
                  <w:r>
                    <w:rPr>
                      <w:rFonts w:hint="eastAsia"/>
                      <w:color w:val="auto"/>
                      <w:kern w:val="0"/>
                      <w:szCs w:val="21"/>
                      <w:highlight w:val="none"/>
                    </w:rPr>
                    <w:t>鼓励经济发达地区5000平方米及以上建筑工地安装视频监控并接入当地监管平台；重点区域道路、水务等长距离线性工程实行分段施工。将防治扬尘污染费用纳入工程造价。到2025年，装配式建筑占新建建筑面积比例达30%；地级及以上城市建成区道路机械化清扫率达80%左右，县城达70%左右。对城市公共裸地进行排查建档并采取防尘措施。城市大型煤炭、矿石等干散货码头物料堆场基本完成抑尘设施建设和物料输送系统封闭改造。</w:t>
                  </w:r>
                </w:p>
              </w:tc>
              <w:tc>
                <w:tcPr>
                  <w:tcW w:w="3045" w:type="dxa"/>
                  <w:vAlign w:val="center"/>
                </w:tcPr>
                <w:p w14:paraId="30ED70A6">
                  <w:pPr>
                    <w:autoSpaceDE w:val="0"/>
                    <w:autoSpaceDN w:val="0"/>
                    <w:adjustRightInd w:val="0"/>
                    <w:snapToGrid w:val="0"/>
                    <w:jc w:val="left"/>
                    <w:rPr>
                      <w:color w:val="auto"/>
                      <w:kern w:val="0"/>
                      <w:szCs w:val="21"/>
                      <w:highlight w:val="none"/>
                    </w:rPr>
                  </w:pPr>
                  <w:r>
                    <w:rPr>
                      <w:rFonts w:hint="eastAsia"/>
                      <w:color w:val="auto"/>
                      <w:kern w:val="0"/>
                      <w:szCs w:val="21"/>
                      <w:highlight w:val="none"/>
                    </w:rPr>
                    <w:t>项目使用的生物质燃料为生物质燃料，且为袋装存放在封闭的</w:t>
                  </w:r>
                  <w:r>
                    <w:rPr>
                      <w:rFonts w:hint="eastAsia"/>
                      <w:color w:val="auto"/>
                      <w:kern w:val="0"/>
                      <w:szCs w:val="21"/>
                      <w:highlight w:val="none"/>
                      <w:lang w:val="en-US" w:eastAsia="zh-CN"/>
                    </w:rPr>
                    <w:t>厂房</w:t>
                  </w:r>
                  <w:r>
                    <w:rPr>
                      <w:rFonts w:hint="eastAsia"/>
                      <w:color w:val="auto"/>
                      <w:kern w:val="0"/>
                      <w:szCs w:val="21"/>
                      <w:highlight w:val="none"/>
                    </w:rPr>
                    <w:t>内，可减少粉尘排放量。</w:t>
                  </w:r>
                </w:p>
              </w:tc>
              <w:tc>
                <w:tcPr>
                  <w:tcW w:w="783" w:type="dxa"/>
                  <w:vAlign w:val="center"/>
                </w:tcPr>
                <w:p w14:paraId="0C9E1FEF">
                  <w:pPr>
                    <w:autoSpaceDE w:val="0"/>
                    <w:autoSpaceDN w:val="0"/>
                    <w:adjustRightInd w:val="0"/>
                    <w:snapToGrid w:val="0"/>
                    <w:jc w:val="left"/>
                    <w:rPr>
                      <w:color w:val="auto"/>
                      <w:kern w:val="0"/>
                      <w:szCs w:val="21"/>
                      <w:highlight w:val="none"/>
                    </w:rPr>
                  </w:pPr>
                  <w:r>
                    <w:rPr>
                      <w:rFonts w:hint="eastAsia"/>
                      <w:color w:val="auto"/>
                      <w:kern w:val="0"/>
                      <w:szCs w:val="21"/>
                      <w:highlight w:val="none"/>
                    </w:rPr>
                    <w:t>符合</w:t>
                  </w:r>
                </w:p>
              </w:tc>
            </w:tr>
            <w:tr w14:paraId="1A5E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576106A8">
                  <w:pPr>
                    <w:autoSpaceDE w:val="0"/>
                    <w:autoSpaceDN w:val="0"/>
                    <w:adjustRightInd w:val="0"/>
                    <w:snapToGrid w:val="0"/>
                    <w:jc w:val="left"/>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692463C5">
            <w:pPr>
              <w:autoSpaceDE w:val="0"/>
              <w:autoSpaceDN w:val="0"/>
              <w:adjustRightInd w:val="0"/>
              <w:snapToGrid w:val="0"/>
              <w:spacing w:line="360" w:lineRule="auto"/>
              <w:jc w:val="left"/>
              <w:rPr>
                <w:rFonts w:hint="eastAsia"/>
                <w:b/>
                <w:bCs/>
                <w:color w:val="auto"/>
                <w:kern w:val="0"/>
                <w:sz w:val="24"/>
                <w:highlight w:val="none"/>
                <w:lang w:val="en-US" w:eastAsia="zh-CN"/>
              </w:rPr>
            </w:pPr>
          </w:p>
          <w:p w14:paraId="0E0EAE82">
            <w:pPr>
              <w:autoSpaceDE w:val="0"/>
              <w:autoSpaceDN w:val="0"/>
              <w:adjustRightInd w:val="0"/>
              <w:snapToGrid w:val="0"/>
              <w:spacing w:line="360" w:lineRule="auto"/>
              <w:jc w:val="left"/>
              <w:rPr>
                <w:rFonts w:hint="eastAsia"/>
                <w:b/>
                <w:bCs/>
                <w:color w:val="auto"/>
                <w:kern w:val="0"/>
                <w:sz w:val="24"/>
                <w:highlight w:val="none"/>
                <w:lang w:val="en-US" w:eastAsia="zh-CN"/>
              </w:rPr>
            </w:pPr>
          </w:p>
          <w:p w14:paraId="6F1269E2">
            <w:pPr>
              <w:autoSpaceDE w:val="0"/>
              <w:autoSpaceDN w:val="0"/>
              <w:adjustRightInd w:val="0"/>
              <w:snapToGrid w:val="0"/>
              <w:spacing w:line="360" w:lineRule="auto"/>
              <w:jc w:val="left"/>
              <w:rPr>
                <w:rFonts w:hint="eastAsia"/>
                <w:b/>
                <w:bCs/>
                <w:color w:val="auto"/>
                <w:kern w:val="0"/>
                <w:sz w:val="24"/>
                <w:highlight w:val="none"/>
                <w:lang w:val="en-US" w:eastAsia="zh-CN"/>
              </w:rPr>
            </w:pPr>
          </w:p>
          <w:p w14:paraId="65BCE90E">
            <w:pPr>
              <w:autoSpaceDE w:val="0"/>
              <w:autoSpaceDN w:val="0"/>
              <w:adjustRightInd w:val="0"/>
              <w:snapToGrid w:val="0"/>
              <w:spacing w:line="360" w:lineRule="auto"/>
              <w:jc w:val="left"/>
              <w:rPr>
                <w:rFonts w:hint="eastAsia"/>
                <w:b/>
                <w:bCs/>
                <w:color w:val="auto"/>
                <w:kern w:val="0"/>
                <w:sz w:val="24"/>
                <w:highlight w:val="none"/>
                <w:lang w:val="en-US" w:eastAsia="zh-CN"/>
              </w:rPr>
            </w:pPr>
          </w:p>
          <w:p w14:paraId="776B5519">
            <w:pPr>
              <w:autoSpaceDE w:val="0"/>
              <w:autoSpaceDN w:val="0"/>
              <w:adjustRightInd w:val="0"/>
              <w:snapToGrid w:val="0"/>
              <w:spacing w:line="360" w:lineRule="auto"/>
              <w:jc w:val="left"/>
              <w:rPr>
                <w:rFonts w:hint="eastAsia"/>
                <w:b/>
                <w:bCs/>
                <w:color w:val="auto"/>
                <w:kern w:val="0"/>
                <w:sz w:val="24"/>
                <w:highlight w:val="none"/>
                <w:lang w:val="en-US" w:eastAsia="zh-CN"/>
              </w:rPr>
            </w:pPr>
          </w:p>
          <w:p w14:paraId="6C263D7A">
            <w:pPr>
              <w:autoSpaceDE w:val="0"/>
              <w:autoSpaceDN w:val="0"/>
              <w:adjustRightInd w:val="0"/>
              <w:snapToGrid w:val="0"/>
              <w:spacing w:line="360" w:lineRule="auto"/>
              <w:jc w:val="left"/>
              <w:rPr>
                <w:b/>
                <w:bCs/>
                <w:color w:val="auto"/>
                <w:kern w:val="0"/>
                <w:sz w:val="24"/>
                <w:highlight w:val="none"/>
              </w:rPr>
            </w:pPr>
            <w:r>
              <w:rPr>
                <w:rFonts w:hint="eastAsia"/>
                <w:b/>
                <w:bCs/>
                <w:color w:val="auto"/>
                <w:kern w:val="0"/>
                <w:sz w:val="24"/>
                <w:highlight w:val="none"/>
                <w:lang w:val="en-US" w:eastAsia="zh-CN"/>
              </w:rPr>
              <w:t>12</w:t>
            </w:r>
            <w:r>
              <w:rPr>
                <w:rFonts w:hint="eastAsia"/>
                <w:b/>
                <w:bCs/>
                <w:color w:val="auto"/>
                <w:kern w:val="0"/>
                <w:sz w:val="24"/>
                <w:highlight w:val="none"/>
              </w:rPr>
              <w:t>、与</w:t>
            </w:r>
            <w:bookmarkStart w:id="17" w:name="_Hlk161928095"/>
            <w:r>
              <w:rPr>
                <w:rFonts w:hint="eastAsia"/>
                <w:b/>
                <w:bCs/>
                <w:color w:val="auto"/>
                <w:kern w:val="0"/>
                <w:sz w:val="24"/>
                <w:highlight w:val="none"/>
              </w:rPr>
              <w:t>《云南省关于深入打好污染防治攻坚战实施方案》</w:t>
            </w:r>
            <w:bookmarkEnd w:id="17"/>
            <w:r>
              <w:rPr>
                <w:rFonts w:hint="eastAsia"/>
                <w:b/>
                <w:bCs/>
                <w:color w:val="auto"/>
                <w:kern w:val="0"/>
                <w:sz w:val="24"/>
                <w:highlight w:val="none"/>
              </w:rPr>
              <w:t>的符合性分析</w:t>
            </w:r>
          </w:p>
          <w:p w14:paraId="1671E3B0">
            <w:pPr>
              <w:autoSpaceDE w:val="0"/>
              <w:autoSpaceDN w:val="0"/>
              <w:adjustRightInd w:val="0"/>
              <w:snapToGrid w:val="0"/>
              <w:spacing w:line="360" w:lineRule="auto"/>
              <w:jc w:val="center"/>
              <w:rPr>
                <w:b/>
                <w:bCs/>
                <w:color w:val="auto"/>
                <w:kern w:val="0"/>
                <w:sz w:val="24"/>
                <w:highlight w:val="none"/>
              </w:rPr>
            </w:pPr>
            <w:r>
              <w:rPr>
                <w:rFonts w:hint="eastAsia"/>
                <w:b/>
                <w:bCs/>
                <w:color w:val="auto"/>
                <w:kern w:val="0"/>
                <w:sz w:val="24"/>
                <w:highlight w:val="none"/>
              </w:rPr>
              <w:t>表1-1</w:t>
            </w:r>
            <w:r>
              <w:rPr>
                <w:rFonts w:hint="eastAsia"/>
                <w:b/>
                <w:bCs/>
                <w:color w:val="auto"/>
                <w:kern w:val="0"/>
                <w:sz w:val="24"/>
                <w:highlight w:val="none"/>
                <w:lang w:val="en-US" w:eastAsia="zh-CN"/>
              </w:rPr>
              <w:t>1</w:t>
            </w:r>
            <w:r>
              <w:rPr>
                <w:rFonts w:hint="eastAsia"/>
                <w:b/>
                <w:bCs/>
                <w:color w:val="auto"/>
                <w:kern w:val="0"/>
                <w:sz w:val="24"/>
                <w:highlight w:val="none"/>
              </w:rPr>
              <w:t>项目与《云南省关于深入打好污染防治攻坚战实施方案》</w:t>
            </w:r>
          </w:p>
          <w:p w14:paraId="0777A785">
            <w:pPr>
              <w:autoSpaceDE w:val="0"/>
              <w:autoSpaceDN w:val="0"/>
              <w:adjustRightInd w:val="0"/>
              <w:snapToGrid w:val="0"/>
              <w:spacing w:line="360" w:lineRule="auto"/>
              <w:jc w:val="center"/>
              <w:rPr>
                <w:b/>
                <w:bCs/>
                <w:color w:val="auto"/>
                <w:kern w:val="0"/>
                <w:sz w:val="24"/>
                <w:highlight w:val="none"/>
              </w:rPr>
            </w:pPr>
            <w:r>
              <w:rPr>
                <w:rFonts w:hint="eastAsia"/>
                <w:b/>
                <w:bCs/>
                <w:color w:val="auto"/>
                <w:kern w:val="0"/>
                <w:sz w:val="24"/>
                <w:highlight w:val="none"/>
              </w:rPr>
              <w:t>相符性分析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390"/>
              <w:gridCol w:w="3030"/>
              <w:gridCol w:w="768"/>
            </w:tblGrid>
            <w:tr w14:paraId="19E1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9" w:type="dxa"/>
                  <w:vAlign w:val="center"/>
                </w:tcPr>
                <w:p w14:paraId="51AD0A19">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类别</w:t>
                  </w:r>
                </w:p>
              </w:tc>
              <w:tc>
                <w:tcPr>
                  <w:tcW w:w="3390" w:type="dxa"/>
                  <w:vAlign w:val="center"/>
                </w:tcPr>
                <w:p w14:paraId="6756CE53">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文件内容</w:t>
                  </w:r>
                </w:p>
              </w:tc>
              <w:tc>
                <w:tcPr>
                  <w:tcW w:w="3030" w:type="dxa"/>
                  <w:vAlign w:val="center"/>
                </w:tcPr>
                <w:p w14:paraId="7C05C344">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相符性分析</w:t>
                  </w:r>
                </w:p>
              </w:tc>
              <w:tc>
                <w:tcPr>
                  <w:tcW w:w="768" w:type="dxa"/>
                  <w:vAlign w:val="center"/>
                </w:tcPr>
                <w:p w14:paraId="203EB0AD">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符合性</w:t>
                  </w:r>
                </w:p>
              </w:tc>
            </w:tr>
            <w:tr w14:paraId="042A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99" w:type="dxa"/>
                  <w:vMerge w:val="restart"/>
                  <w:vAlign w:val="center"/>
                </w:tcPr>
                <w:p w14:paraId="37592953">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二、加 </w:t>
                  </w:r>
                </w:p>
                <w:p w14:paraId="07E79FCD">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快推 </w:t>
                  </w:r>
                </w:p>
                <w:p w14:paraId="37EEB80D">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动绿 </w:t>
                  </w:r>
                </w:p>
                <w:p w14:paraId="42CCBEF7">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色低 </w:t>
                  </w:r>
                </w:p>
                <w:p w14:paraId="602BC258">
                  <w:pPr>
                    <w:autoSpaceDE w:val="0"/>
                    <w:autoSpaceDN w:val="0"/>
                    <w:adjustRightInd w:val="0"/>
                    <w:snapToGrid w:val="0"/>
                    <w:jc w:val="center"/>
                    <w:rPr>
                      <w:b/>
                      <w:bCs/>
                      <w:color w:val="auto"/>
                      <w:kern w:val="0"/>
                      <w:szCs w:val="21"/>
                      <w:highlight w:val="none"/>
                    </w:rPr>
                  </w:pPr>
                  <w:r>
                    <w:rPr>
                      <w:b/>
                      <w:bCs/>
                      <w:color w:val="auto"/>
                      <w:kern w:val="0"/>
                      <w:szCs w:val="21"/>
                      <w:highlight w:val="none"/>
                    </w:rPr>
                    <w:t xml:space="preserve">碳发 </w:t>
                  </w:r>
                </w:p>
                <w:p w14:paraId="060DA55C">
                  <w:pPr>
                    <w:autoSpaceDE w:val="0"/>
                    <w:autoSpaceDN w:val="0"/>
                    <w:adjustRightInd w:val="0"/>
                    <w:snapToGrid w:val="0"/>
                    <w:jc w:val="center"/>
                    <w:rPr>
                      <w:b/>
                      <w:bCs/>
                      <w:color w:val="auto"/>
                      <w:kern w:val="0"/>
                      <w:szCs w:val="21"/>
                      <w:highlight w:val="none"/>
                    </w:rPr>
                  </w:pPr>
                  <w:r>
                    <w:rPr>
                      <w:b/>
                      <w:bCs/>
                      <w:color w:val="auto"/>
                      <w:kern w:val="0"/>
                      <w:szCs w:val="21"/>
                      <w:highlight w:val="none"/>
                    </w:rPr>
                    <w:t>展</w:t>
                  </w:r>
                </w:p>
              </w:tc>
              <w:tc>
                <w:tcPr>
                  <w:tcW w:w="3390" w:type="dxa"/>
                  <w:vAlign w:val="center"/>
                </w:tcPr>
                <w:p w14:paraId="0BC982A3">
                  <w:pPr>
                    <w:autoSpaceDE w:val="0"/>
                    <w:autoSpaceDN w:val="0"/>
                    <w:adjustRightInd w:val="0"/>
                    <w:snapToGrid w:val="0"/>
                    <w:jc w:val="left"/>
                    <w:rPr>
                      <w:rFonts w:hint="eastAsia" w:eastAsia="宋体"/>
                      <w:color w:val="auto"/>
                      <w:kern w:val="0"/>
                      <w:szCs w:val="21"/>
                      <w:highlight w:val="none"/>
                      <w:lang w:eastAsia="zh-CN"/>
                    </w:rPr>
                  </w:pPr>
                  <w:r>
                    <w:rPr>
                      <w:color w:val="auto"/>
                      <w:kern w:val="0"/>
                      <w:szCs w:val="21"/>
                      <w:highlight w:val="none"/>
                    </w:rPr>
                    <w:t>（四）推进清洁生产和能源资源</w:t>
                  </w:r>
                </w:p>
                <w:p w14:paraId="4779B46D">
                  <w:pPr>
                    <w:autoSpaceDE w:val="0"/>
                    <w:autoSpaceDN w:val="0"/>
                    <w:adjustRightInd w:val="0"/>
                    <w:snapToGrid w:val="0"/>
                    <w:jc w:val="left"/>
                    <w:rPr>
                      <w:color w:val="auto"/>
                      <w:kern w:val="0"/>
                      <w:szCs w:val="21"/>
                      <w:highlight w:val="none"/>
                    </w:rPr>
                  </w:pPr>
                  <w:r>
                    <w:rPr>
                      <w:color w:val="auto"/>
                      <w:kern w:val="0"/>
                      <w:szCs w:val="21"/>
                      <w:highlight w:val="none"/>
                    </w:rPr>
                    <w:t>节约高效利用。深入实施清洁生产改造，依法开展清洁生产审核。推进绿色能源与绿色制造融合发展。强化能源和水资源“双控”，加强重点领域节能，实施节水行动。</w:t>
                  </w:r>
                </w:p>
              </w:tc>
              <w:tc>
                <w:tcPr>
                  <w:tcW w:w="3030" w:type="dxa"/>
                  <w:vAlign w:val="center"/>
                </w:tcPr>
                <w:p w14:paraId="01C81697">
                  <w:pPr>
                    <w:autoSpaceDE w:val="0"/>
                    <w:autoSpaceDN w:val="0"/>
                    <w:adjustRightInd w:val="0"/>
                    <w:snapToGrid w:val="0"/>
                    <w:jc w:val="center"/>
                    <w:rPr>
                      <w:color w:val="auto"/>
                      <w:kern w:val="0"/>
                      <w:szCs w:val="21"/>
                      <w:highlight w:val="none"/>
                    </w:rPr>
                  </w:pPr>
                  <w:r>
                    <w:rPr>
                      <w:color w:val="auto"/>
                      <w:kern w:val="0"/>
                      <w:szCs w:val="21"/>
                      <w:highlight w:val="none"/>
                    </w:rPr>
                    <w:t>项目生产工艺及设备均满足清洁生产要求。</w:t>
                  </w:r>
                </w:p>
              </w:tc>
              <w:tc>
                <w:tcPr>
                  <w:tcW w:w="768" w:type="dxa"/>
                  <w:vAlign w:val="center"/>
                </w:tcPr>
                <w:p w14:paraId="7CCA8ED0">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3842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vAlign w:val="center"/>
                </w:tcPr>
                <w:p w14:paraId="02968350">
                  <w:pPr>
                    <w:autoSpaceDE w:val="0"/>
                    <w:autoSpaceDN w:val="0"/>
                    <w:adjustRightInd w:val="0"/>
                    <w:snapToGrid w:val="0"/>
                    <w:jc w:val="center"/>
                    <w:rPr>
                      <w:b/>
                      <w:bCs/>
                      <w:color w:val="auto"/>
                      <w:kern w:val="0"/>
                      <w:szCs w:val="21"/>
                      <w:highlight w:val="none"/>
                    </w:rPr>
                  </w:pPr>
                </w:p>
              </w:tc>
              <w:tc>
                <w:tcPr>
                  <w:tcW w:w="3390" w:type="dxa"/>
                  <w:vAlign w:val="center"/>
                </w:tcPr>
                <w:p w14:paraId="4DD46602">
                  <w:pPr>
                    <w:autoSpaceDE w:val="0"/>
                    <w:autoSpaceDN w:val="0"/>
                    <w:adjustRightInd w:val="0"/>
                    <w:snapToGrid w:val="0"/>
                    <w:jc w:val="left"/>
                    <w:rPr>
                      <w:rFonts w:hint="eastAsia" w:eastAsia="宋体"/>
                      <w:color w:val="auto"/>
                      <w:kern w:val="0"/>
                      <w:szCs w:val="21"/>
                      <w:highlight w:val="none"/>
                      <w:lang w:eastAsia="zh-CN"/>
                    </w:rPr>
                  </w:pPr>
                  <w:r>
                    <w:rPr>
                      <w:color w:val="auto"/>
                      <w:kern w:val="0"/>
                      <w:szCs w:val="21"/>
                      <w:highlight w:val="none"/>
                    </w:rPr>
                    <w:t>（五）加强生态环境分区管控。</w:t>
                  </w:r>
                </w:p>
                <w:p w14:paraId="0F0CF1DA">
                  <w:pPr>
                    <w:autoSpaceDE w:val="0"/>
                    <w:autoSpaceDN w:val="0"/>
                    <w:adjustRightInd w:val="0"/>
                    <w:snapToGrid w:val="0"/>
                    <w:jc w:val="left"/>
                    <w:rPr>
                      <w:color w:val="auto"/>
                      <w:kern w:val="0"/>
                      <w:szCs w:val="21"/>
                      <w:highlight w:val="none"/>
                    </w:rPr>
                  </w:pPr>
                  <w:r>
                    <w:rPr>
                      <w:color w:val="auto"/>
                      <w:kern w:val="0"/>
                      <w:szCs w:val="21"/>
                      <w:highlight w:val="none"/>
                    </w:rPr>
                    <w:t>优化生态环境分区管控格局，不断完善“三线一单”生态环境分区管控体系。开展重大经济技术政策的生态环境影响分析和重大生态环境政策的社会经济影响评估。</w:t>
                  </w:r>
                </w:p>
              </w:tc>
              <w:tc>
                <w:tcPr>
                  <w:tcW w:w="3030" w:type="dxa"/>
                  <w:vAlign w:val="center"/>
                </w:tcPr>
                <w:p w14:paraId="2673F5E5">
                  <w:pPr>
                    <w:autoSpaceDE w:val="0"/>
                    <w:autoSpaceDN w:val="0"/>
                    <w:adjustRightInd w:val="0"/>
                    <w:snapToGrid w:val="0"/>
                    <w:jc w:val="center"/>
                    <w:rPr>
                      <w:color w:val="auto"/>
                      <w:kern w:val="0"/>
                      <w:szCs w:val="21"/>
                      <w:highlight w:val="none"/>
                    </w:rPr>
                  </w:pPr>
                  <w:r>
                    <w:rPr>
                      <w:color w:val="auto"/>
                      <w:kern w:val="0"/>
                      <w:szCs w:val="21"/>
                      <w:highlight w:val="none"/>
                    </w:rPr>
                    <w:t>根据</w:t>
                  </w:r>
                  <w:r>
                    <w:rPr>
                      <w:rFonts w:hint="eastAsia"/>
                      <w:color w:val="auto"/>
                      <w:kern w:val="0"/>
                      <w:szCs w:val="21"/>
                      <w:highlight w:val="none"/>
                    </w:rPr>
                    <w:t>上</w:t>
                  </w:r>
                  <w:r>
                    <w:rPr>
                      <w:color w:val="auto"/>
                      <w:kern w:val="0"/>
                      <w:szCs w:val="21"/>
                      <w:highlight w:val="none"/>
                    </w:rPr>
                    <w:t>文分析，项目符合《玉溪市人民政府关于印发玉溪市“三线一单”生态环境分区管控实施意见的通知》（玉政发[2021]15号）中的要求；本项目正在办理环评手续，根据工程分析，建设及运营过程中在采取相应环保措施后，项目</w:t>
                  </w:r>
                </w:p>
                <w:p w14:paraId="28A9322C">
                  <w:pPr>
                    <w:autoSpaceDE w:val="0"/>
                    <w:autoSpaceDN w:val="0"/>
                    <w:adjustRightInd w:val="0"/>
                    <w:snapToGrid w:val="0"/>
                    <w:jc w:val="center"/>
                    <w:rPr>
                      <w:color w:val="auto"/>
                      <w:kern w:val="0"/>
                      <w:szCs w:val="21"/>
                      <w:highlight w:val="none"/>
                    </w:rPr>
                  </w:pPr>
                  <w:r>
                    <w:rPr>
                      <w:color w:val="auto"/>
                      <w:kern w:val="0"/>
                      <w:szCs w:val="21"/>
                      <w:highlight w:val="none"/>
                    </w:rPr>
                    <w:t>各类污染物均能达标排放，符合文件要求。</w:t>
                  </w:r>
                </w:p>
              </w:tc>
              <w:tc>
                <w:tcPr>
                  <w:tcW w:w="768" w:type="dxa"/>
                  <w:vAlign w:val="center"/>
                </w:tcPr>
                <w:p w14:paraId="0D91BBD2">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3BCF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vAlign w:val="center"/>
                </w:tcPr>
                <w:p w14:paraId="4F004D0D">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三、深</w:t>
                  </w:r>
                </w:p>
                <w:p w14:paraId="78C733AD">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入打</w:t>
                  </w:r>
                </w:p>
                <w:p w14:paraId="40BD66F5">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好蓝</w:t>
                  </w:r>
                </w:p>
                <w:p w14:paraId="221FEDB3">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天保</w:t>
                  </w:r>
                </w:p>
                <w:p w14:paraId="6BC70217">
                  <w:pPr>
                    <w:autoSpaceDE w:val="0"/>
                    <w:autoSpaceDN w:val="0"/>
                    <w:adjustRightInd w:val="0"/>
                    <w:snapToGrid w:val="0"/>
                    <w:jc w:val="center"/>
                    <w:rPr>
                      <w:b/>
                      <w:bCs/>
                      <w:color w:val="auto"/>
                      <w:kern w:val="0"/>
                      <w:szCs w:val="21"/>
                      <w:highlight w:val="none"/>
                    </w:rPr>
                  </w:pPr>
                  <w:r>
                    <w:rPr>
                      <w:b/>
                      <w:bCs/>
                      <w:color w:val="auto"/>
                      <w:kern w:val="0"/>
                      <w:szCs w:val="21"/>
                      <w:highlight w:val="none"/>
                    </w:rPr>
                    <w:t>卫战</w:t>
                  </w:r>
                </w:p>
              </w:tc>
              <w:tc>
                <w:tcPr>
                  <w:tcW w:w="3390" w:type="dxa"/>
                  <w:vAlign w:val="center"/>
                </w:tcPr>
                <w:p w14:paraId="565222D8">
                  <w:pPr>
                    <w:autoSpaceDE w:val="0"/>
                    <w:autoSpaceDN w:val="0"/>
                    <w:adjustRightInd w:val="0"/>
                    <w:snapToGrid w:val="0"/>
                    <w:jc w:val="left"/>
                    <w:rPr>
                      <w:color w:val="auto"/>
                      <w:kern w:val="0"/>
                      <w:szCs w:val="21"/>
                      <w:highlight w:val="none"/>
                    </w:rPr>
                  </w:pPr>
                  <w:r>
                    <w:rPr>
                      <w:rFonts w:hint="eastAsia"/>
                      <w:color w:val="auto"/>
                      <w:kern w:val="0"/>
                      <w:szCs w:val="21"/>
                      <w:highlight w:val="none"/>
                    </w:rPr>
                    <w:t>（二）深入打好建筑施工工地扬尘污染治理攻坚战。全面推行绿色施工，落实施工工地</w:t>
                  </w:r>
                  <w:r>
                    <w:rPr>
                      <w:color w:val="auto"/>
                      <w:kern w:val="0"/>
                      <w:szCs w:val="21"/>
                      <w:highlight w:val="none"/>
                    </w:rPr>
                    <w:t>“</w:t>
                  </w:r>
                  <w:r>
                    <w:rPr>
                      <w:rFonts w:hint="eastAsia"/>
                      <w:color w:val="auto"/>
                      <w:kern w:val="0"/>
                      <w:szCs w:val="21"/>
                      <w:highlight w:val="none"/>
                    </w:rPr>
                    <w:t>六个百分之百</w:t>
                  </w:r>
                  <w:r>
                    <w:rPr>
                      <w:color w:val="auto"/>
                      <w:kern w:val="0"/>
                      <w:szCs w:val="21"/>
                      <w:highlight w:val="none"/>
                    </w:rPr>
                    <w:t>”</w:t>
                  </w:r>
                  <w:r>
                    <w:rPr>
                      <w:rFonts w:hint="eastAsia"/>
                      <w:color w:val="auto"/>
                      <w:kern w:val="0"/>
                      <w:szCs w:val="21"/>
                      <w:highlight w:val="none"/>
                    </w:rPr>
                    <w:t>工作要求，推动扬尘精细化管控。加强建筑渣土运输管理，严格落实密闭运输措施。强化施工、道路、堆场、裸露地面等扬尘管控。</w:t>
                  </w:r>
                </w:p>
              </w:tc>
              <w:tc>
                <w:tcPr>
                  <w:tcW w:w="3030" w:type="dxa"/>
                  <w:vAlign w:val="center"/>
                </w:tcPr>
                <w:p w14:paraId="1680F2EA">
                  <w:pPr>
                    <w:autoSpaceDE w:val="0"/>
                    <w:autoSpaceDN w:val="0"/>
                    <w:adjustRightInd w:val="0"/>
                    <w:snapToGrid w:val="0"/>
                    <w:jc w:val="left"/>
                    <w:rPr>
                      <w:color w:val="auto"/>
                      <w:kern w:val="0"/>
                      <w:szCs w:val="21"/>
                      <w:highlight w:val="none"/>
                    </w:rPr>
                  </w:pPr>
                  <w:r>
                    <w:rPr>
                      <w:color w:val="auto"/>
                      <w:kern w:val="0"/>
                      <w:szCs w:val="21"/>
                      <w:highlight w:val="none"/>
                    </w:rPr>
                    <w:t>项目施工期严格执行“六个百分之百”措施，降低施工期扬尘造成的影响；项目运营期采取厂区内地面硬化，派专人定期进行路面</w:t>
                  </w:r>
                  <w:r>
                    <w:rPr>
                      <w:rFonts w:hint="eastAsia"/>
                      <w:color w:val="auto"/>
                      <w:kern w:val="0"/>
                      <w:szCs w:val="21"/>
                      <w:highlight w:val="none"/>
                    </w:rPr>
                    <w:t>清扫</w:t>
                  </w:r>
                  <w:r>
                    <w:rPr>
                      <w:color w:val="auto"/>
                      <w:kern w:val="0"/>
                      <w:szCs w:val="21"/>
                      <w:highlight w:val="none"/>
                    </w:rPr>
                    <w:t>、洒水降尘，运输车辆封闭遮盖，减少原材料的散落，厂区内运输严格控制车速等措施。</w:t>
                  </w:r>
                </w:p>
              </w:tc>
              <w:tc>
                <w:tcPr>
                  <w:tcW w:w="768" w:type="dxa"/>
                  <w:vAlign w:val="center"/>
                </w:tcPr>
                <w:p w14:paraId="7403AF06">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0668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99" w:type="dxa"/>
                  <w:vMerge w:val="continue"/>
                  <w:vAlign w:val="center"/>
                </w:tcPr>
                <w:p w14:paraId="2BCA4A42">
                  <w:pPr>
                    <w:autoSpaceDE w:val="0"/>
                    <w:autoSpaceDN w:val="0"/>
                    <w:adjustRightInd w:val="0"/>
                    <w:snapToGrid w:val="0"/>
                    <w:jc w:val="center"/>
                    <w:rPr>
                      <w:b/>
                      <w:bCs/>
                      <w:color w:val="auto"/>
                      <w:kern w:val="0"/>
                      <w:szCs w:val="21"/>
                      <w:highlight w:val="none"/>
                    </w:rPr>
                  </w:pPr>
                </w:p>
              </w:tc>
              <w:tc>
                <w:tcPr>
                  <w:tcW w:w="3390" w:type="dxa"/>
                  <w:vAlign w:val="center"/>
                </w:tcPr>
                <w:p w14:paraId="4DD67A26">
                  <w:pPr>
                    <w:autoSpaceDE w:val="0"/>
                    <w:autoSpaceDN w:val="0"/>
                    <w:adjustRightInd w:val="0"/>
                    <w:snapToGrid w:val="0"/>
                    <w:jc w:val="left"/>
                    <w:rPr>
                      <w:color w:val="auto"/>
                      <w:kern w:val="0"/>
                      <w:szCs w:val="21"/>
                      <w:highlight w:val="none"/>
                    </w:rPr>
                  </w:pPr>
                  <w:r>
                    <w:rPr>
                      <w:rFonts w:hint="eastAsia"/>
                      <w:color w:val="auto"/>
                      <w:kern w:val="0"/>
                      <w:szCs w:val="21"/>
                      <w:highlight w:val="none"/>
                    </w:rPr>
                    <w:t>（四）改善区域大气和声环境质量。持续开展春夏季攻坚行动，提升滇西南、滇南环境空气质量。完善滇中地区大气污染联防联控机制。加大餐饮油烟污染、恶臭异味治理力度。实施噪声污染防治行动，解决群众关心的噪声污染问题。</w:t>
                  </w:r>
                </w:p>
              </w:tc>
              <w:tc>
                <w:tcPr>
                  <w:tcW w:w="3030" w:type="dxa"/>
                  <w:vAlign w:val="center"/>
                </w:tcPr>
                <w:p w14:paraId="041FC82E">
                  <w:pPr>
                    <w:widowControl/>
                    <w:jc w:val="left"/>
                    <w:rPr>
                      <w:color w:val="auto"/>
                      <w:kern w:val="0"/>
                      <w:szCs w:val="21"/>
                      <w:highlight w:val="none"/>
                    </w:rPr>
                  </w:pPr>
                  <w:r>
                    <w:rPr>
                      <w:rFonts w:hint="eastAsia" w:ascii="宋体" w:hAnsi="宋体" w:cs="宋体"/>
                      <w:color w:val="auto"/>
                      <w:kern w:val="0"/>
                      <w:szCs w:val="21"/>
                      <w:highlight w:val="none"/>
                      <w:lang w:bidi="ar"/>
                    </w:rPr>
                    <w:t>项目</w:t>
                  </w:r>
                  <w:r>
                    <w:rPr>
                      <w:rFonts w:hint="eastAsia" w:ascii="宋体" w:hAnsi="宋体" w:cs="宋体"/>
                      <w:color w:val="auto"/>
                      <w:kern w:val="0"/>
                      <w:szCs w:val="21"/>
                      <w:highlight w:val="none"/>
                      <w:lang w:eastAsia="zh-CN" w:bidi="ar"/>
                    </w:rPr>
                    <w:t>蒸汽发生器</w:t>
                  </w:r>
                  <w:r>
                    <w:rPr>
                      <w:rFonts w:hint="eastAsia" w:ascii="宋体" w:hAnsi="宋体" w:cs="宋体"/>
                      <w:color w:val="auto"/>
                      <w:kern w:val="0"/>
                      <w:szCs w:val="21"/>
                      <w:highlight w:val="none"/>
                      <w:lang w:bidi="ar"/>
                    </w:rPr>
                    <w:t>采用</w:t>
                  </w:r>
                  <w:r>
                    <w:rPr>
                      <w:color w:val="auto"/>
                      <w:kern w:val="0"/>
                      <w:szCs w:val="21"/>
                      <w:highlight w:val="none"/>
                      <w:lang w:bidi="ar"/>
                    </w:rPr>
                    <w:t>“</w:t>
                  </w:r>
                  <w:r>
                    <w:rPr>
                      <w:rFonts w:hint="eastAsia"/>
                      <w:color w:val="auto"/>
                      <w:szCs w:val="21"/>
                      <w:highlight w:val="none"/>
                    </w:rPr>
                    <w:t>低氮燃烧技术+</w:t>
                  </w:r>
                  <w:r>
                    <w:rPr>
                      <w:rFonts w:hint="eastAsia" w:ascii="宋体" w:hAnsi="宋体" w:cs="宋体"/>
                      <w:color w:val="auto"/>
                      <w:kern w:val="0"/>
                      <w:szCs w:val="21"/>
                      <w:highlight w:val="none"/>
                      <w:lang w:bidi="ar"/>
                    </w:rPr>
                    <w:t>旋风除尘器</w:t>
                  </w:r>
                  <w:r>
                    <w:rPr>
                      <w:color w:val="auto"/>
                      <w:kern w:val="0"/>
                      <w:szCs w:val="21"/>
                      <w:highlight w:val="none"/>
                      <w:lang w:bidi="ar"/>
                    </w:rPr>
                    <w:t>+</w:t>
                  </w:r>
                  <w:r>
                    <w:rPr>
                      <w:rFonts w:hint="eastAsia" w:ascii="宋体" w:hAnsi="宋体" w:cs="宋体"/>
                      <w:color w:val="auto"/>
                      <w:kern w:val="0"/>
                      <w:szCs w:val="21"/>
                      <w:highlight w:val="none"/>
                      <w:lang w:bidi="ar"/>
                    </w:rPr>
                    <w:t>布袋除尘器</w:t>
                  </w:r>
                  <w:r>
                    <w:rPr>
                      <w:color w:val="auto"/>
                      <w:kern w:val="0"/>
                      <w:szCs w:val="21"/>
                      <w:highlight w:val="none"/>
                      <w:lang w:bidi="ar"/>
                    </w:rPr>
                    <w:t>”</w:t>
                  </w:r>
                  <w:r>
                    <w:rPr>
                      <w:rFonts w:hint="eastAsia" w:ascii="宋体" w:hAnsi="宋体" w:cs="宋体"/>
                      <w:color w:val="auto"/>
                      <w:kern w:val="0"/>
                      <w:szCs w:val="21"/>
                      <w:highlight w:val="none"/>
                      <w:lang w:bidi="ar"/>
                    </w:rPr>
                    <w:t>的治理措施，处理达到</w:t>
                  </w:r>
                  <w:r>
                    <w:rPr>
                      <w:rFonts w:hint="eastAsia" w:ascii="宋体" w:hAnsi="宋体" w:cs="宋体"/>
                      <w:color w:val="auto"/>
                      <w:kern w:val="0"/>
                      <w:szCs w:val="21"/>
                      <w:highlight w:val="none"/>
                      <w:lang w:eastAsia="zh-CN" w:bidi="ar"/>
                    </w:rPr>
                    <w:t>《锅炉大气污染物排放标准》（GB13271-2014）新建燃煤锅炉</w:t>
                  </w:r>
                  <w:r>
                    <w:rPr>
                      <w:rFonts w:hint="eastAsia" w:ascii="宋体" w:hAnsi="宋体" w:cs="宋体"/>
                      <w:color w:val="auto"/>
                      <w:kern w:val="0"/>
                      <w:szCs w:val="21"/>
                      <w:highlight w:val="none"/>
                      <w:lang w:bidi="ar"/>
                    </w:rPr>
                    <w:t>排放限值后，</w:t>
                  </w:r>
                  <w:r>
                    <w:rPr>
                      <w:color w:val="auto"/>
                      <w:kern w:val="0"/>
                      <w:szCs w:val="21"/>
                      <w:highlight w:val="none"/>
                      <w:lang w:bidi="ar"/>
                    </w:rPr>
                    <w:t>经</w:t>
                  </w:r>
                  <w:r>
                    <w:rPr>
                      <w:rFonts w:hint="eastAsia"/>
                      <w:color w:val="auto"/>
                      <w:kern w:val="0"/>
                      <w:szCs w:val="21"/>
                      <w:highlight w:val="none"/>
                      <w:lang w:val="en-US" w:eastAsia="zh-CN" w:bidi="ar"/>
                    </w:rPr>
                    <w:t>3</w:t>
                  </w:r>
                  <w:r>
                    <w:rPr>
                      <w:color w:val="auto"/>
                      <w:kern w:val="0"/>
                      <w:szCs w:val="21"/>
                      <w:highlight w:val="none"/>
                      <w:lang w:bidi="ar"/>
                    </w:rPr>
                    <w:t>5m</w:t>
                  </w:r>
                  <w:r>
                    <w:rPr>
                      <w:rFonts w:hint="eastAsia" w:ascii="宋体" w:hAnsi="宋体" w:cs="宋体"/>
                      <w:color w:val="auto"/>
                      <w:kern w:val="0"/>
                      <w:szCs w:val="21"/>
                      <w:highlight w:val="none"/>
                      <w:lang w:bidi="ar"/>
                    </w:rPr>
                    <w:t>高排气筒排放。</w:t>
                  </w:r>
                </w:p>
              </w:tc>
              <w:tc>
                <w:tcPr>
                  <w:tcW w:w="768" w:type="dxa"/>
                  <w:vAlign w:val="center"/>
                </w:tcPr>
                <w:p w14:paraId="6BA9EDC6">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34D0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1EE71D6">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四、深</w:t>
                  </w:r>
                </w:p>
                <w:p w14:paraId="1035A111">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入打</w:t>
                  </w:r>
                </w:p>
                <w:p w14:paraId="1C2A9F3E">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好碧</w:t>
                  </w:r>
                </w:p>
                <w:p w14:paraId="7ABC4B04">
                  <w:pPr>
                    <w:autoSpaceDE w:val="0"/>
                    <w:autoSpaceDN w:val="0"/>
                    <w:adjustRightInd w:val="0"/>
                    <w:snapToGrid w:val="0"/>
                    <w:jc w:val="center"/>
                    <w:rPr>
                      <w:rFonts w:hint="eastAsia" w:eastAsia="宋体"/>
                      <w:b/>
                      <w:bCs/>
                      <w:color w:val="auto"/>
                      <w:kern w:val="0"/>
                      <w:szCs w:val="21"/>
                      <w:highlight w:val="none"/>
                      <w:lang w:eastAsia="zh-CN"/>
                    </w:rPr>
                  </w:pPr>
                  <w:r>
                    <w:rPr>
                      <w:b/>
                      <w:bCs/>
                      <w:color w:val="auto"/>
                      <w:kern w:val="0"/>
                      <w:szCs w:val="21"/>
                      <w:highlight w:val="none"/>
                    </w:rPr>
                    <w:t>水保</w:t>
                  </w:r>
                </w:p>
                <w:p w14:paraId="1D44BF8B">
                  <w:pPr>
                    <w:autoSpaceDE w:val="0"/>
                    <w:autoSpaceDN w:val="0"/>
                    <w:adjustRightInd w:val="0"/>
                    <w:snapToGrid w:val="0"/>
                    <w:jc w:val="center"/>
                    <w:rPr>
                      <w:b/>
                      <w:bCs/>
                      <w:color w:val="auto"/>
                      <w:kern w:val="0"/>
                      <w:szCs w:val="21"/>
                      <w:highlight w:val="none"/>
                    </w:rPr>
                  </w:pPr>
                  <w:r>
                    <w:rPr>
                      <w:b/>
                      <w:bCs/>
                      <w:color w:val="auto"/>
                      <w:kern w:val="0"/>
                      <w:szCs w:val="21"/>
                      <w:highlight w:val="none"/>
                    </w:rPr>
                    <w:t>卫战</w:t>
                  </w:r>
                </w:p>
              </w:tc>
              <w:tc>
                <w:tcPr>
                  <w:tcW w:w="3390" w:type="dxa"/>
                  <w:vAlign w:val="center"/>
                </w:tcPr>
                <w:p w14:paraId="63FA148C">
                  <w:pPr>
                    <w:autoSpaceDE w:val="0"/>
                    <w:autoSpaceDN w:val="0"/>
                    <w:adjustRightInd w:val="0"/>
                    <w:snapToGrid w:val="0"/>
                    <w:jc w:val="left"/>
                    <w:rPr>
                      <w:color w:val="auto"/>
                      <w:kern w:val="0"/>
                      <w:szCs w:val="21"/>
                      <w:highlight w:val="none"/>
                    </w:rPr>
                  </w:pPr>
                  <w:r>
                    <w:rPr>
                      <w:color w:val="auto"/>
                      <w:kern w:val="0"/>
                      <w:szCs w:val="21"/>
                      <w:highlight w:val="none"/>
                    </w:rPr>
                    <w:t>（六）持续打好城市黑臭水体治理攻坚战。有效控制入河污染物排放，强化溯源整治，推进城镇污水管网全覆盖。因地制宜开展水体内源污染治理和生态修复。巩固城市黑臭水体整治成效，建立“长治久清”长效机制。</w:t>
                  </w:r>
                </w:p>
              </w:tc>
              <w:tc>
                <w:tcPr>
                  <w:tcW w:w="3030" w:type="dxa"/>
                  <w:vAlign w:val="center"/>
                </w:tcPr>
                <w:p w14:paraId="006024C2">
                  <w:pPr>
                    <w:autoSpaceDE w:val="0"/>
                    <w:autoSpaceDN w:val="0"/>
                    <w:adjustRightInd w:val="0"/>
                    <w:snapToGrid w:val="0"/>
                    <w:jc w:val="center"/>
                    <w:rPr>
                      <w:rFonts w:hint="eastAsia" w:eastAsia="宋体"/>
                      <w:color w:val="auto"/>
                      <w:kern w:val="0"/>
                      <w:szCs w:val="21"/>
                      <w:highlight w:val="none"/>
                      <w:lang w:eastAsia="zh-CN"/>
                    </w:rPr>
                  </w:pPr>
                  <w:r>
                    <w:rPr>
                      <w:color w:val="auto"/>
                      <w:kern w:val="0"/>
                      <w:szCs w:val="21"/>
                      <w:highlight w:val="none"/>
                    </w:rPr>
                    <w:t>项目实行雨污分流制度，项目</w:t>
                  </w:r>
                </w:p>
                <w:p w14:paraId="16059AB1">
                  <w:pPr>
                    <w:autoSpaceDE w:val="0"/>
                    <w:autoSpaceDN w:val="0"/>
                    <w:adjustRightInd w:val="0"/>
                    <w:snapToGrid w:val="0"/>
                    <w:jc w:val="left"/>
                    <w:rPr>
                      <w:color w:val="auto"/>
                      <w:kern w:val="0"/>
                      <w:szCs w:val="21"/>
                      <w:highlight w:val="none"/>
                    </w:rPr>
                  </w:pPr>
                  <w:r>
                    <w:rPr>
                      <w:rFonts w:hint="eastAsia"/>
                      <w:color w:val="auto"/>
                      <w:kern w:val="0"/>
                      <w:szCs w:val="21"/>
                      <w:highlight w:val="none"/>
                    </w:rPr>
                    <w:t>产生的</w:t>
                  </w:r>
                  <w:r>
                    <w:rPr>
                      <w:color w:val="auto"/>
                      <w:kern w:val="0"/>
                      <w:szCs w:val="21"/>
                      <w:highlight w:val="none"/>
                    </w:rPr>
                    <w:t>生产废水</w:t>
                  </w:r>
                  <w:r>
                    <w:rPr>
                      <w:rFonts w:hint="eastAsia"/>
                      <w:color w:val="auto"/>
                      <w:kern w:val="0"/>
                      <w:szCs w:val="21"/>
                      <w:highlight w:val="none"/>
                      <w:lang w:val="en-US" w:eastAsia="zh-CN"/>
                    </w:rPr>
                    <w:t>依托钧澄公司冷却循环水池冷却后回用于钧澄公司循环使用，生活污水依托钧澄公司化粪池处理后综合利用，废水不外排</w:t>
                  </w:r>
                  <w:r>
                    <w:rPr>
                      <w:color w:val="auto"/>
                      <w:kern w:val="0"/>
                      <w:szCs w:val="21"/>
                      <w:highlight w:val="none"/>
                    </w:rPr>
                    <w:t>。</w:t>
                  </w:r>
                </w:p>
              </w:tc>
              <w:tc>
                <w:tcPr>
                  <w:tcW w:w="768" w:type="dxa"/>
                  <w:vAlign w:val="center"/>
                </w:tcPr>
                <w:p w14:paraId="00056605">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7CC5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0697357">
                  <w:pPr>
                    <w:autoSpaceDE w:val="0"/>
                    <w:autoSpaceDN w:val="0"/>
                    <w:adjustRightInd w:val="0"/>
                    <w:snapToGrid w:val="0"/>
                    <w:jc w:val="left"/>
                    <w:rPr>
                      <w:rFonts w:hint="eastAsia" w:eastAsia="宋体"/>
                      <w:b/>
                      <w:bCs/>
                      <w:color w:val="auto"/>
                      <w:kern w:val="0"/>
                      <w:szCs w:val="21"/>
                      <w:highlight w:val="none"/>
                      <w:lang w:eastAsia="zh-CN"/>
                    </w:rPr>
                  </w:pPr>
                  <w:r>
                    <w:rPr>
                      <w:b/>
                      <w:bCs/>
                      <w:color w:val="auto"/>
                      <w:kern w:val="0"/>
                      <w:szCs w:val="21"/>
                      <w:highlight w:val="none"/>
                    </w:rPr>
                    <w:t>五、深</w:t>
                  </w:r>
                </w:p>
                <w:p w14:paraId="19A64CEC">
                  <w:pPr>
                    <w:autoSpaceDE w:val="0"/>
                    <w:autoSpaceDN w:val="0"/>
                    <w:adjustRightInd w:val="0"/>
                    <w:snapToGrid w:val="0"/>
                    <w:jc w:val="left"/>
                    <w:rPr>
                      <w:rFonts w:hint="eastAsia" w:eastAsia="宋体"/>
                      <w:b/>
                      <w:bCs/>
                      <w:color w:val="auto"/>
                      <w:kern w:val="0"/>
                      <w:szCs w:val="21"/>
                      <w:highlight w:val="none"/>
                      <w:lang w:eastAsia="zh-CN"/>
                    </w:rPr>
                  </w:pPr>
                  <w:r>
                    <w:rPr>
                      <w:b/>
                      <w:bCs/>
                      <w:color w:val="auto"/>
                      <w:kern w:val="0"/>
                      <w:szCs w:val="21"/>
                      <w:highlight w:val="none"/>
                    </w:rPr>
                    <w:t>入打</w:t>
                  </w:r>
                </w:p>
                <w:p w14:paraId="01061330">
                  <w:pPr>
                    <w:autoSpaceDE w:val="0"/>
                    <w:autoSpaceDN w:val="0"/>
                    <w:adjustRightInd w:val="0"/>
                    <w:snapToGrid w:val="0"/>
                    <w:jc w:val="left"/>
                    <w:rPr>
                      <w:rFonts w:hint="eastAsia" w:eastAsia="宋体"/>
                      <w:b/>
                      <w:bCs/>
                      <w:color w:val="auto"/>
                      <w:kern w:val="0"/>
                      <w:szCs w:val="21"/>
                      <w:highlight w:val="none"/>
                      <w:lang w:eastAsia="zh-CN"/>
                    </w:rPr>
                  </w:pPr>
                  <w:r>
                    <w:rPr>
                      <w:b/>
                      <w:bCs/>
                      <w:color w:val="auto"/>
                      <w:kern w:val="0"/>
                      <w:szCs w:val="21"/>
                      <w:highlight w:val="none"/>
                    </w:rPr>
                    <w:t>好净</w:t>
                  </w:r>
                </w:p>
                <w:p w14:paraId="4ACD8614">
                  <w:pPr>
                    <w:autoSpaceDE w:val="0"/>
                    <w:autoSpaceDN w:val="0"/>
                    <w:adjustRightInd w:val="0"/>
                    <w:snapToGrid w:val="0"/>
                    <w:jc w:val="left"/>
                    <w:rPr>
                      <w:rFonts w:hint="eastAsia" w:eastAsia="宋体"/>
                      <w:b/>
                      <w:bCs/>
                      <w:color w:val="auto"/>
                      <w:kern w:val="0"/>
                      <w:szCs w:val="21"/>
                      <w:highlight w:val="none"/>
                      <w:lang w:eastAsia="zh-CN"/>
                    </w:rPr>
                  </w:pPr>
                  <w:r>
                    <w:rPr>
                      <w:b/>
                      <w:bCs/>
                      <w:color w:val="auto"/>
                      <w:kern w:val="0"/>
                      <w:szCs w:val="21"/>
                      <w:highlight w:val="none"/>
                    </w:rPr>
                    <w:t>土保</w:t>
                  </w:r>
                </w:p>
                <w:p w14:paraId="35AB28C8">
                  <w:pPr>
                    <w:autoSpaceDE w:val="0"/>
                    <w:autoSpaceDN w:val="0"/>
                    <w:adjustRightInd w:val="0"/>
                    <w:snapToGrid w:val="0"/>
                    <w:jc w:val="left"/>
                    <w:rPr>
                      <w:b/>
                      <w:bCs/>
                      <w:color w:val="auto"/>
                      <w:kern w:val="0"/>
                      <w:szCs w:val="21"/>
                      <w:highlight w:val="none"/>
                    </w:rPr>
                  </w:pPr>
                  <w:r>
                    <w:rPr>
                      <w:b/>
                      <w:bCs/>
                      <w:color w:val="auto"/>
                      <w:kern w:val="0"/>
                      <w:szCs w:val="21"/>
                      <w:highlight w:val="none"/>
                    </w:rPr>
                    <w:t>卫战</w:t>
                  </w:r>
                </w:p>
              </w:tc>
              <w:tc>
                <w:tcPr>
                  <w:tcW w:w="3390" w:type="dxa"/>
                  <w:vAlign w:val="center"/>
                </w:tcPr>
                <w:p w14:paraId="247A83A9">
                  <w:pPr>
                    <w:autoSpaceDE w:val="0"/>
                    <w:autoSpaceDN w:val="0"/>
                    <w:adjustRightInd w:val="0"/>
                    <w:snapToGrid w:val="0"/>
                    <w:jc w:val="left"/>
                    <w:rPr>
                      <w:color w:val="auto"/>
                      <w:kern w:val="0"/>
                      <w:szCs w:val="21"/>
                      <w:highlight w:val="none"/>
                    </w:rPr>
                  </w:pPr>
                  <w:r>
                    <w:rPr>
                      <w:color w:val="auto"/>
                      <w:kern w:val="0"/>
                      <w:szCs w:val="21"/>
                      <w:highlight w:val="none"/>
                    </w:rPr>
                    <w:t>（七）强化地下水污染协同防治。持续开展地下水环境状况调查评估，加强地下水型饮用水水源补给区保护，开展地下水污染防治重点区划定及污染风险管控。</w:t>
                  </w:r>
                </w:p>
              </w:tc>
              <w:tc>
                <w:tcPr>
                  <w:tcW w:w="3030" w:type="dxa"/>
                  <w:vAlign w:val="center"/>
                </w:tcPr>
                <w:p w14:paraId="3CCCD4CB">
                  <w:pPr>
                    <w:autoSpaceDE w:val="0"/>
                    <w:autoSpaceDN w:val="0"/>
                    <w:adjustRightInd w:val="0"/>
                    <w:snapToGrid w:val="0"/>
                    <w:jc w:val="left"/>
                    <w:rPr>
                      <w:color w:val="auto"/>
                      <w:kern w:val="0"/>
                      <w:szCs w:val="21"/>
                      <w:highlight w:val="none"/>
                    </w:rPr>
                  </w:pPr>
                  <w:r>
                    <w:rPr>
                      <w:color w:val="auto"/>
                      <w:kern w:val="0"/>
                      <w:szCs w:val="21"/>
                      <w:highlight w:val="none"/>
                    </w:rPr>
                    <w:t>本项目选址不涉及各类饮用水水源保护区。项目按要求分区防渗，采取本次评价所提出的污染防范措施并加强管理后，可有效减少土壤及地下水环境受到的影响。</w:t>
                  </w:r>
                </w:p>
              </w:tc>
              <w:tc>
                <w:tcPr>
                  <w:tcW w:w="768" w:type="dxa"/>
                  <w:vAlign w:val="center"/>
                </w:tcPr>
                <w:p w14:paraId="0910492D">
                  <w:pPr>
                    <w:autoSpaceDE w:val="0"/>
                    <w:autoSpaceDN w:val="0"/>
                    <w:adjustRightInd w:val="0"/>
                    <w:snapToGrid w:val="0"/>
                    <w:jc w:val="center"/>
                    <w:rPr>
                      <w:color w:val="auto"/>
                      <w:kern w:val="0"/>
                      <w:szCs w:val="21"/>
                      <w:highlight w:val="none"/>
                    </w:rPr>
                  </w:pPr>
                  <w:r>
                    <w:rPr>
                      <w:rFonts w:hint="eastAsia"/>
                      <w:color w:val="auto"/>
                      <w:kern w:val="0"/>
                      <w:szCs w:val="21"/>
                      <w:highlight w:val="none"/>
                    </w:rPr>
                    <w:t>符合</w:t>
                  </w:r>
                </w:p>
              </w:tc>
            </w:tr>
            <w:tr w14:paraId="74A7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4"/>
                  <w:vAlign w:val="center"/>
                </w:tcPr>
                <w:p w14:paraId="24621405">
                  <w:pPr>
                    <w:autoSpaceDE w:val="0"/>
                    <w:autoSpaceDN w:val="0"/>
                    <w:adjustRightInd w:val="0"/>
                    <w:snapToGrid w:val="0"/>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579B1E37">
            <w:pPr>
              <w:autoSpaceDE w:val="0"/>
              <w:autoSpaceDN w:val="0"/>
              <w:spacing w:line="360" w:lineRule="auto"/>
              <w:jc w:val="left"/>
              <w:rPr>
                <w:rFonts w:hint="default"/>
                <w:b/>
                <w:bCs/>
                <w:color w:val="auto"/>
                <w:kern w:val="0"/>
                <w:sz w:val="24"/>
                <w:highlight w:val="none"/>
                <w:lang w:val="en-US" w:eastAsia="zh-CN"/>
              </w:rPr>
            </w:pPr>
            <w:r>
              <w:rPr>
                <w:rFonts w:hint="eastAsia"/>
                <w:b/>
                <w:bCs/>
                <w:color w:val="auto"/>
                <w:kern w:val="0"/>
                <w:sz w:val="24"/>
                <w:highlight w:val="none"/>
                <w:lang w:val="en-US" w:eastAsia="zh-CN"/>
              </w:rPr>
              <w:t>13</w:t>
            </w:r>
            <w:r>
              <w:rPr>
                <w:rFonts w:hint="eastAsia"/>
                <w:b/>
                <w:bCs/>
                <w:color w:val="auto"/>
                <w:kern w:val="0"/>
                <w:sz w:val="24"/>
                <w:highlight w:val="none"/>
              </w:rPr>
              <w:t>、</w:t>
            </w:r>
            <w:r>
              <w:rPr>
                <w:rFonts w:hint="eastAsia"/>
                <w:b/>
                <w:bCs/>
                <w:color w:val="auto"/>
                <w:kern w:val="0"/>
                <w:sz w:val="24"/>
                <w:highlight w:val="none"/>
                <w:lang w:val="en-US" w:eastAsia="zh-CN"/>
              </w:rPr>
              <w:t>与《云南省大气污染防治条例》的符合性分析</w:t>
            </w:r>
          </w:p>
          <w:p w14:paraId="75CAD8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2018年11月29日云南省第十三届人民代表大会常务委员会第七次会议通过《云南省大气污染防治条例》，自2019年1月1日起施行。条例中与项目相关的要求如下。</w:t>
            </w:r>
          </w:p>
          <w:p w14:paraId="1E7BAB77">
            <w:pPr>
              <w:autoSpaceDE w:val="0"/>
              <w:autoSpaceDN w:val="0"/>
              <w:adjustRightInd w:val="0"/>
              <w:snapToGrid w:val="0"/>
              <w:spacing w:line="360" w:lineRule="auto"/>
              <w:jc w:val="center"/>
              <w:rPr>
                <w:b/>
                <w:bCs/>
                <w:color w:val="auto"/>
                <w:kern w:val="0"/>
                <w:sz w:val="24"/>
                <w:highlight w:val="none"/>
              </w:rPr>
            </w:pPr>
            <w:r>
              <w:rPr>
                <w:rFonts w:hint="eastAsia"/>
                <w:b/>
                <w:bCs/>
                <w:color w:val="auto"/>
                <w:kern w:val="0"/>
                <w:sz w:val="24"/>
                <w:highlight w:val="none"/>
              </w:rPr>
              <w:t>表1-</w:t>
            </w:r>
            <w:r>
              <w:rPr>
                <w:rFonts w:hint="eastAsia"/>
                <w:b/>
                <w:bCs/>
                <w:color w:val="auto"/>
                <w:kern w:val="0"/>
                <w:sz w:val="24"/>
                <w:highlight w:val="none"/>
                <w:lang w:val="en-US" w:eastAsia="zh-CN"/>
              </w:rPr>
              <w:t xml:space="preserve">12  </w:t>
            </w:r>
            <w:r>
              <w:rPr>
                <w:rFonts w:hint="eastAsia"/>
                <w:b/>
                <w:bCs/>
                <w:color w:val="auto"/>
                <w:kern w:val="0"/>
                <w:sz w:val="24"/>
                <w:highlight w:val="none"/>
              </w:rPr>
              <w:t>项目与</w:t>
            </w:r>
            <w:r>
              <w:rPr>
                <w:rFonts w:hint="eastAsia"/>
                <w:b/>
                <w:bCs/>
                <w:color w:val="auto"/>
                <w:kern w:val="0"/>
                <w:sz w:val="24"/>
                <w:highlight w:val="none"/>
                <w:lang w:val="en-US" w:eastAsia="zh-CN"/>
              </w:rPr>
              <w:t>《云南省大气污染防治条例》</w:t>
            </w:r>
            <w:r>
              <w:rPr>
                <w:rFonts w:hint="eastAsia"/>
                <w:b/>
                <w:bCs/>
                <w:color w:val="auto"/>
                <w:kern w:val="0"/>
                <w:sz w:val="24"/>
                <w:highlight w:val="none"/>
              </w:rPr>
              <w:t>的符合性分析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3045"/>
              <w:gridCol w:w="783"/>
            </w:tblGrid>
            <w:tr w14:paraId="657E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012E6A2F">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文件内容</w:t>
                  </w:r>
                </w:p>
              </w:tc>
              <w:tc>
                <w:tcPr>
                  <w:tcW w:w="3045" w:type="dxa"/>
                  <w:vAlign w:val="center"/>
                </w:tcPr>
                <w:p w14:paraId="7EB812C2">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相符性分析</w:t>
                  </w:r>
                </w:p>
              </w:tc>
              <w:tc>
                <w:tcPr>
                  <w:tcW w:w="783" w:type="dxa"/>
                  <w:vAlign w:val="center"/>
                </w:tcPr>
                <w:p w14:paraId="5BCF3104">
                  <w:pPr>
                    <w:autoSpaceDE w:val="0"/>
                    <w:autoSpaceDN w:val="0"/>
                    <w:adjustRightInd w:val="0"/>
                    <w:snapToGrid w:val="0"/>
                    <w:jc w:val="center"/>
                    <w:rPr>
                      <w:b/>
                      <w:bCs/>
                      <w:color w:val="auto"/>
                      <w:kern w:val="0"/>
                      <w:szCs w:val="21"/>
                      <w:highlight w:val="none"/>
                    </w:rPr>
                  </w:pPr>
                  <w:r>
                    <w:rPr>
                      <w:rFonts w:hint="eastAsia"/>
                      <w:b/>
                      <w:bCs/>
                      <w:color w:val="auto"/>
                      <w:kern w:val="0"/>
                      <w:szCs w:val="21"/>
                      <w:highlight w:val="none"/>
                    </w:rPr>
                    <w:t>符合性</w:t>
                  </w:r>
                </w:p>
              </w:tc>
            </w:tr>
            <w:tr w14:paraId="4465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3812589B">
                  <w:pPr>
                    <w:autoSpaceDE w:val="0"/>
                    <w:autoSpaceDN w:val="0"/>
                    <w:adjustRightInd w:val="0"/>
                    <w:snapToGrid w:val="0"/>
                    <w:jc w:val="center"/>
                    <w:rPr>
                      <w:rFonts w:hint="eastAsia"/>
                      <w:b w:val="0"/>
                      <w:bCs w:val="0"/>
                      <w:color w:val="auto"/>
                      <w:kern w:val="0"/>
                      <w:szCs w:val="21"/>
                      <w:highlight w:val="none"/>
                    </w:rPr>
                  </w:pPr>
                  <w:r>
                    <w:rPr>
                      <w:rFonts w:hint="eastAsia"/>
                      <w:b w:val="0"/>
                      <w:bCs w:val="0"/>
                      <w:color w:val="auto"/>
                      <w:kern w:val="0"/>
                      <w:szCs w:val="21"/>
                      <w:highlight w:val="none"/>
                    </w:rPr>
                    <w:t>第九条按照国家有关规定依法实行排污许可管理的单位，应当取得排污许可证，并按照排污许可证的规定排放大气污染物，禁止无排污许可证或者不按照排污许可证的规定排放大气污染物。</w:t>
                  </w:r>
                </w:p>
              </w:tc>
              <w:tc>
                <w:tcPr>
                  <w:tcW w:w="3045" w:type="dxa"/>
                  <w:vAlign w:val="center"/>
                </w:tcPr>
                <w:p w14:paraId="4CA71673">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根据《固定污染源排污许可分类管理名录》（2019年版），本项目实行排污许可简化管理。本项目建成后将依法申请办理排污许可证。</w:t>
                  </w:r>
                </w:p>
              </w:tc>
              <w:tc>
                <w:tcPr>
                  <w:tcW w:w="783" w:type="dxa"/>
                  <w:vAlign w:val="center"/>
                </w:tcPr>
                <w:p w14:paraId="371030B5">
                  <w:pPr>
                    <w:autoSpaceDE w:val="0"/>
                    <w:autoSpaceDN w:val="0"/>
                    <w:adjustRightInd w:val="0"/>
                    <w:snapToGrid w:val="0"/>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954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286ECD1A">
                  <w:pPr>
                    <w:autoSpaceDE w:val="0"/>
                    <w:autoSpaceDN w:val="0"/>
                    <w:adjustRightInd w:val="0"/>
                    <w:snapToGrid w:val="0"/>
                    <w:jc w:val="center"/>
                    <w:rPr>
                      <w:rFonts w:hint="eastAsia"/>
                      <w:b w:val="0"/>
                      <w:bCs w:val="0"/>
                      <w:color w:val="auto"/>
                      <w:kern w:val="0"/>
                      <w:szCs w:val="21"/>
                      <w:highlight w:val="none"/>
                    </w:rPr>
                  </w:pPr>
                  <w:r>
                    <w:rPr>
                      <w:rFonts w:hint="eastAsia"/>
                      <w:b w:val="0"/>
                      <w:bCs w:val="0"/>
                      <w:color w:val="auto"/>
                      <w:kern w:val="0"/>
                      <w:szCs w:val="21"/>
                      <w:highlight w:val="none"/>
                    </w:rPr>
                    <w:t>第十条本省实行重点大气污染物排放总量控制制度，逐步削减重点大气污染物排放总量。</w:t>
                  </w:r>
                </w:p>
              </w:tc>
              <w:tc>
                <w:tcPr>
                  <w:tcW w:w="3045" w:type="dxa"/>
                  <w:vAlign w:val="center"/>
                </w:tcPr>
                <w:p w14:paraId="520F20BD">
                  <w:pPr>
                    <w:autoSpaceDE w:val="0"/>
                    <w:autoSpaceDN w:val="0"/>
                    <w:adjustRightInd w:val="0"/>
                    <w:snapToGrid w:val="0"/>
                    <w:jc w:val="left"/>
                    <w:rPr>
                      <w:rFonts w:hint="eastAsia" w:eastAsia="宋体"/>
                      <w:b w:val="0"/>
                      <w:bCs w:val="0"/>
                      <w:color w:val="auto"/>
                      <w:kern w:val="0"/>
                      <w:szCs w:val="21"/>
                      <w:highlight w:val="none"/>
                      <w:lang w:val="en-US" w:eastAsia="zh-CN"/>
                    </w:rPr>
                  </w:pPr>
                  <w:r>
                    <w:rPr>
                      <w:rFonts w:hint="eastAsia"/>
                      <w:color w:val="auto"/>
                      <w:szCs w:val="21"/>
                      <w:highlight w:val="none"/>
                      <w:lang w:val="en-US" w:eastAsia="zh-CN"/>
                    </w:rPr>
                    <w:t>本项目总量控制指标为：颗粒物0.101t/a、SO</w:t>
                  </w:r>
                  <w:r>
                    <w:rPr>
                      <w:rFonts w:hint="eastAsia"/>
                      <w:color w:val="auto"/>
                      <w:szCs w:val="21"/>
                      <w:highlight w:val="none"/>
                      <w:vertAlign w:val="subscript"/>
                      <w:lang w:val="en-US" w:eastAsia="zh-CN"/>
                    </w:rPr>
                    <w:t>2</w:t>
                  </w:r>
                  <w:r>
                    <w:rPr>
                      <w:rFonts w:hint="eastAsia"/>
                      <w:color w:val="auto"/>
                      <w:szCs w:val="21"/>
                      <w:highlight w:val="none"/>
                      <w:lang w:val="en-US" w:eastAsia="zh-CN"/>
                    </w:rPr>
                    <w:t>0.077t/a、NOx2.225t/a</w:t>
                  </w:r>
                  <w:r>
                    <w:rPr>
                      <w:rFonts w:hint="eastAsia"/>
                      <w:color w:val="auto"/>
                      <w:kern w:val="24"/>
                      <w:sz w:val="21"/>
                      <w:szCs w:val="21"/>
                      <w:lang w:eastAsia="zh-CN"/>
                    </w:rPr>
                    <w:t>。</w:t>
                  </w:r>
                </w:p>
              </w:tc>
              <w:tc>
                <w:tcPr>
                  <w:tcW w:w="783" w:type="dxa"/>
                  <w:vAlign w:val="center"/>
                </w:tcPr>
                <w:p w14:paraId="79109CE3">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DB4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9" w:type="dxa"/>
                  <w:vAlign w:val="center"/>
                </w:tcPr>
                <w:p w14:paraId="7BBFA6F3">
                  <w:pPr>
                    <w:autoSpaceDE w:val="0"/>
                    <w:autoSpaceDN w:val="0"/>
                    <w:adjustRightInd w:val="0"/>
                    <w:snapToGrid w:val="0"/>
                    <w:jc w:val="left"/>
                    <w:rPr>
                      <w:rFonts w:hint="eastAsia"/>
                      <w:b w:val="0"/>
                      <w:bCs w:val="0"/>
                      <w:color w:val="auto"/>
                      <w:kern w:val="0"/>
                      <w:szCs w:val="21"/>
                      <w:highlight w:val="none"/>
                    </w:rPr>
                  </w:pPr>
                  <w:r>
                    <w:rPr>
                      <w:rFonts w:hint="eastAsia"/>
                      <w:b w:val="0"/>
                      <w:bCs w:val="0"/>
                      <w:color w:val="auto"/>
                      <w:kern w:val="0"/>
                      <w:szCs w:val="21"/>
                      <w:highlight w:val="none"/>
                    </w:rPr>
                    <w:t>第十四条向大气排放污染物的企业事业单位和其他生产经营者应当按照有关规定设置大气污染物排放口。</w:t>
                  </w:r>
                </w:p>
                <w:p w14:paraId="4671C0B2">
                  <w:pPr>
                    <w:autoSpaceDE w:val="0"/>
                    <w:autoSpaceDN w:val="0"/>
                    <w:adjustRightInd w:val="0"/>
                    <w:snapToGrid w:val="0"/>
                    <w:jc w:val="left"/>
                    <w:rPr>
                      <w:rFonts w:hint="eastAsia"/>
                      <w:b w:val="0"/>
                      <w:bCs w:val="0"/>
                      <w:color w:val="auto"/>
                      <w:kern w:val="0"/>
                      <w:szCs w:val="21"/>
                      <w:highlight w:val="none"/>
                    </w:rPr>
                  </w:pPr>
                  <w:r>
                    <w:rPr>
                      <w:rFonts w:hint="eastAsia"/>
                      <w:b w:val="0"/>
                      <w:bCs w:val="0"/>
                      <w:color w:val="auto"/>
                      <w:kern w:val="0"/>
                      <w:szCs w:val="21"/>
                      <w:highlight w:val="none"/>
                    </w:rPr>
                    <w:t>根据国家规定开展自行监测的排污单位应当对监测数据的真实性、准确性负责，自行监测的原始记录保存期限不得少于3年。</w:t>
                  </w:r>
                </w:p>
              </w:tc>
              <w:tc>
                <w:tcPr>
                  <w:tcW w:w="3045" w:type="dxa"/>
                  <w:vAlign w:val="center"/>
                </w:tcPr>
                <w:p w14:paraId="3353C1D6">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本项目3组生物质蒸发器设有1个废气排放口，项目已按照排污许可自行监测要求开展自行监测。将对</w:t>
                  </w:r>
                  <w:r>
                    <w:rPr>
                      <w:rFonts w:hint="eastAsia"/>
                      <w:b w:val="0"/>
                      <w:bCs w:val="0"/>
                      <w:color w:val="auto"/>
                      <w:kern w:val="0"/>
                      <w:szCs w:val="21"/>
                      <w:highlight w:val="none"/>
                    </w:rPr>
                    <w:t>原始</w:t>
                  </w:r>
                  <w:r>
                    <w:rPr>
                      <w:rFonts w:hint="eastAsia"/>
                      <w:b w:val="0"/>
                      <w:bCs w:val="0"/>
                      <w:color w:val="auto"/>
                      <w:kern w:val="0"/>
                      <w:szCs w:val="21"/>
                      <w:highlight w:val="none"/>
                      <w:lang w:val="en-US" w:eastAsia="zh-CN"/>
                    </w:rPr>
                    <w:t>自行监测</w:t>
                  </w:r>
                  <w:r>
                    <w:rPr>
                      <w:rFonts w:hint="eastAsia"/>
                      <w:b w:val="0"/>
                      <w:bCs w:val="0"/>
                      <w:color w:val="auto"/>
                      <w:kern w:val="0"/>
                      <w:szCs w:val="21"/>
                      <w:highlight w:val="none"/>
                    </w:rPr>
                    <w:t>记录</w:t>
                  </w:r>
                  <w:r>
                    <w:rPr>
                      <w:rFonts w:hint="eastAsia"/>
                      <w:b w:val="0"/>
                      <w:bCs w:val="0"/>
                      <w:color w:val="auto"/>
                      <w:kern w:val="0"/>
                      <w:szCs w:val="21"/>
                      <w:highlight w:val="none"/>
                      <w:lang w:val="en-US" w:eastAsia="zh-CN"/>
                    </w:rPr>
                    <w:t>进行保存</w:t>
                  </w:r>
                  <w:r>
                    <w:rPr>
                      <w:rFonts w:hint="eastAsia"/>
                      <w:b w:val="0"/>
                      <w:bCs w:val="0"/>
                      <w:color w:val="auto"/>
                      <w:kern w:val="0"/>
                      <w:szCs w:val="21"/>
                      <w:highlight w:val="none"/>
                    </w:rPr>
                    <w:t>。</w:t>
                  </w:r>
                </w:p>
              </w:tc>
              <w:tc>
                <w:tcPr>
                  <w:tcW w:w="783" w:type="dxa"/>
                  <w:vAlign w:val="center"/>
                </w:tcPr>
                <w:p w14:paraId="38BABF31">
                  <w:pPr>
                    <w:autoSpaceDE w:val="0"/>
                    <w:autoSpaceDN w:val="0"/>
                    <w:adjustRightInd w:val="0"/>
                    <w:snapToGrid w:val="0"/>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5637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59C3D549">
                  <w:pPr>
                    <w:autoSpaceDE w:val="0"/>
                    <w:autoSpaceDN w:val="0"/>
                    <w:adjustRightInd w:val="0"/>
                    <w:snapToGrid w:val="0"/>
                    <w:jc w:val="center"/>
                    <w:rPr>
                      <w:rFonts w:hint="eastAsia"/>
                      <w:b w:val="0"/>
                      <w:bCs w:val="0"/>
                      <w:color w:val="auto"/>
                      <w:kern w:val="0"/>
                      <w:szCs w:val="21"/>
                      <w:highlight w:val="none"/>
                    </w:rPr>
                  </w:pPr>
                  <w:r>
                    <w:rPr>
                      <w:rFonts w:hint="eastAsia"/>
                      <w:b w:val="0"/>
                      <w:bCs w:val="0"/>
                      <w:color w:val="auto"/>
                      <w:kern w:val="0"/>
                      <w:szCs w:val="21"/>
                      <w:highlight w:val="none"/>
                    </w:rPr>
                    <w:t>第十九条县级以上人民政府应当采取措施优化能源结构，推广利用清洁能源。推进生产和生活领域的以气代煤、以电代煤、以电代柴。加快天然气基础设施建设，增加天然气使用量，实现煤炭减量替代。</w:t>
                  </w:r>
                </w:p>
                <w:p w14:paraId="47FF5420">
                  <w:pPr>
                    <w:autoSpaceDE w:val="0"/>
                    <w:autoSpaceDN w:val="0"/>
                    <w:adjustRightInd w:val="0"/>
                    <w:snapToGrid w:val="0"/>
                    <w:jc w:val="center"/>
                    <w:rPr>
                      <w:rFonts w:hint="eastAsia"/>
                      <w:b w:val="0"/>
                      <w:bCs w:val="0"/>
                      <w:color w:val="auto"/>
                      <w:kern w:val="0"/>
                      <w:szCs w:val="21"/>
                      <w:highlight w:val="none"/>
                    </w:rPr>
                  </w:pPr>
                  <w:r>
                    <w:rPr>
                      <w:rFonts w:hint="eastAsia"/>
                      <w:color w:val="auto"/>
                    </w:rPr>
                    <w:t>支持现有各类工业园区与工业集中区有供热需求的实施热电联产或者集中供热改造，具备条件的工业园区实现集中供热。</w:t>
                  </w:r>
                </w:p>
              </w:tc>
              <w:tc>
                <w:tcPr>
                  <w:tcW w:w="3045" w:type="dxa"/>
                  <w:vAlign w:val="center"/>
                </w:tcPr>
                <w:p w14:paraId="7AE65047">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本项目建设3组生物质蒸汽发生器，燃料使用生物质，建成后将对原厂区进行供热，替代</w:t>
                  </w:r>
                  <w:r>
                    <w:rPr>
                      <w:rFonts w:hint="eastAsia"/>
                      <w:color w:val="auto"/>
                      <w:szCs w:val="21"/>
                      <w:highlight w:val="none"/>
                      <w:lang w:val="en-US" w:eastAsia="zh-CN"/>
                    </w:rPr>
                    <w:t>钧澄公司原配套的1台4t。</w:t>
                  </w:r>
                </w:p>
              </w:tc>
              <w:tc>
                <w:tcPr>
                  <w:tcW w:w="783" w:type="dxa"/>
                  <w:vAlign w:val="center"/>
                </w:tcPr>
                <w:p w14:paraId="361C7E94">
                  <w:pPr>
                    <w:autoSpaceDE w:val="0"/>
                    <w:autoSpaceDN w:val="0"/>
                    <w:adjustRightInd w:val="0"/>
                    <w:snapToGrid w:val="0"/>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030B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71EE20A0">
                  <w:pPr>
                    <w:numPr>
                      <w:ilvl w:val="0"/>
                      <w:numId w:val="0"/>
                    </w:numPr>
                    <w:autoSpaceDE w:val="0"/>
                    <w:autoSpaceDN w:val="0"/>
                    <w:adjustRightInd w:val="0"/>
                    <w:snapToGrid w:val="0"/>
                    <w:jc w:val="both"/>
                    <w:rPr>
                      <w:rFonts w:hint="eastAsia"/>
                      <w:b w:val="0"/>
                      <w:bCs w:val="0"/>
                      <w:color w:val="auto"/>
                      <w:kern w:val="0"/>
                      <w:szCs w:val="21"/>
                      <w:highlight w:val="none"/>
                    </w:rPr>
                  </w:pPr>
                  <w:r>
                    <w:rPr>
                      <w:rFonts w:hint="eastAsia"/>
                      <w:b w:val="0"/>
                      <w:bCs w:val="0"/>
                      <w:color w:val="auto"/>
                      <w:kern w:val="0"/>
                      <w:szCs w:val="21"/>
                      <w:highlight w:val="none"/>
                    </w:rPr>
                    <w:t>第二十条城市人民政府可以划定并公布高污染燃料禁燃区，并根据大气环境质量改善要求，逐步扩大高污染燃料禁燃区范围。</w:t>
                  </w:r>
                </w:p>
                <w:p w14:paraId="092D7124">
                  <w:pPr>
                    <w:numPr>
                      <w:ilvl w:val="0"/>
                      <w:numId w:val="0"/>
                    </w:numPr>
                    <w:autoSpaceDE w:val="0"/>
                    <w:autoSpaceDN w:val="0"/>
                    <w:adjustRightInd w:val="0"/>
                    <w:snapToGrid w:val="0"/>
                    <w:jc w:val="both"/>
                    <w:rPr>
                      <w:rFonts w:hint="eastAsia"/>
                      <w:b w:val="0"/>
                      <w:bCs w:val="0"/>
                      <w:color w:val="auto"/>
                      <w:kern w:val="0"/>
                      <w:szCs w:val="21"/>
                      <w:highlight w:val="none"/>
                    </w:rPr>
                  </w:pPr>
                  <w:r>
                    <w:rPr>
                      <w:rFonts w:hint="eastAsia"/>
                      <w:b w:val="0"/>
                      <w:bCs w:val="0"/>
                      <w:color w:val="auto"/>
                      <w:kern w:val="0"/>
                      <w:szCs w:val="21"/>
                      <w:highlight w:val="none"/>
                    </w:rPr>
                    <w:t>在禁燃区内，禁止销售、燃用高污染燃料；禁止新建、扩建燃用高污染燃料的设施，已建成的，应当在城市人民政府规定的期限内改用天然气、液化石油气、电或者其他清洁能源。</w:t>
                  </w:r>
                </w:p>
                <w:p w14:paraId="64BA3450">
                  <w:pPr>
                    <w:numPr>
                      <w:ilvl w:val="0"/>
                      <w:numId w:val="0"/>
                    </w:numPr>
                    <w:autoSpaceDE w:val="0"/>
                    <w:autoSpaceDN w:val="0"/>
                    <w:adjustRightInd w:val="0"/>
                    <w:snapToGrid w:val="0"/>
                    <w:jc w:val="both"/>
                    <w:rPr>
                      <w:rFonts w:hint="eastAsia"/>
                      <w:b/>
                      <w:bCs/>
                      <w:color w:val="auto"/>
                      <w:kern w:val="0"/>
                      <w:szCs w:val="21"/>
                      <w:highlight w:val="none"/>
                    </w:rPr>
                  </w:pPr>
                </w:p>
              </w:tc>
              <w:tc>
                <w:tcPr>
                  <w:tcW w:w="3045" w:type="dxa"/>
                  <w:vAlign w:val="center"/>
                </w:tcPr>
                <w:p w14:paraId="575B2939">
                  <w:pPr>
                    <w:autoSpaceDE w:val="0"/>
                    <w:autoSpaceDN w:val="0"/>
                    <w:adjustRightInd w:val="0"/>
                    <w:snapToGrid w:val="0"/>
                    <w:jc w:val="center"/>
                    <w:rPr>
                      <w:rFonts w:hint="default" w:eastAsia="宋体"/>
                      <w:b w:val="0"/>
                      <w:bCs w:val="0"/>
                      <w:color w:val="auto"/>
                      <w:kern w:val="0"/>
                      <w:szCs w:val="21"/>
                      <w:highlight w:val="none"/>
                      <w:lang w:val="en-US" w:eastAsia="zh-CN"/>
                    </w:rPr>
                  </w:pPr>
                  <w:r>
                    <w:rPr>
                      <w:rFonts w:hint="eastAsia"/>
                      <w:color w:val="auto"/>
                      <w:highlight w:val="none"/>
                      <w:lang w:val="en-US" w:eastAsia="zh-CN"/>
                    </w:rPr>
                    <w:t>根据《玉溪市红塔区人民政府关于进一步扩大高污染燃料禁燃区的通知》，红塔区禁燃区内禁止燃用的燃料类别采用《高污染燃料目录》中I类燃料组合，具体为：（一）单台出力小于20蒸吨/小时的锅炉和民用燃煤设备燃用的：含硫量大于0.5%、灰分大于10%的煤炭及其制品；含硫量大于0.5%、挥发分大于12.0%的型煤；含硫量大于0.5%、灰分大于10.0%、挥发分大于5.0%的焦炭；含硫量大于0.5%、灰分大于10.0%、挥发分大于10.0%的兰炭；（二）石油焦、油页岩、原油、重油、渣油、煤焦油。本项目不在禁燃区内，生物质蒸汽发生器燃料采用生物质成型燃料，不属于红塔区禁燃区内禁止燃用的燃料。</w:t>
                  </w:r>
                </w:p>
              </w:tc>
              <w:tc>
                <w:tcPr>
                  <w:tcW w:w="783" w:type="dxa"/>
                  <w:vAlign w:val="center"/>
                </w:tcPr>
                <w:p w14:paraId="4F4B866B">
                  <w:pPr>
                    <w:autoSpaceDE w:val="0"/>
                    <w:autoSpaceDN w:val="0"/>
                    <w:adjustRightInd w:val="0"/>
                    <w:snapToGrid w:val="0"/>
                    <w:jc w:val="center"/>
                    <w:rPr>
                      <w:rFonts w:hint="eastAsia" w:eastAsia="宋体"/>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1F5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vAlign w:val="center"/>
                </w:tcPr>
                <w:p w14:paraId="02D4E050">
                  <w:pPr>
                    <w:numPr>
                      <w:ilvl w:val="0"/>
                      <w:numId w:val="0"/>
                    </w:numPr>
                    <w:autoSpaceDE w:val="0"/>
                    <w:autoSpaceDN w:val="0"/>
                    <w:adjustRightInd w:val="0"/>
                    <w:snapToGrid w:val="0"/>
                    <w:jc w:val="both"/>
                    <w:rPr>
                      <w:rFonts w:hint="eastAsia"/>
                      <w:b w:val="0"/>
                      <w:bCs w:val="0"/>
                      <w:color w:val="auto"/>
                      <w:kern w:val="0"/>
                      <w:szCs w:val="21"/>
                      <w:highlight w:val="none"/>
                    </w:rPr>
                  </w:pPr>
                  <w:r>
                    <w:rPr>
                      <w:rFonts w:hint="eastAsia"/>
                      <w:b w:val="0"/>
                      <w:bCs w:val="0"/>
                      <w:color w:val="auto"/>
                      <w:kern w:val="0"/>
                      <w:szCs w:val="21"/>
                      <w:highlight w:val="none"/>
                    </w:rPr>
                    <w:t>第二十八条从事房屋建筑、市政基础设施建设、水利工程施工、道路建设工程施工、建（构）筑物拆除、园林绿化、物料运输和堆放等可能产生扬尘污染活动的，施工单位应当采取防尘抑尘措施，防止产生扬尘污染，建设单位应当对施工单位进行监管。</w:t>
                  </w:r>
                </w:p>
              </w:tc>
              <w:tc>
                <w:tcPr>
                  <w:tcW w:w="3045" w:type="dxa"/>
                  <w:vAlign w:val="center"/>
                </w:tcPr>
                <w:p w14:paraId="280E8049">
                  <w:pPr>
                    <w:autoSpaceDE w:val="0"/>
                    <w:autoSpaceDN w:val="0"/>
                    <w:adjustRightInd w:val="0"/>
                    <w:snapToGrid w:val="0"/>
                    <w:jc w:val="center"/>
                    <w:rPr>
                      <w:rFonts w:hint="default"/>
                      <w:b w:val="0"/>
                      <w:bCs w:val="0"/>
                      <w:color w:val="auto"/>
                      <w:kern w:val="0"/>
                      <w:szCs w:val="21"/>
                      <w:highlight w:val="none"/>
                      <w:lang w:val="en-US" w:eastAsia="zh-CN"/>
                    </w:rPr>
                  </w:pPr>
                  <w:r>
                    <w:rPr>
                      <w:rFonts w:hint="eastAsia"/>
                      <w:b w:val="0"/>
                      <w:bCs w:val="0"/>
                      <w:color w:val="auto"/>
                      <w:kern w:val="0"/>
                      <w:szCs w:val="21"/>
                      <w:highlight w:val="none"/>
                      <w:lang w:val="en-US" w:eastAsia="zh-CN"/>
                    </w:rPr>
                    <w:t>本项目已经建成，不涉及土建</w:t>
                  </w:r>
                </w:p>
              </w:tc>
              <w:tc>
                <w:tcPr>
                  <w:tcW w:w="783" w:type="dxa"/>
                  <w:vAlign w:val="center"/>
                </w:tcPr>
                <w:p w14:paraId="1BF96A03">
                  <w:pPr>
                    <w:autoSpaceDE w:val="0"/>
                    <w:autoSpaceDN w:val="0"/>
                    <w:adjustRightInd w:val="0"/>
                    <w:snapToGrid w:val="0"/>
                    <w:jc w:val="center"/>
                    <w:rPr>
                      <w:rFonts w:hint="default"/>
                      <w:b w:val="0"/>
                      <w:bCs w:val="0"/>
                      <w:color w:val="auto"/>
                      <w:kern w:val="0"/>
                      <w:szCs w:val="21"/>
                      <w:highlight w:val="none"/>
                      <w:lang w:val="en-US" w:eastAsia="zh-CN"/>
                    </w:rPr>
                  </w:pPr>
                  <w:r>
                    <w:rPr>
                      <w:rFonts w:hint="eastAsia"/>
                      <w:b w:val="0"/>
                      <w:bCs w:val="0"/>
                      <w:color w:val="auto"/>
                      <w:kern w:val="0"/>
                      <w:szCs w:val="21"/>
                      <w:highlight w:val="none"/>
                      <w:lang w:val="en-US" w:eastAsia="zh-CN"/>
                    </w:rPr>
                    <w:t>符合</w:t>
                  </w:r>
                </w:p>
              </w:tc>
            </w:tr>
            <w:tr w14:paraId="2868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7" w:type="dxa"/>
                  <w:gridSpan w:val="3"/>
                  <w:vAlign w:val="center"/>
                </w:tcPr>
                <w:p w14:paraId="7F78DB80">
                  <w:pPr>
                    <w:autoSpaceDE w:val="0"/>
                    <w:autoSpaceDN w:val="0"/>
                    <w:adjustRightInd w:val="0"/>
                    <w:snapToGrid w:val="0"/>
                    <w:jc w:val="left"/>
                    <w:rPr>
                      <w:color w:val="auto"/>
                      <w:kern w:val="0"/>
                      <w:szCs w:val="21"/>
                      <w:highlight w:val="none"/>
                    </w:rPr>
                  </w:pPr>
                  <w:r>
                    <w:rPr>
                      <w:b/>
                      <w:color w:val="auto"/>
                      <w:szCs w:val="21"/>
                      <w:highlight w:val="none"/>
                    </w:rPr>
                    <w:t>备注：其它与项目无关项未列入</w:t>
                  </w:r>
                  <w:r>
                    <w:rPr>
                      <w:rFonts w:hint="eastAsia"/>
                      <w:b/>
                      <w:color w:val="auto"/>
                      <w:szCs w:val="21"/>
                      <w:highlight w:val="none"/>
                    </w:rPr>
                    <w:t>。</w:t>
                  </w:r>
                </w:p>
              </w:tc>
            </w:tr>
          </w:tbl>
          <w:p w14:paraId="3820F263">
            <w:pPr>
              <w:spacing w:line="360" w:lineRule="auto"/>
              <w:ind w:firstLine="480" w:firstLineChars="200"/>
              <w:rPr>
                <w:color w:val="auto"/>
                <w:sz w:val="24"/>
                <w:highlight w:val="none"/>
              </w:rPr>
            </w:pPr>
            <w:r>
              <w:rPr>
                <w:color w:val="auto"/>
                <w:sz w:val="24"/>
                <w:highlight w:val="none"/>
              </w:rPr>
              <w:t>根据上表</w:t>
            </w:r>
            <w:r>
              <w:rPr>
                <w:rFonts w:hint="eastAsia"/>
                <w:color w:val="auto"/>
                <w:sz w:val="24"/>
                <w:highlight w:val="none"/>
                <w:lang w:val="en-US" w:eastAsia="zh-CN"/>
              </w:rPr>
              <w:t>可知</w:t>
            </w:r>
            <w:r>
              <w:rPr>
                <w:color w:val="auto"/>
                <w:sz w:val="24"/>
                <w:highlight w:val="none"/>
              </w:rPr>
              <w:t>，项目</w:t>
            </w:r>
            <w:r>
              <w:rPr>
                <w:rFonts w:hint="eastAsia"/>
                <w:color w:val="auto"/>
                <w:sz w:val="24"/>
                <w:highlight w:val="none"/>
              </w:rPr>
              <w:t>与</w:t>
            </w:r>
            <w:r>
              <w:rPr>
                <w:rFonts w:hint="eastAsia"/>
                <w:color w:val="auto"/>
                <w:sz w:val="24"/>
                <w:highlight w:val="none"/>
                <w:lang w:val="en-US" w:eastAsia="zh-CN"/>
              </w:rPr>
              <w:t>《云南省大气污染防治条例》中</w:t>
            </w:r>
            <w:r>
              <w:rPr>
                <w:color w:val="auto"/>
                <w:sz w:val="24"/>
                <w:highlight w:val="none"/>
              </w:rPr>
              <w:t>相关要求</w:t>
            </w:r>
            <w:r>
              <w:rPr>
                <w:rFonts w:hint="eastAsia"/>
                <w:color w:val="auto"/>
                <w:sz w:val="24"/>
                <w:highlight w:val="none"/>
                <w:lang w:val="en-US" w:eastAsia="zh-CN"/>
              </w:rPr>
              <w:t>相符</w:t>
            </w:r>
            <w:r>
              <w:rPr>
                <w:color w:val="auto"/>
                <w:sz w:val="24"/>
                <w:highlight w:val="none"/>
              </w:rPr>
              <w:t>。</w:t>
            </w:r>
          </w:p>
          <w:p w14:paraId="0FBEA666">
            <w:pPr>
              <w:autoSpaceDE w:val="0"/>
              <w:autoSpaceDN w:val="0"/>
              <w:adjustRightInd w:val="0"/>
              <w:snapToGrid w:val="0"/>
              <w:spacing w:line="360" w:lineRule="auto"/>
              <w:jc w:val="left"/>
              <w:rPr>
                <w:b/>
                <w:bCs/>
                <w:color w:val="auto"/>
                <w:kern w:val="0"/>
                <w:sz w:val="24"/>
                <w:highlight w:val="none"/>
              </w:rPr>
            </w:pPr>
            <w:r>
              <w:rPr>
                <w:rFonts w:hint="eastAsia"/>
                <w:b/>
                <w:bCs/>
                <w:color w:val="auto"/>
                <w:kern w:val="0"/>
                <w:sz w:val="24"/>
                <w:highlight w:val="none"/>
                <w:lang w:val="en-US" w:eastAsia="zh-CN"/>
              </w:rPr>
              <w:t>14</w:t>
            </w:r>
            <w:r>
              <w:rPr>
                <w:rFonts w:hint="eastAsia"/>
                <w:b/>
                <w:bCs/>
                <w:color w:val="auto"/>
                <w:kern w:val="0"/>
                <w:sz w:val="24"/>
                <w:highlight w:val="none"/>
              </w:rPr>
              <w:t>、与</w:t>
            </w:r>
            <w:bookmarkStart w:id="18" w:name="_Hlk161928107"/>
            <w:r>
              <w:rPr>
                <w:rFonts w:hint="eastAsia"/>
                <w:b/>
                <w:bCs/>
                <w:color w:val="auto"/>
                <w:kern w:val="0"/>
                <w:sz w:val="24"/>
                <w:highlight w:val="none"/>
              </w:rPr>
              <w:t>《关于完善能源绿色低碳转型体制机制和政策措施的意见》（发改能源【2022】206号）</w:t>
            </w:r>
            <w:bookmarkEnd w:id="18"/>
            <w:r>
              <w:rPr>
                <w:rFonts w:hint="eastAsia"/>
                <w:b/>
                <w:bCs/>
                <w:color w:val="auto"/>
                <w:kern w:val="0"/>
                <w:sz w:val="24"/>
                <w:highlight w:val="none"/>
              </w:rPr>
              <w:t>的符合性分析</w:t>
            </w:r>
          </w:p>
          <w:p w14:paraId="73A5F5B6">
            <w:pPr>
              <w:pStyle w:val="80"/>
              <w:ind w:firstLine="482"/>
              <w:rPr>
                <w:color w:val="auto"/>
                <w:highlight w:val="none"/>
              </w:rPr>
            </w:pPr>
            <w:r>
              <w:rPr>
                <w:rFonts w:ascii="宋体" w:hAnsi="宋体" w:cs="宋体"/>
                <w:b/>
                <w:bCs/>
                <w:color w:val="auto"/>
                <w:highlight w:val="none"/>
              </w:rPr>
              <w:t>《关于完善能源绿色低碳转型体制机制和政策措施的意见》的主要目标为：</w:t>
            </w:r>
            <w:r>
              <w:rPr>
                <w:rFonts w:ascii="宋体" w:hAnsi="宋体" w:cs="宋体"/>
                <w:color w:val="auto"/>
                <w:highlight w:val="none"/>
              </w:rPr>
              <w:t>“十四五”时期，基本建立推进能源绿色低碳发展的制度框架，形成比较完善的政策、标准、市场和监管体系，构建以能耗“双控”和非化石能源目标制度为引领的能源绿色低碳转型推进机制。</w:t>
            </w:r>
            <w:r>
              <w:rPr>
                <w:color w:val="auto"/>
                <w:highlight w:val="none"/>
              </w:rPr>
              <w:t xml:space="preserve">到2030年，基本建立完整的能源绿色低碳发展基本制度和政策体系，形成非化石能源既基本满足能源需求增量又规模化替代化石能源存量、能源安全保障能力得到全面增强的能源生产消费格局。 </w:t>
            </w:r>
          </w:p>
          <w:p w14:paraId="15AF3C22">
            <w:pPr>
              <w:pStyle w:val="80"/>
              <w:ind w:firstLine="480"/>
              <w:rPr>
                <w:color w:val="auto"/>
                <w:highlight w:val="none"/>
              </w:rPr>
            </w:pPr>
            <w:r>
              <w:rPr>
                <w:rFonts w:hint="eastAsia"/>
                <w:color w:val="auto"/>
                <w:highlight w:val="none"/>
              </w:rPr>
              <w:t>本</w:t>
            </w:r>
            <w:r>
              <w:rPr>
                <w:color w:val="auto"/>
                <w:highlight w:val="none"/>
              </w:rPr>
              <w:t>项目使用的燃料为生物质燃料，为可再生低碳能源，且设置“</w:t>
            </w:r>
            <w:r>
              <w:rPr>
                <w:rFonts w:hint="eastAsia"/>
                <w:color w:val="auto"/>
                <w:szCs w:val="21"/>
                <w:highlight w:val="none"/>
              </w:rPr>
              <w:t>低氮燃烧技术+</w:t>
            </w:r>
            <w:r>
              <w:rPr>
                <w:color w:val="auto"/>
                <w:highlight w:val="none"/>
              </w:rPr>
              <w:t>旋风除尘器+布袋除尘器”的治理措施，处理达到《</w:t>
            </w:r>
            <w:r>
              <w:rPr>
                <w:rFonts w:hint="eastAsia"/>
                <w:color w:val="auto"/>
                <w:highlight w:val="none"/>
                <w:lang w:eastAsia="zh-CN"/>
              </w:rPr>
              <w:t>锅炉大气污染物排放标准</w:t>
            </w:r>
            <w:r>
              <w:rPr>
                <w:color w:val="auto"/>
                <w:highlight w:val="none"/>
              </w:rPr>
              <w:t>》（GB13271-2014）新建</w:t>
            </w:r>
            <w:r>
              <w:rPr>
                <w:rFonts w:hint="eastAsia"/>
                <w:color w:val="auto"/>
                <w:highlight w:val="none"/>
                <w:lang w:val="en-US" w:eastAsia="zh-CN"/>
              </w:rPr>
              <w:t>燃煤锅炉</w:t>
            </w:r>
            <w:r>
              <w:rPr>
                <w:color w:val="auto"/>
                <w:highlight w:val="none"/>
              </w:rPr>
              <w:t>排放限值后，经</w:t>
            </w:r>
            <w:r>
              <w:rPr>
                <w:rFonts w:hint="eastAsia"/>
                <w:color w:val="auto"/>
                <w:highlight w:val="none"/>
                <w:lang w:val="en-US" w:eastAsia="zh-CN"/>
              </w:rPr>
              <w:t>35</w:t>
            </w:r>
            <w:r>
              <w:rPr>
                <w:color w:val="auto"/>
                <w:highlight w:val="none"/>
              </w:rPr>
              <w:t>m高排气筒排放，对周围环境影响是可以接受的。</w:t>
            </w:r>
          </w:p>
          <w:p w14:paraId="797EE7E9">
            <w:pPr>
              <w:pStyle w:val="80"/>
              <w:ind w:firstLine="480"/>
              <w:rPr>
                <w:color w:val="auto"/>
                <w:highlight w:val="none"/>
              </w:rPr>
            </w:pPr>
            <w:r>
              <w:rPr>
                <w:color w:val="auto"/>
                <w:highlight w:val="none"/>
              </w:rPr>
              <w:t>因此，项目与《关于完善能源绿色低碳转型体制机制和政策措施的意见》相符合。</w:t>
            </w:r>
          </w:p>
          <w:p w14:paraId="4624E9C7">
            <w:pPr>
              <w:autoSpaceDE w:val="0"/>
              <w:autoSpaceDN w:val="0"/>
              <w:adjustRightInd w:val="0"/>
              <w:snapToGrid w:val="0"/>
              <w:spacing w:line="360" w:lineRule="auto"/>
              <w:jc w:val="left"/>
              <w:rPr>
                <w:rFonts w:hint="eastAsia"/>
                <w:b/>
                <w:bCs/>
                <w:color w:val="auto"/>
                <w:sz w:val="24"/>
                <w:highlight w:val="none"/>
                <w:lang w:val="en-US" w:eastAsia="zh-CN"/>
              </w:rPr>
            </w:pPr>
          </w:p>
          <w:p w14:paraId="155A6A75">
            <w:pPr>
              <w:autoSpaceDE w:val="0"/>
              <w:autoSpaceDN w:val="0"/>
              <w:adjustRightInd w:val="0"/>
              <w:snapToGrid w:val="0"/>
              <w:spacing w:line="360" w:lineRule="auto"/>
              <w:jc w:val="left"/>
              <w:rPr>
                <w:rFonts w:hint="eastAsia"/>
                <w:b/>
                <w:bCs/>
                <w:color w:val="auto"/>
                <w:sz w:val="24"/>
                <w:highlight w:val="none"/>
                <w:lang w:val="en-US" w:eastAsia="zh-CN"/>
              </w:rPr>
            </w:pPr>
          </w:p>
          <w:p w14:paraId="5D0C7DAC">
            <w:pPr>
              <w:autoSpaceDE w:val="0"/>
              <w:autoSpaceDN w:val="0"/>
              <w:adjustRightInd w:val="0"/>
              <w:snapToGrid w:val="0"/>
              <w:spacing w:line="360" w:lineRule="auto"/>
              <w:jc w:val="left"/>
              <w:rPr>
                <w:rFonts w:hint="eastAsia"/>
                <w:b/>
                <w:bCs/>
                <w:color w:val="auto"/>
                <w:sz w:val="24"/>
                <w:highlight w:val="none"/>
                <w:lang w:val="en-US" w:eastAsia="zh-CN"/>
              </w:rPr>
            </w:pPr>
            <w:r>
              <w:rPr>
                <w:rFonts w:hint="eastAsia"/>
                <w:b/>
                <w:bCs/>
                <w:color w:val="auto"/>
                <w:sz w:val="24"/>
                <w:highlight w:val="none"/>
                <w:lang w:val="en-US" w:eastAsia="zh-CN"/>
              </w:rPr>
              <w:t>15、与《玉溪市红塔区人民政府关于进一步扩大高污染燃料禁燃区的通知》的符合性分析</w:t>
            </w:r>
          </w:p>
          <w:p w14:paraId="0A433E87">
            <w:pPr>
              <w:pStyle w:val="80"/>
              <w:ind w:firstLine="480"/>
              <w:rPr>
                <w:rFonts w:hint="eastAsia"/>
                <w:color w:val="auto"/>
                <w:highlight w:val="none"/>
              </w:rPr>
            </w:pPr>
            <w:r>
              <w:rPr>
                <w:rFonts w:hint="eastAsia"/>
                <w:color w:val="auto"/>
                <w:highlight w:val="none"/>
              </w:rPr>
              <w:t>对照《玉溪市红塔区人民政府关于进一步扩大高污染燃料禁燃区的通知》</w:t>
            </w:r>
            <w:r>
              <w:rPr>
                <w:rFonts w:hint="eastAsia"/>
                <w:color w:val="auto"/>
                <w:highlight w:val="none"/>
                <w:lang w:val="en-US" w:eastAsia="zh-CN"/>
              </w:rPr>
              <w:t>以及禁燃区范围图（图2-1），</w:t>
            </w:r>
            <w:r>
              <w:rPr>
                <w:rFonts w:hint="eastAsia"/>
                <w:color w:val="auto"/>
                <w:highlight w:val="none"/>
              </w:rPr>
              <w:t>本项目</w:t>
            </w:r>
            <w:r>
              <w:rPr>
                <w:rFonts w:hint="eastAsia"/>
                <w:color w:val="auto"/>
                <w:highlight w:val="none"/>
                <w:lang w:val="en-US" w:eastAsia="zh-CN"/>
              </w:rPr>
              <w:t>位于</w:t>
            </w:r>
            <w:r>
              <w:rPr>
                <w:rFonts w:hint="eastAsia"/>
                <w:color w:val="auto"/>
                <w:highlight w:val="none"/>
              </w:rPr>
              <w:t>禁燃区</w:t>
            </w:r>
            <w:r>
              <w:rPr>
                <w:rFonts w:hint="eastAsia"/>
                <w:color w:val="auto"/>
                <w:highlight w:val="none"/>
                <w:lang w:val="en-US" w:eastAsia="zh-CN"/>
              </w:rPr>
              <w:t>北面3070m，不在禁燃区范围图上，不</w:t>
            </w:r>
            <w:r>
              <w:rPr>
                <w:rFonts w:hint="eastAsia"/>
                <w:color w:val="auto"/>
                <w:highlight w:val="none"/>
              </w:rPr>
              <w:t>属于禁燃区内，根据通知要求</w:t>
            </w:r>
            <w:r>
              <w:rPr>
                <w:rFonts w:hint="eastAsia"/>
                <w:color w:val="auto"/>
                <w:highlight w:val="none"/>
                <w:lang w:eastAsia="zh-CN"/>
              </w:rPr>
              <w:t>：</w:t>
            </w:r>
            <w:r>
              <w:rPr>
                <w:rFonts w:hint="eastAsia"/>
                <w:color w:val="auto"/>
                <w:highlight w:val="none"/>
              </w:rPr>
              <w:t>红塔区禁燃区内禁止燃用的燃料类别采用《高污染燃料目录》中I类燃料组合，具体为</w:t>
            </w:r>
            <w:r>
              <w:rPr>
                <w:rFonts w:hint="eastAsia"/>
                <w:color w:val="auto"/>
                <w:highlight w:val="none"/>
                <w:lang w:eastAsia="zh-CN"/>
              </w:rPr>
              <w:t>：</w:t>
            </w:r>
            <w:r>
              <w:rPr>
                <w:rFonts w:hint="eastAsia"/>
                <w:color w:val="auto"/>
                <w:highlight w:val="none"/>
              </w:rPr>
              <w:t>(一)单台出力小于20蒸吨/小时的锅炉和民用燃煤设备燃用的</w:t>
            </w:r>
            <w:r>
              <w:rPr>
                <w:rFonts w:hint="eastAsia"/>
                <w:color w:val="auto"/>
                <w:highlight w:val="none"/>
                <w:lang w:eastAsia="zh-CN"/>
              </w:rPr>
              <w:t>：</w:t>
            </w:r>
            <w:r>
              <w:rPr>
                <w:rFonts w:hint="eastAsia"/>
                <w:color w:val="auto"/>
                <w:highlight w:val="none"/>
              </w:rPr>
              <w:t>含硫量大于0.5%、灰分大于10%的煤炭及其制品</w:t>
            </w:r>
            <w:r>
              <w:rPr>
                <w:rFonts w:hint="eastAsia"/>
                <w:color w:val="auto"/>
                <w:highlight w:val="none"/>
                <w:lang w:eastAsia="zh-CN"/>
              </w:rPr>
              <w:t>；</w:t>
            </w:r>
            <w:r>
              <w:rPr>
                <w:rFonts w:hint="eastAsia"/>
                <w:color w:val="auto"/>
                <w:highlight w:val="none"/>
              </w:rPr>
              <w:t>含量大于0.5%、挥发分大于12.0%的型煤</w:t>
            </w:r>
            <w:r>
              <w:rPr>
                <w:rFonts w:hint="eastAsia"/>
                <w:color w:val="auto"/>
                <w:highlight w:val="none"/>
                <w:lang w:eastAsia="zh-CN"/>
              </w:rPr>
              <w:t>；</w:t>
            </w:r>
            <w:r>
              <w:rPr>
                <w:rFonts w:hint="eastAsia"/>
                <w:color w:val="auto"/>
                <w:highlight w:val="none"/>
              </w:rPr>
              <w:t>含硫量大于0.5%、灰分大于10.0%、挥发分大于5.0%的焦炭</w:t>
            </w:r>
            <w:r>
              <w:rPr>
                <w:rFonts w:hint="eastAsia"/>
                <w:color w:val="auto"/>
                <w:highlight w:val="none"/>
                <w:lang w:eastAsia="zh-CN"/>
              </w:rPr>
              <w:t>；</w:t>
            </w:r>
            <w:r>
              <w:rPr>
                <w:rFonts w:hint="eastAsia"/>
                <w:color w:val="auto"/>
                <w:highlight w:val="none"/>
              </w:rPr>
              <w:t>含硫量大于0.5%、灰分大于10.0%、挥发分大于10.0%的兰炭</w:t>
            </w:r>
            <w:r>
              <w:rPr>
                <w:rFonts w:hint="eastAsia"/>
                <w:color w:val="auto"/>
                <w:highlight w:val="none"/>
                <w:lang w:eastAsia="zh-CN"/>
              </w:rPr>
              <w:t>；</w:t>
            </w:r>
            <w:r>
              <w:rPr>
                <w:rFonts w:hint="eastAsia"/>
                <w:color w:val="auto"/>
                <w:highlight w:val="none"/>
              </w:rPr>
              <w:t>(二)石油焦、油页岩、原油、重油、渣油、煤焦油。</w:t>
            </w:r>
          </w:p>
          <w:p w14:paraId="673EE0BB">
            <w:pPr>
              <w:pStyle w:val="80"/>
              <w:ind w:firstLine="480"/>
              <w:rPr>
                <w:rFonts w:hint="eastAsia"/>
                <w:color w:val="auto"/>
                <w:highlight w:val="none"/>
              </w:rPr>
            </w:pPr>
            <w:r>
              <w:rPr>
                <w:rFonts w:hint="eastAsia"/>
                <w:color w:val="auto"/>
                <w:highlight w:val="none"/>
              </w:rPr>
              <w:t>本项目锅炉燃料采用生物质燃料，不属于红塔区禁燃区内禁止燃用的燃料，</w:t>
            </w:r>
            <w:r>
              <w:rPr>
                <w:rFonts w:hint="eastAsia"/>
                <w:color w:val="auto"/>
                <w:highlight w:val="none"/>
                <w:lang w:val="en-US" w:eastAsia="zh-CN"/>
              </w:rPr>
              <w:t>且本项目不在禁燃区内，</w:t>
            </w:r>
            <w:r>
              <w:rPr>
                <w:rFonts w:hint="eastAsia"/>
                <w:color w:val="auto"/>
                <w:highlight w:val="none"/>
              </w:rPr>
              <w:t>本项目锅炉为生物质专用锅炉，采用了分区控风、缺氧燃烧低氮燃烧技术，</w:t>
            </w:r>
            <w:r>
              <w:rPr>
                <w:rFonts w:hint="eastAsia"/>
                <w:color w:val="auto"/>
                <w:highlight w:val="none"/>
                <w:lang w:val="en-US" w:eastAsia="zh-CN"/>
              </w:rPr>
              <w:t>蒸汽发生器</w:t>
            </w:r>
            <w:r>
              <w:rPr>
                <w:rFonts w:hint="eastAsia"/>
                <w:color w:val="auto"/>
                <w:highlight w:val="none"/>
              </w:rPr>
              <w:t>废气配置了旋风除尘+布袋除尘高效除尘设施，锅炉废气能够达到《锅炉大气污染物排放标准》(GB13271-2014)中新建燃</w:t>
            </w:r>
            <w:r>
              <w:rPr>
                <w:rFonts w:hint="eastAsia"/>
                <w:color w:val="auto"/>
                <w:highlight w:val="none"/>
                <w:lang w:val="en-US" w:eastAsia="zh-CN"/>
              </w:rPr>
              <w:t>煤</w:t>
            </w:r>
            <w:r>
              <w:rPr>
                <w:rFonts w:hint="eastAsia"/>
                <w:color w:val="auto"/>
                <w:highlight w:val="none"/>
              </w:rPr>
              <w:t>锅炉的相关标准限值要求。项目与《玉溪市红塔区人民政府关于进一步扩大高污染燃料禁燃区的通知》不冲突。</w:t>
            </w:r>
          </w:p>
          <w:p w14:paraId="2AE306BB">
            <w:pPr>
              <w:pStyle w:val="80"/>
              <w:ind w:firstLine="480"/>
              <w:rPr>
                <w:rFonts w:hint="eastAsia"/>
                <w:color w:val="auto"/>
                <w:highlight w:val="none"/>
              </w:rPr>
            </w:pPr>
          </w:p>
          <w:p w14:paraId="3B8EB905">
            <w:pPr>
              <w:pStyle w:val="80"/>
              <w:ind w:firstLine="480"/>
              <w:rPr>
                <w:rFonts w:hint="eastAsia"/>
                <w:color w:val="auto"/>
                <w:highlight w:val="none"/>
              </w:rPr>
            </w:pPr>
          </w:p>
          <w:p w14:paraId="577828E0">
            <w:pPr>
              <w:pStyle w:val="80"/>
              <w:ind w:firstLine="480"/>
              <w:rPr>
                <w:rFonts w:hint="eastAsia"/>
                <w:color w:val="auto"/>
                <w:highlight w:val="none"/>
              </w:rPr>
            </w:pPr>
          </w:p>
          <w:p w14:paraId="0B56CEEA">
            <w:pPr>
              <w:pStyle w:val="80"/>
              <w:ind w:firstLine="480"/>
              <w:rPr>
                <w:rFonts w:hint="eastAsia"/>
                <w:color w:val="auto"/>
                <w:highlight w:val="none"/>
              </w:rPr>
            </w:pPr>
          </w:p>
          <w:p w14:paraId="103D6735">
            <w:pPr>
              <w:pStyle w:val="80"/>
              <w:ind w:firstLine="480"/>
              <w:rPr>
                <w:rFonts w:hint="eastAsia"/>
                <w:color w:val="auto"/>
                <w:highlight w:val="none"/>
              </w:rPr>
            </w:pPr>
          </w:p>
          <w:p w14:paraId="7BA194EA">
            <w:pPr>
              <w:pStyle w:val="80"/>
              <w:ind w:firstLine="480"/>
              <w:rPr>
                <w:rFonts w:hint="eastAsia"/>
                <w:color w:val="auto"/>
                <w:highlight w:val="none"/>
              </w:rPr>
            </w:pPr>
          </w:p>
          <w:p w14:paraId="45B3EE07">
            <w:pPr>
              <w:pStyle w:val="80"/>
              <w:ind w:firstLine="480"/>
              <w:rPr>
                <w:rFonts w:hint="eastAsia"/>
                <w:color w:val="auto"/>
                <w:highlight w:val="none"/>
              </w:rPr>
            </w:pPr>
          </w:p>
          <w:p w14:paraId="2849BE62">
            <w:pPr>
              <w:pStyle w:val="80"/>
              <w:ind w:firstLine="480"/>
              <w:rPr>
                <w:rFonts w:hint="eastAsia"/>
                <w:color w:val="auto"/>
                <w:highlight w:val="none"/>
              </w:rPr>
            </w:pPr>
          </w:p>
          <w:p w14:paraId="42CAFFDD">
            <w:pPr>
              <w:pStyle w:val="80"/>
              <w:ind w:firstLine="480"/>
              <w:rPr>
                <w:rFonts w:hint="eastAsia"/>
                <w:color w:val="auto"/>
                <w:highlight w:val="none"/>
              </w:rPr>
            </w:pPr>
          </w:p>
          <w:p w14:paraId="072791A7">
            <w:pPr>
              <w:pStyle w:val="80"/>
              <w:ind w:firstLine="480"/>
              <w:rPr>
                <w:rFonts w:hint="eastAsia"/>
                <w:color w:val="auto"/>
                <w:highlight w:val="none"/>
              </w:rPr>
            </w:pPr>
          </w:p>
          <w:p w14:paraId="033177DF">
            <w:pPr>
              <w:pStyle w:val="80"/>
              <w:ind w:firstLine="480"/>
              <w:rPr>
                <w:rFonts w:hint="eastAsia"/>
                <w:color w:val="auto"/>
                <w:highlight w:val="none"/>
              </w:rPr>
            </w:pPr>
          </w:p>
          <w:p w14:paraId="5FA9C6E2">
            <w:pPr>
              <w:pStyle w:val="80"/>
              <w:ind w:firstLine="480"/>
              <w:rPr>
                <w:rFonts w:hint="eastAsia"/>
                <w:color w:val="auto"/>
                <w:highlight w:val="none"/>
              </w:rPr>
            </w:pPr>
          </w:p>
          <w:p w14:paraId="71D62823">
            <w:pPr>
              <w:pStyle w:val="80"/>
              <w:ind w:firstLine="480"/>
              <w:rPr>
                <w:rFonts w:hint="eastAsia"/>
                <w:color w:val="auto"/>
                <w:highlight w:val="none"/>
              </w:rPr>
            </w:pPr>
          </w:p>
          <w:p w14:paraId="17D62F60">
            <w:pPr>
              <w:pStyle w:val="80"/>
              <w:ind w:firstLine="480"/>
              <w:rPr>
                <w:rFonts w:hint="eastAsia"/>
                <w:color w:val="auto"/>
                <w:highlight w:val="none"/>
              </w:rPr>
            </w:pPr>
          </w:p>
          <w:p w14:paraId="77B2F74C">
            <w:pPr>
              <w:pStyle w:val="80"/>
              <w:ind w:firstLine="480"/>
              <w:rPr>
                <w:rFonts w:hint="eastAsia"/>
                <w:color w:val="auto"/>
                <w:highlight w:val="none"/>
              </w:rPr>
            </w:pPr>
          </w:p>
          <w:p w14:paraId="7B5990AA">
            <w:pPr>
              <w:pStyle w:val="80"/>
              <w:ind w:firstLine="480"/>
              <w:rPr>
                <w:color w:val="auto"/>
              </w:rPr>
            </w:pPr>
            <w:r>
              <w:rPr>
                <w:rFonts w:hint="eastAsia" w:ascii="方正仿宋_GBK" w:eastAsia="方正仿宋_GBK"/>
                <w:color w:val="auto"/>
                <w:sz w:val="32"/>
                <w:szCs w:val="32"/>
                <w:lang w:eastAsia="zh-CN"/>
              </w:rPr>
              <w:drawing>
                <wp:anchor distT="0" distB="0" distL="114300" distR="114300" simplePos="0" relativeHeight="251730944" behindDoc="0" locked="0" layoutInCell="1" allowOverlap="1">
                  <wp:simplePos x="0" y="0"/>
                  <wp:positionH relativeFrom="column">
                    <wp:posOffset>-20955</wp:posOffset>
                  </wp:positionH>
                  <wp:positionV relativeFrom="paragraph">
                    <wp:posOffset>21590</wp:posOffset>
                  </wp:positionV>
                  <wp:extent cx="5057140" cy="4679315"/>
                  <wp:effectExtent l="0" t="0" r="10160" b="6985"/>
                  <wp:wrapNone/>
                  <wp:docPr id="1" name="图片 323" descr="微信图片_20220725094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23" descr="微信图片_20220725094756"/>
                          <pic:cNvPicPr>
                            <a:picLocks noChangeAspect="1"/>
                          </pic:cNvPicPr>
                        </pic:nvPicPr>
                        <pic:blipFill>
                          <a:blip r:embed="rId7"/>
                          <a:stretch>
                            <a:fillRect/>
                          </a:stretch>
                        </pic:blipFill>
                        <pic:spPr>
                          <a:xfrm>
                            <a:off x="0" y="0"/>
                            <a:ext cx="5057140" cy="4679315"/>
                          </a:xfrm>
                          <a:prstGeom prst="rect">
                            <a:avLst/>
                          </a:prstGeom>
                          <a:noFill/>
                          <a:ln>
                            <a:noFill/>
                          </a:ln>
                        </pic:spPr>
                      </pic:pic>
                    </a:graphicData>
                  </a:graphic>
                </wp:anchor>
              </w:drawing>
            </w:r>
          </w:p>
          <w:p w14:paraId="5713B5D6">
            <w:pPr>
              <w:pStyle w:val="80"/>
              <w:ind w:firstLine="480"/>
              <w:rPr>
                <w:color w:val="auto"/>
              </w:rPr>
            </w:pPr>
          </w:p>
          <w:p w14:paraId="5C7BE10F">
            <w:pPr>
              <w:pStyle w:val="80"/>
              <w:ind w:firstLine="480"/>
              <w:rPr>
                <w:color w:val="auto"/>
              </w:rPr>
            </w:pPr>
          </w:p>
          <w:p w14:paraId="36D858AD">
            <w:pPr>
              <w:pStyle w:val="80"/>
              <w:ind w:firstLine="480"/>
              <w:rPr>
                <w:color w:val="auto"/>
              </w:rPr>
            </w:pPr>
          </w:p>
          <w:p w14:paraId="222C45F2">
            <w:pPr>
              <w:pStyle w:val="80"/>
              <w:ind w:firstLine="480"/>
              <w:rPr>
                <w:color w:val="auto"/>
              </w:rPr>
            </w:pPr>
          </w:p>
          <w:p w14:paraId="4C1840C2">
            <w:pPr>
              <w:pStyle w:val="80"/>
              <w:ind w:firstLine="480"/>
              <w:rPr>
                <w:color w:val="auto"/>
              </w:rPr>
            </w:pPr>
          </w:p>
          <w:p w14:paraId="2BB66174">
            <w:pPr>
              <w:pStyle w:val="80"/>
              <w:ind w:firstLine="480"/>
              <w:rPr>
                <w:color w:val="auto"/>
              </w:rPr>
            </w:pPr>
          </w:p>
          <w:p w14:paraId="50CFEFC6">
            <w:pPr>
              <w:pStyle w:val="80"/>
              <w:ind w:firstLine="480"/>
              <w:rPr>
                <w:color w:val="auto"/>
              </w:rPr>
            </w:pPr>
          </w:p>
          <w:p w14:paraId="742329EA">
            <w:pPr>
              <w:pStyle w:val="80"/>
              <w:ind w:firstLine="480"/>
              <w:rPr>
                <w:color w:val="auto"/>
              </w:rPr>
            </w:pPr>
          </w:p>
          <w:p w14:paraId="752AFC93">
            <w:pPr>
              <w:pStyle w:val="80"/>
              <w:ind w:firstLine="480"/>
              <w:rPr>
                <w:color w:val="auto"/>
              </w:rPr>
            </w:pPr>
          </w:p>
          <w:p w14:paraId="58F1526E">
            <w:pPr>
              <w:pStyle w:val="80"/>
              <w:ind w:firstLine="480"/>
              <w:rPr>
                <w:color w:val="auto"/>
              </w:rPr>
            </w:pPr>
          </w:p>
          <w:p w14:paraId="5B491CC3">
            <w:pPr>
              <w:pStyle w:val="80"/>
              <w:ind w:firstLine="480"/>
              <w:rPr>
                <w:color w:val="auto"/>
              </w:rPr>
            </w:pPr>
          </w:p>
          <w:p w14:paraId="0DA34A23">
            <w:pPr>
              <w:pStyle w:val="80"/>
              <w:ind w:firstLine="480"/>
              <w:rPr>
                <w:color w:val="auto"/>
              </w:rPr>
            </w:pPr>
          </w:p>
          <w:p w14:paraId="48DF0193">
            <w:pPr>
              <w:pStyle w:val="80"/>
              <w:ind w:firstLine="480"/>
              <w:rPr>
                <w:color w:val="auto"/>
              </w:rPr>
            </w:pPr>
          </w:p>
          <w:p w14:paraId="360D1CDA">
            <w:pPr>
              <w:pStyle w:val="80"/>
              <w:ind w:firstLine="480"/>
              <w:rPr>
                <w:color w:val="auto"/>
              </w:rPr>
            </w:pPr>
          </w:p>
          <w:p w14:paraId="68FA4CE8">
            <w:pPr>
              <w:pStyle w:val="80"/>
              <w:ind w:firstLine="480"/>
              <w:rPr>
                <w:color w:val="auto"/>
              </w:rPr>
            </w:pPr>
          </w:p>
          <w:p w14:paraId="3566C0E4">
            <w:pPr>
              <w:pStyle w:val="80"/>
              <w:ind w:firstLine="480"/>
              <w:rPr>
                <w:color w:val="auto"/>
              </w:rPr>
            </w:pPr>
          </w:p>
          <w:p w14:paraId="2C05682F">
            <w:pPr>
              <w:pStyle w:val="80"/>
              <w:ind w:firstLine="480"/>
              <w:jc w:val="center"/>
              <w:rPr>
                <w:rFonts w:hint="eastAsia"/>
                <w:b/>
                <w:bCs/>
                <w:color w:val="auto"/>
                <w:lang w:val="en-US" w:eastAsia="zh-CN"/>
              </w:rPr>
            </w:pPr>
          </w:p>
          <w:p w14:paraId="7F525617">
            <w:pPr>
              <w:pStyle w:val="80"/>
              <w:ind w:firstLine="480"/>
              <w:jc w:val="center"/>
              <w:rPr>
                <w:rFonts w:hint="default" w:eastAsia="宋体"/>
                <w:b/>
                <w:bCs/>
                <w:color w:val="auto"/>
                <w:lang w:val="en-US" w:eastAsia="zh-CN"/>
              </w:rPr>
            </w:pPr>
            <w:r>
              <w:rPr>
                <w:rFonts w:hint="eastAsia"/>
                <w:b/>
                <w:bCs/>
                <w:color w:val="auto"/>
                <w:lang w:val="en-US" w:eastAsia="zh-CN"/>
              </w:rPr>
              <w:t>图1-1 禁燃区范围图</w:t>
            </w:r>
          </w:p>
          <w:p w14:paraId="4C25BADB">
            <w:pPr>
              <w:autoSpaceDE w:val="0"/>
              <w:autoSpaceDN w:val="0"/>
              <w:adjustRightInd w:val="0"/>
              <w:snapToGrid w:val="0"/>
              <w:spacing w:line="360" w:lineRule="auto"/>
              <w:jc w:val="left"/>
              <w:rPr>
                <w:rFonts w:hint="eastAsia"/>
                <w:b/>
                <w:bCs/>
                <w:color w:val="auto"/>
                <w:sz w:val="24"/>
                <w:highlight w:val="none"/>
                <w:lang w:val="en-US" w:eastAsia="zh-CN"/>
              </w:rPr>
            </w:pPr>
            <w:r>
              <w:rPr>
                <w:rFonts w:hint="eastAsia"/>
                <w:b/>
                <w:bCs/>
                <w:color w:val="auto"/>
                <w:sz w:val="24"/>
                <w:highlight w:val="none"/>
                <w:lang w:val="en-US" w:eastAsia="zh-CN"/>
              </w:rPr>
              <w:t>16、项目与《玉溪市国土空间总体规划修编》（2021-2035年）符合性分析</w:t>
            </w:r>
          </w:p>
          <w:p w14:paraId="0679A809">
            <w:pPr>
              <w:pStyle w:val="2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玉溪市国土空间总体规划修编》（2021-2035年），要求建设项目严守三条控制线：优先将稳定耕地、高标准农田、坝区集中连片优质耕地划为永久基本农田。保障粮食安全和重要农产品供给，严格落实永久基本农田特殊保护制度。将生态功能极重要、极敏感区及整合优化后的自然保护地划入生态保护红线。生态保护红线内，自然保护地核心保护区原则上禁止人为活动，其他区域允许有限的人为活动。在优先划定耕地和永久基本农田、生态保护红线的基础上，按照集约适度、绿色发展要求划定城镇开发边界。城镇开发边界内实施“详细规划+规划许可”的管制方式。本项目位于云南省玉溪市红塔区北城街道环城南路中段（钧澄公司内），根据2025年8月12日，玉溪市红塔区自然资源局出具的红塔区规划审查表，项目不涉及占用基本农田和生态红线，故该项目不在划定的生态保护红线范围内。因此，本项目符合《玉溪市国土空间总体规划修编》（2021-2035年）。</w:t>
            </w:r>
          </w:p>
          <w:p w14:paraId="5E0D4D68">
            <w:pPr>
              <w:autoSpaceDE w:val="0"/>
              <w:autoSpaceDN w:val="0"/>
              <w:adjustRightInd w:val="0"/>
              <w:snapToGrid w:val="0"/>
              <w:spacing w:line="360" w:lineRule="auto"/>
              <w:jc w:val="left"/>
              <w:rPr>
                <w:rFonts w:hint="eastAsia"/>
                <w:b/>
                <w:bCs/>
                <w:color w:val="auto"/>
                <w:sz w:val="24"/>
                <w:highlight w:val="none"/>
                <w:lang w:val="en-US" w:eastAsia="zh-CN"/>
              </w:rPr>
            </w:pPr>
            <w:r>
              <w:rPr>
                <w:rFonts w:hint="eastAsia"/>
                <w:b/>
                <w:bCs/>
                <w:color w:val="auto"/>
                <w:sz w:val="24"/>
                <w:highlight w:val="none"/>
                <w:lang w:val="en-US" w:eastAsia="zh-CN"/>
              </w:rPr>
              <w:t>17、项目与《2023年能源工作指导意见》国能发规划〔2023〕30号相符性分析</w:t>
            </w:r>
          </w:p>
          <w:p w14:paraId="1D8609A6">
            <w:pPr>
              <w:pStyle w:val="2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2023年能源工作指导意见》中提出：加快培育能源新模式新业态。稳步推进有条件的工业园区、城市小区、大型公共服务区，建设以可再生能源为主的综合能源站和终端储能。积极推广地热能、太阳能供热等可再生能源非电利用。支持纤维素等非粮燃料乙醇生产核心技术攻关和试点示范，研究推动生物燃料多元化利用。积极推动氢能应用试点示范，探索氢能产业发展的多种路径和可推广的经验。</w:t>
            </w:r>
          </w:p>
          <w:p w14:paraId="591D66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本项目属于《产业结构调整指导目录（2024年本）》中的</w:t>
            </w:r>
            <w:r>
              <w:rPr>
                <w:rFonts w:hint="eastAsia" w:cs="Times New Roman"/>
                <w:color w:val="auto"/>
                <w:kern w:val="2"/>
                <w:sz w:val="24"/>
                <w:szCs w:val="24"/>
                <w:highlight w:val="none"/>
                <w:lang w:val="en-US" w:eastAsia="zh-CN" w:bidi="ar-SA"/>
              </w:rPr>
              <w:t>鼓励</w:t>
            </w:r>
            <w:r>
              <w:rPr>
                <w:rFonts w:hint="eastAsia" w:ascii="Times New Roman" w:hAnsi="Times New Roman" w:eastAsia="宋体" w:cs="Times New Roman"/>
                <w:color w:val="auto"/>
                <w:kern w:val="2"/>
                <w:sz w:val="24"/>
                <w:szCs w:val="24"/>
                <w:highlight w:val="none"/>
                <w:lang w:val="en-US" w:eastAsia="zh-CN" w:bidi="ar-SA"/>
              </w:rPr>
              <w:t>类建设项目，符合国家产业政策。项目所使用的燃料为生物质成型燃料，为可再生资源，且项目</w:t>
            </w:r>
            <w:r>
              <w:rPr>
                <w:rFonts w:hint="eastAsia" w:cs="Times New Roman"/>
                <w:color w:val="auto"/>
                <w:kern w:val="2"/>
                <w:sz w:val="24"/>
                <w:szCs w:val="24"/>
                <w:highlight w:val="none"/>
                <w:lang w:val="en-US" w:eastAsia="zh-CN" w:bidi="ar-SA"/>
              </w:rPr>
              <w:t>生物质蒸汽发生器</w:t>
            </w:r>
            <w:r>
              <w:rPr>
                <w:rFonts w:hint="eastAsia" w:ascii="Times New Roman" w:hAnsi="Times New Roman" w:eastAsia="宋体" w:cs="Times New Roman"/>
                <w:color w:val="auto"/>
                <w:kern w:val="2"/>
                <w:sz w:val="24"/>
                <w:szCs w:val="24"/>
                <w:highlight w:val="none"/>
                <w:lang w:val="en-US" w:eastAsia="zh-CN" w:bidi="ar-SA"/>
              </w:rPr>
              <w:t>采用低氮燃烧技术，后端设置“旋风除尘器+高效布袋除尘器”的治理措施，处理达到《锅炉大气污染物排放标准》（GB13271-2014）新建燃</w:t>
            </w:r>
            <w:r>
              <w:rPr>
                <w:rFonts w:hint="eastAsia" w:cs="Times New Roman"/>
                <w:color w:val="auto"/>
                <w:kern w:val="2"/>
                <w:sz w:val="24"/>
                <w:szCs w:val="24"/>
                <w:highlight w:val="none"/>
                <w:lang w:val="en-US" w:eastAsia="zh-CN" w:bidi="ar-SA"/>
              </w:rPr>
              <w:t>煤</w:t>
            </w:r>
            <w:r>
              <w:rPr>
                <w:rFonts w:hint="eastAsia" w:ascii="Times New Roman" w:hAnsi="Times New Roman" w:eastAsia="宋体" w:cs="Times New Roman"/>
                <w:color w:val="auto"/>
                <w:kern w:val="2"/>
                <w:sz w:val="24"/>
                <w:szCs w:val="24"/>
                <w:highlight w:val="none"/>
                <w:lang w:val="en-US" w:eastAsia="zh-CN" w:bidi="ar-SA"/>
              </w:rPr>
              <w:t>锅炉排放限值后，经</w:t>
            </w:r>
            <w:r>
              <w:rPr>
                <w:rFonts w:hint="eastAsia" w:cs="Times New Roman"/>
                <w:color w:val="auto"/>
                <w:kern w:val="2"/>
                <w:sz w:val="24"/>
                <w:szCs w:val="24"/>
                <w:highlight w:val="none"/>
                <w:lang w:val="en-US" w:eastAsia="zh-CN" w:bidi="ar-SA"/>
              </w:rPr>
              <w:t>35</w:t>
            </w:r>
            <w:r>
              <w:rPr>
                <w:rFonts w:hint="eastAsia" w:ascii="Times New Roman" w:hAnsi="Times New Roman" w:eastAsia="宋体" w:cs="Times New Roman"/>
                <w:color w:val="auto"/>
                <w:kern w:val="2"/>
                <w:sz w:val="24"/>
                <w:szCs w:val="24"/>
                <w:highlight w:val="none"/>
                <w:lang w:val="en-US" w:eastAsia="zh-CN" w:bidi="ar-SA"/>
              </w:rPr>
              <w:t>m高排气筒排放，对周围环境影响是可以接受的。因此，项目与《2023年能源工作指导意见》国能发规划〔2023〕30号相符合。</w:t>
            </w:r>
          </w:p>
          <w:p w14:paraId="5434E171">
            <w:pPr>
              <w:autoSpaceDE w:val="0"/>
              <w:autoSpaceDN w:val="0"/>
              <w:adjustRightInd w:val="0"/>
              <w:snapToGrid w:val="0"/>
              <w:spacing w:line="360" w:lineRule="auto"/>
              <w:jc w:val="left"/>
              <w:rPr>
                <w:rFonts w:hint="eastAsia"/>
                <w:b/>
                <w:bCs/>
                <w:color w:val="auto"/>
                <w:sz w:val="24"/>
                <w:highlight w:val="none"/>
                <w:lang w:val="en-US" w:eastAsia="zh-CN"/>
              </w:rPr>
            </w:pPr>
            <w:r>
              <w:rPr>
                <w:rFonts w:hint="eastAsia"/>
                <w:b/>
                <w:bCs/>
                <w:color w:val="auto"/>
                <w:sz w:val="24"/>
                <w:highlight w:val="none"/>
                <w:lang w:val="en-US" w:eastAsia="zh-CN"/>
              </w:rPr>
              <w:t>18、项目与《国家能源局关于请报送生物质锅炉清洁供热有关情况的通知》相符性分析</w:t>
            </w:r>
          </w:p>
          <w:p w14:paraId="5F0CD1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通知》明确，生物质锅炉供热是绿色低碳清洁经济的可再生供热方式，适用于中小工业园区供热和城镇供暖。《通知》要求各相关单位梳理生物质锅炉供热的项目情况，项目应具备以下条件：一是使用专用生物质锅炉的新建或改造项目；二是项目配备相应的环保设施，污染物排放要达到天然气锅炉排放标准；三是项目到2020年底前建成投运；四是项目不限制技术路线，包括生物质直燃锅炉(以农林生物质或成型燃料为燃料)、生物质气化锅炉(以沼气、生物质气化燃气等为燃料)，以及以热定电的生物质热电联产等；五是项目建设运行不需要国家补贴。《通知》要求各地针对当地天然气供需形势、生物质资源、供热市场等情况，提出推进生物质锅炉供热发展的政策措施，建设城镇清洁可再生供热体系，积极推进生物质锅炉清洁供热在中小工业园区、中小城镇的应用，减少燃煤消耗、节约天然气。</w:t>
            </w:r>
          </w:p>
          <w:p w14:paraId="01FF4F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本</w:t>
            </w:r>
            <w:r>
              <w:rPr>
                <w:rFonts w:hint="eastAsia" w:ascii="Times New Roman" w:hAnsi="Times New Roman" w:eastAsia="宋体" w:cs="Times New Roman"/>
                <w:color w:val="auto"/>
                <w:kern w:val="2"/>
                <w:sz w:val="24"/>
                <w:szCs w:val="24"/>
                <w:highlight w:val="none"/>
                <w:lang w:val="en-US" w:eastAsia="zh-CN" w:bidi="ar-SA"/>
              </w:rPr>
              <w:t>项目所使用的燃料为生物质成型燃料，为可再生资源，且项目</w:t>
            </w:r>
            <w:r>
              <w:rPr>
                <w:rFonts w:hint="eastAsia" w:cs="Times New Roman"/>
                <w:color w:val="auto"/>
                <w:kern w:val="2"/>
                <w:sz w:val="24"/>
                <w:szCs w:val="24"/>
                <w:highlight w:val="none"/>
                <w:lang w:val="en-US" w:eastAsia="zh-CN" w:bidi="ar-SA"/>
              </w:rPr>
              <w:t>生物质蒸汽发生器</w:t>
            </w:r>
            <w:r>
              <w:rPr>
                <w:rFonts w:hint="eastAsia" w:ascii="Times New Roman" w:hAnsi="Times New Roman" w:eastAsia="宋体" w:cs="Times New Roman"/>
                <w:color w:val="auto"/>
                <w:kern w:val="2"/>
                <w:sz w:val="24"/>
                <w:szCs w:val="24"/>
                <w:highlight w:val="none"/>
                <w:lang w:val="en-US" w:eastAsia="zh-CN" w:bidi="ar-SA"/>
              </w:rPr>
              <w:t>采用低氮燃烧技术，后端设置“旋风除尘器+布袋除尘器”的治理措施，处理达到《锅炉大气污染物排放标准》（GB13271-2014）新建燃气锅炉排放限值后，经</w:t>
            </w:r>
            <w:r>
              <w:rPr>
                <w:rFonts w:hint="eastAsia" w:cs="Times New Roman"/>
                <w:color w:val="auto"/>
                <w:kern w:val="2"/>
                <w:sz w:val="24"/>
                <w:szCs w:val="24"/>
                <w:highlight w:val="none"/>
                <w:lang w:val="en-US" w:eastAsia="zh-CN" w:bidi="ar-SA"/>
              </w:rPr>
              <w:t>35</w:t>
            </w:r>
            <w:r>
              <w:rPr>
                <w:rFonts w:hint="eastAsia" w:ascii="Times New Roman" w:hAnsi="Times New Roman" w:eastAsia="宋体" w:cs="Times New Roman"/>
                <w:color w:val="auto"/>
                <w:kern w:val="2"/>
                <w:sz w:val="24"/>
                <w:szCs w:val="24"/>
                <w:highlight w:val="none"/>
                <w:lang w:val="en-US" w:eastAsia="zh-CN" w:bidi="ar-SA"/>
              </w:rPr>
              <w:t>m高排气筒排放，对周围环境影响是可以接受的。因此，项目与《国家能源局关于请报送生物质锅炉清洁供热有关情况的通知》相符合。</w:t>
            </w:r>
          </w:p>
          <w:p w14:paraId="66EF3EE6">
            <w:pPr>
              <w:autoSpaceDE w:val="0"/>
              <w:autoSpaceDN w:val="0"/>
              <w:adjustRightInd w:val="0"/>
              <w:snapToGrid w:val="0"/>
              <w:spacing w:line="360" w:lineRule="auto"/>
              <w:jc w:val="left"/>
              <w:rPr>
                <w:b/>
                <w:bCs/>
                <w:color w:val="auto"/>
                <w:sz w:val="24"/>
                <w:highlight w:val="none"/>
              </w:rPr>
            </w:pPr>
            <w:r>
              <w:rPr>
                <w:rFonts w:hint="eastAsia"/>
                <w:b/>
                <w:bCs/>
                <w:color w:val="auto"/>
                <w:sz w:val="24"/>
                <w:highlight w:val="none"/>
                <w:lang w:val="en-US" w:eastAsia="zh-CN"/>
              </w:rPr>
              <w:t>19、</w:t>
            </w:r>
            <w:r>
              <w:rPr>
                <w:rFonts w:hint="eastAsia"/>
                <w:b/>
                <w:bCs/>
                <w:color w:val="auto"/>
                <w:sz w:val="24"/>
                <w:highlight w:val="none"/>
              </w:rPr>
              <w:t>平面布置合理性分析</w:t>
            </w:r>
          </w:p>
          <w:p w14:paraId="7A4DAEB2">
            <w:pPr>
              <w:pStyle w:val="24"/>
              <w:spacing w:after="0" w:line="360" w:lineRule="auto"/>
              <w:ind w:firstLine="480" w:firstLineChars="200"/>
              <w:jc w:val="left"/>
              <w:rPr>
                <w:color w:val="auto"/>
                <w:sz w:val="24"/>
                <w:highlight w:val="none"/>
              </w:rPr>
            </w:pPr>
            <w:r>
              <w:rPr>
                <w:rFonts w:hint="eastAsia"/>
                <w:color w:val="auto"/>
                <w:sz w:val="24"/>
                <w:highlight w:val="none"/>
              </w:rPr>
              <w:t>本项目</w:t>
            </w:r>
            <w:r>
              <w:rPr>
                <w:rFonts w:hint="eastAsia"/>
                <w:color w:val="auto"/>
                <w:sz w:val="24"/>
                <w:highlight w:val="none"/>
                <w:lang w:val="en-US" w:eastAsia="zh-CN"/>
              </w:rPr>
              <w:t>位于</w:t>
            </w:r>
            <w:r>
              <w:rPr>
                <w:rFonts w:hint="eastAsia"/>
                <w:color w:val="auto"/>
                <w:sz w:val="24"/>
                <w:highlight w:val="none"/>
                <w:lang w:eastAsia="zh-CN"/>
              </w:rPr>
              <w:t>云南省玉溪市红塔区北城街道环城南路中段（钧澄公司内）</w:t>
            </w:r>
            <w:r>
              <w:rPr>
                <w:rFonts w:hint="eastAsia"/>
                <w:color w:val="auto"/>
                <w:sz w:val="24"/>
                <w:highlight w:val="none"/>
              </w:rPr>
              <w:t>，厂区</w:t>
            </w:r>
            <w:r>
              <w:rPr>
                <w:rFonts w:hint="eastAsia"/>
                <w:color w:val="auto"/>
                <w:sz w:val="24"/>
                <w:highlight w:val="none"/>
                <w:lang w:val="en-US" w:eastAsia="zh-CN"/>
              </w:rPr>
              <w:t>从南至北</w:t>
            </w:r>
            <w:r>
              <w:rPr>
                <w:rFonts w:hint="eastAsia"/>
                <w:color w:val="auto"/>
                <w:sz w:val="24"/>
                <w:highlight w:val="none"/>
              </w:rPr>
              <w:t>依次布置为</w:t>
            </w:r>
            <w:r>
              <w:rPr>
                <w:rFonts w:hint="eastAsia"/>
                <w:color w:val="auto"/>
                <w:sz w:val="24"/>
                <w:highlight w:val="none"/>
                <w:lang w:val="en-US" w:eastAsia="zh-CN"/>
              </w:rPr>
              <w:t>絮凝沉淀池、软水箱、树脂交换器、</w:t>
            </w:r>
            <w:r>
              <w:rPr>
                <w:rFonts w:hint="eastAsia"/>
                <w:color w:val="auto"/>
                <w:sz w:val="24"/>
                <w:highlight w:val="none"/>
              </w:rPr>
              <w:t>3</w:t>
            </w:r>
            <w:r>
              <w:rPr>
                <w:rFonts w:hint="eastAsia"/>
                <w:color w:val="auto"/>
                <w:sz w:val="24"/>
                <w:highlight w:val="none"/>
                <w:lang w:val="en-US" w:eastAsia="zh-CN"/>
              </w:rPr>
              <w:t>组</w:t>
            </w:r>
            <w:r>
              <w:rPr>
                <w:rFonts w:hint="eastAsia"/>
                <w:color w:val="auto"/>
                <w:sz w:val="24"/>
                <w:highlight w:val="none"/>
              </w:rPr>
              <w:t>生物质专用</w:t>
            </w:r>
            <w:r>
              <w:rPr>
                <w:rFonts w:hint="eastAsia"/>
                <w:color w:val="auto"/>
                <w:sz w:val="24"/>
                <w:highlight w:val="none"/>
                <w:lang w:eastAsia="zh-CN"/>
              </w:rPr>
              <w:t>蒸汽发生器</w:t>
            </w:r>
            <w:r>
              <w:rPr>
                <w:rFonts w:hint="eastAsia"/>
                <w:color w:val="auto"/>
                <w:sz w:val="24"/>
                <w:highlight w:val="none"/>
                <w:lang w:val="en-US" w:eastAsia="zh-CN"/>
              </w:rPr>
              <w:t>及配套的</w:t>
            </w:r>
            <w:r>
              <w:rPr>
                <w:rFonts w:hint="eastAsia"/>
                <w:color w:val="auto"/>
                <w:sz w:val="24"/>
                <w:highlight w:val="none"/>
              </w:rPr>
              <w:t>旋风除尘+布袋除尘设施</w:t>
            </w:r>
            <w:r>
              <w:rPr>
                <w:rFonts w:hint="eastAsia"/>
                <w:color w:val="auto"/>
                <w:sz w:val="24"/>
                <w:highlight w:val="none"/>
                <w:lang w:eastAsia="zh-CN"/>
              </w:rPr>
              <w:t>、</w:t>
            </w:r>
            <w:r>
              <w:rPr>
                <w:rFonts w:hint="eastAsia"/>
                <w:color w:val="auto"/>
                <w:sz w:val="24"/>
                <w:highlight w:val="none"/>
                <w:lang w:val="en-US" w:eastAsia="zh-CN"/>
              </w:rPr>
              <w:t>操作间、灰渣暂存区、生物质燃料暂存区域</w:t>
            </w:r>
            <w:r>
              <w:rPr>
                <w:rFonts w:hint="eastAsia"/>
                <w:color w:val="auto"/>
                <w:sz w:val="24"/>
                <w:highlight w:val="none"/>
              </w:rPr>
              <w:t>；车间布局结合生产线进行布设，平面布局合理。</w:t>
            </w:r>
          </w:p>
          <w:p w14:paraId="5F789304">
            <w:pPr>
              <w:snapToGrid w:val="0"/>
              <w:spacing w:line="360" w:lineRule="auto"/>
              <w:ind w:firstLine="480" w:firstLineChars="200"/>
              <w:rPr>
                <w:color w:val="auto"/>
                <w:sz w:val="24"/>
                <w:highlight w:val="none"/>
              </w:rPr>
            </w:pPr>
            <w:r>
              <w:rPr>
                <w:rFonts w:hint="eastAsia"/>
                <w:color w:val="auto"/>
                <w:sz w:val="24"/>
                <w:highlight w:val="none"/>
              </w:rPr>
              <w:t>根据</w:t>
            </w:r>
            <w:r>
              <w:rPr>
                <w:rFonts w:hint="eastAsia"/>
                <w:color w:val="auto"/>
                <w:sz w:val="24"/>
                <w:highlight w:val="none"/>
                <w:lang w:eastAsia="zh-CN"/>
              </w:rPr>
              <w:t>现场勘查</w:t>
            </w:r>
            <w:r>
              <w:rPr>
                <w:rFonts w:hint="eastAsia"/>
                <w:color w:val="auto"/>
                <w:sz w:val="24"/>
                <w:highlight w:val="none"/>
              </w:rPr>
              <w:t>，项目周边最近保护目标为项目北面厂界外</w:t>
            </w:r>
            <w:r>
              <w:rPr>
                <w:rFonts w:hint="eastAsia"/>
                <w:color w:val="auto"/>
                <w:sz w:val="24"/>
                <w:highlight w:val="none"/>
                <w:lang w:val="en-US" w:eastAsia="zh-CN"/>
              </w:rPr>
              <w:t>234</w:t>
            </w:r>
            <w:r>
              <w:rPr>
                <w:rFonts w:hint="eastAsia"/>
                <w:color w:val="auto"/>
                <w:sz w:val="24"/>
                <w:highlight w:val="none"/>
              </w:rPr>
              <w:t>m处的</w:t>
            </w:r>
            <w:r>
              <w:rPr>
                <w:rFonts w:hint="eastAsia"/>
                <w:color w:val="auto"/>
                <w:sz w:val="24"/>
                <w:highlight w:val="none"/>
                <w:lang w:val="en-US" w:eastAsia="zh-CN"/>
              </w:rPr>
              <w:t>北城社区19组</w:t>
            </w:r>
            <w:r>
              <w:rPr>
                <w:rFonts w:hint="eastAsia"/>
                <w:color w:val="auto"/>
                <w:sz w:val="24"/>
                <w:highlight w:val="none"/>
              </w:rPr>
              <w:t>，距离较远。项目运营过程中建设单位采取合理布设生产设备，使强噪声设备远离</w:t>
            </w:r>
            <w:r>
              <w:rPr>
                <w:rFonts w:hint="eastAsia"/>
                <w:color w:val="auto"/>
                <w:sz w:val="24"/>
                <w:highlight w:val="none"/>
                <w:lang w:val="en-US" w:eastAsia="zh-CN"/>
              </w:rPr>
              <w:t>厂房</w:t>
            </w:r>
            <w:r>
              <w:rPr>
                <w:rFonts w:hint="eastAsia"/>
                <w:color w:val="auto"/>
                <w:sz w:val="24"/>
                <w:highlight w:val="none"/>
              </w:rPr>
              <w:t>边界，</w:t>
            </w:r>
            <w:r>
              <w:rPr>
                <w:rFonts w:hint="eastAsia"/>
                <w:color w:val="auto"/>
                <w:sz w:val="24"/>
                <w:highlight w:val="none"/>
                <w:lang w:eastAsia="zh-CN"/>
              </w:rPr>
              <w:t>蒸汽发生器</w:t>
            </w:r>
            <w:r>
              <w:rPr>
                <w:rFonts w:hint="eastAsia"/>
                <w:color w:val="auto"/>
                <w:sz w:val="24"/>
                <w:highlight w:val="none"/>
              </w:rPr>
              <w:t>风机出口设置消声器，生产设备置于室内，利用厂房隔音，减少噪声对保护目标的影响，采取以上措施及结合</w:t>
            </w:r>
            <w:r>
              <w:rPr>
                <w:rFonts w:hint="eastAsia"/>
                <w:color w:val="auto"/>
                <w:sz w:val="24"/>
                <w:highlight w:val="none"/>
                <w:lang w:val="en-US" w:eastAsia="zh-CN"/>
              </w:rPr>
              <w:t>现状监测</w:t>
            </w:r>
            <w:r>
              <w:rPr>
                <w:rFonts w:hint="eastAsia"/>
                <w:color w:val="auto"/>
                <w:sz w:val="24"/>
                <w:highlight w:val="none"/>
              </w:rPr>
              <w:t>分析，项目运营期间</w:t>
            </w:r>
            <w:r>
              <w:rPr>
                <w:rFonts w:hint="eastAsia"/>
                <w:color w:val="auto"/>
                <w:sz w:val="24"/>
                <w:highlight w:val="none"/>
                <w:lang w:val="en-US" w:eastAsia="zh-CN"/>
              </w:rPr>
              <w:t>东、南、西北</w:t>
            </w:r>
            <w:r>
              <w:rPr>
                <w:rFonts w:hint="eastAsia"/>
                <w:color w:val="auto"/>
                <w:sz w:val="24"/>
                <w:highlight w:val="none"/>
              </w:rPr>
              <w:t>厂界噪声均能达到</w:t>
            </w:r>
            <w:r>
              <w:rPr>
                <w:color w:val="auto"/>
                <w:sz w:val="24"/>
                <w:highlight w:val="none"/>
              </w:rPr>
              <w:t>《工业企业厂界环境噪声排放标准》（GB12348-2008）</w:t>
            </w:r>
            <w:r>
              <w:rPr>
                <w:rFonts w:hint="eastAsia"/>
                <w:color w:val="auto"/>
                <w:sz w:val="24"/>
                <w:highlight w:val="none"/>
                <w:lang w:val="en-US" w:eastAsia="zh-CN"/>
              </w:rPr>
              <w:t>2</w:t>
            </w:r>
            <w:r>
              <w:rPr>
                <w:color w:val="auto"/>
                <w:sz w:val="24"/>
                <w:highlight w:val="none"/>
              </w:rPr>
              <w:t>类标准</w:t>
            </w:r>
            <w:r>
              <w:rPr>
                <w:rFonts w:hint="eastAsia"/>
                <w:color w:val="auto"/>
                <w:sz w:val="24"/>
                <w:highlight w:val="none"/>
              </w:rPr>
              <w:t>，项目产生的噪声对周边环境影响不大。</w:t>
            </w:r>
          </w:p>
          <w:p w14:paraId="179C9FD9">
            <w:pPr>
              <w:snapToGrid w:val="0"/>
              <w:spacing w:line="360" w:lineRule="auto"/>
              <w:ind w:firstLine="480" w:firstLineChars="200"/>
              <w:rPr>
                <w:color w:val="auto"/>
                <w:kern w:val="0"/>
                <w:sz w:val="24"/>
                <w:highlight w:val="none"/>
              </w:rPr>
            </w:pPr>
            <w:r>
              <w:rPr>
                <w:rFonts w:hint="eastAsia"/>
                <w:color w:val="auto"/>
                <w:sz w:val="24"/>
                <w:highlight w:val="none"/>
              </w:rPr>
              <w:t>其次，针对项目产生的</w:t>
            </w:r>
            <w:r>
              <w:rPr>
                <w:rFonts w:hint="eastAsia"/>
                <w:color w:val="auto"/>
                <w:sz w:val="24"/>
                <w:highlight w:val="none"/>
                <w:lang w:eastAsia="zh-CN"/>
              </w:rPr>
              <w:t>蒸汽发生器</w:t>
            </w:r>
            <w:r>
              <w:rPr>
                <w:rFonts w:hint="eastAsia"/>
                <w:color w:val="auto"/>
                <w:sz w:val="24"/>
                <w:highlight w:val="none"/>
              </w:rPr>
              <w:t>废气，项目采取“低氮燃烧技术+旋风除尘+布袋除尘器”处理后由1根</w:t>
            </w:r>
            <w:r>
              <w:rPr>
                <w:rFonts w:hint="eastAsia"/>
                <w:color w:val="auto"/>
                <w:sz w:val="24"/>
                <w:highlight w:val="none"/>
                <w:lang w:val="en-US" w:eastAsia="zh-CN"/>
              </w:rPr>
              <w:t>3</w:t>
            </w:r>
            <w:r>
              <w:rPr>
                <w:rFonts w:hint="eastAsia"/>
                <w:color w:val="auto"/>
                <w:sz w:val="24"/>
                <w:highlight w:val="none"/>
              </w:rPr>
              <w:t>5m高排气筒（DA001）外排，废气能够达到《</w:t>
            </w:r>
            <w:r>
              <w:rPr>
                <w:rFonts w:hint="eastAsia"/>
                <w:color w:val="auto"/>
                <w:sz w:val="24"/>
                <w:highlight w:val="none"/>
                <w:lang w:eastAsia="zh-CN"/>
              </w:rPr>
              <w:t>锅炉大气污染物排放标准</w:t>
            </w:r>
            <w:r>
              <w:rPr>
                <w:rFonts w:hint="eastAsia"/>
                <w:color w:val="auto"/>
                <w:sz w:val="24"/>
                <w:highlight w:val="none"/>
              </w:rPr>
              <w:t>》（GB13271-2014）中新</w:t>
            </w:r>
            <w:r>
              <w:rPr>
                <w:rFonts w:hint="eastAsia"/>
                <w:color w:val="auto"/>
                <w:sz w:val="24"/>
                <w:highlight w:val="none"/>
                <w:lang w:eastAsia="zh-CN"/>
              </w:rPr>
              <w:t>建</w:t>
            </w:r>
            <w:r>
              <w:rPr>
                <w:rFonts w:hint="eastAsia"/>
                <w:color w:val="auto"/>
                <w:sz w:val="24"/>
                <w:highlight w:val="none"/>
                <w:lang w:val="en-US" w:eastAsia="zh-CN"/>
              </w:rPr>
              <w:t>燃煤锅炉大气污染物排放限值</w:t>
            </w:r>
            <w:r>
              <w:rPr>
                <w:rFonts w:hint="eastAsia"/>
                <w:color w:val="auto"/>
                <w:sz w:val="24"/>
                <w:highlight w:val="none"/>
              </w:rPr>
              <w:t>要求，产生的废气对外环境影响不大。</w:t>
            </w:r>
            <w:r>
              <w:rPr>
                <w:color w:val="auto"/>
                <w:sz w:val="24"/>
                <w:highlight w:val="none"/>
              </w:rPr>
              <w:t>项目平面布置</w:t>
            </w:r>
            <w:r>
              <w:rPr>
                <w:rFonts w:hint="eastAsia"/>
                <w:color w:val="auto"/>
                <w:sz w:val="24"/>
                <w:highlight w:val="none"/>
                <w:lang w:val="en-US" w:eastAsia="zh-CN"/>
              </w:rPr>
              <w:t>基本</w:t>
            </w:r>
            <w:r>
              <w:rPr>
                <w:color w:val="auto"/>
                <w:sz w:val="24"/>
                <w:highlight w:val="none"/>
              </w:rPr>
              <w:t>合理。</w:t>
            </w:r>
          </w:p>
        </w:tc>
      </w:tr>
    </w:tbl>
    <w:p w14:paraId="4C0ED763">
      <w:pPr>
        <w:spacing w:line="360" w:lineRule="auto"/>
        <w:rPr>
          <w:rFonts w:eastAsia="黑体"/>
          <w:color w:val="auto"/>
          <w:sz w:val="30"/>
          <w:highlight w:val="none"/>
        </w:rPr>
        <w:sectPr>
          <w:footerReference r:id="rId4" w:type="default"/>
          <w:pgSz w:w="11906" w:h="16838"/>
          <w:pgMar w:top="1701" w:right="1531" w:bottom="1701" w:left="1531" w:header="851" w:footer="1077" w:gutter="0"/>
          <w:pgNumType w:fmt="decimal" w:start="1"/>
          <w:cols w:space="720" w:num="1"/>
          <w:docGrid w:linePitch="312" w:charSpace="0"/>
        </w:sectPr>
      </w:pPr>
    </w:p>
    <w:p w14:paraId="4D3FFD68">
      <w:pPr>
        <w:pStyle w:val="22"/>
        <w:jc w:val="center"/>
        <w:outlineLvl w:val="0"/>
        <w:rPr>
          <w:rFonts w:ascii="Times New Roman" w:hAnsi="Times New Roman" w:eastAsia="黑体"/>
          <w:snapToGrid w:val="0"/>
          <w:color w:val="auto"/>
          <w:sz w:val="30"/>
          <w:szCs w:val="30"/>
          <w:highlight w:val="none"/>
        </w:rPr>
      </w:pPr>
      <w:bookmarkStart w:id="19" w:name="_Toc17251"/>
      <w:r>
        <w:rPr>
          <w:rFonts w:ascii="Times New Roman" w:hAnsi="黑体" w:eastAsia="黑体"/>
          <w:snapToGrid w:val="0"/>
          <w:color w:val="auto"/>
          <w:sz w:val="30"/>
          <w:szCs w:val="30"/>
          <w:highlight w:val="none"/>
        </w:rPr>
        <w:t>二、建设项目工程分析</w:t>
      </w:r>
      <w:bookmarkEnd w:id="19"/>
    </w:p>
    <w:tbl>
      <w:tblPr>
        <w:tblStyle w:val="26"/>
        <w:tblW w:w="93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8304"/>
      </w:tblGrid>
      <w:tr w14:paraId="1C850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68" w:hRule="atLeast"/>
          <w:jc w:val="center"/>
        </w:trPr>
        <w:tc>
          <w:tcPr>
            <w:tcW w:w="1035" w:type="dxa"/>
            <w:vAlign w:val="center"/>
          </w:tcPr>
          <w:p w14:paraId="7F3F88DC">
            <w:pPr>
              <w:pStyle w:val="22"/>
              <w:adjustRightInd w:val="0"/>
              <w:snapToGrid w:val="0"/>
              <w:spacing w:before="0" w:beforeAutospacing="0" w:after="0" w:afterAutospacing="0"/>
              <w:jc w:val="center"/>
              <w:rPr>
                <w:rFonts w:ascii="Times New Roman" w:hAnsi="Times New Roman"/>
                <w:color w:val="auto"/>
                <w:szCs w:val="24"/>
                <w:highlight w:val="none"/>
              </w:rPr>
            </w:pPr>
            <w:r>
              <w:rPr>
                <w:rFonts w:ascii="Times New Roman"/>
                <w:color w:val="auto"/>
                <w:szCs w:val="24"/>
                <w:highlight w:val="none"/>
              </w:rPr>
              <w:t>建设内容</w:t>
            </w:r>
          </w:p>
        </w:tc>
        <w:tc>
          <w:tcPr>
            <w:tcW w:w="8302" w:type="dxa"/>
          </w:tcPr>
          <w:p w14:paraId="06E7CE8E">
            <w:pPr>
              <w:adjustRightInd w:val="0"/>
              <w:snapToGrid w:val="0"/>
              <w:spacing w:line="360" w:lineRule="auto"/>
              <w:rPr>
                <w:b/>
                <w:bCs/>
                <w:color w:val="auto"/>
                <w:sz w:val="24"/>
              </w:rPr>
            </w:pPr>
            <w:r>
              <w:rPr>
                <w:b/>
                <w:bCs/>
                <w:color w:val="auto"/>
                <w:sz w:val="24"/>
              </w:rPr>
              <w:t>一、项目由来</w:t>
            </w:r>
          </w:p>
          <w:p w14:paraId="345C96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rPr>
            </w:pPr>
            <w:r>
              <w:rPr>
                <w:rFonts w:hint="eastAsia" w:ascii="Times New Roman" w:hAnsi="Times New Roman" w:eastAsia="宋体" w:cs="Times New Roman"/>
                <w:color w:val="auto"/>
                <w:sz w:val="24"/>
                <w:szCs w:val="24"/>
                <w:lang w:val="en-US" w:eastAsia="zh-CN"/>
              </w:rPr>
              <w:t>为促进北城镇个私经济的快速健康发展，拓展生物加工产业，玉溪市红塔区北城镇人民政府2003年以招商引资方式招赵红落地北城投资发展生物加工产业，并签署了位于北城街道环城南路中段50亩土地租赁协议（</w:t>
            </w:r>
            <w:r>
              <w:rPr>
                <w:rFonts w:hint="default" w:ascii="Times New Roman" w:hAnsi="Times New Roman" w:eastAsia="宋体" w:cs="Times New Roman"/>
                <w:color w:val="auto"/>
                <w:sz w:val="24"/>
                <w:szCs w:val="24"/>
                <w:lang w:val="en-US" w:eastAsia="zh-CN"/>
              </w:rPr>
              <w:t>租赁协议详见附件</w:t>
            </w:r>
            <w:r>
              <w:rPr>
                <w:rFonts w:hint="eastAsia" w:ascii="Times New Roman" w:hAnsi="Times New Roman" w:eastAsia="宋体" w:cs="Times New Roman"/>
                <w:color w:val="auto"/>
                <w:sz w:val="24"/>
                <w:szCs w:val="24"/>
                <w:lang w:val="en-US" w:eastAsia="zh-CN"/>
              </w:rPr>
              <w:t>10），后因资金原因赵红项目未推进，该土地权属归还北城社区19组，土地仍由赵红继续使用投资</w:t>
            </w:r>
            <w:r>
              <w:rPr>
                <w:rFonts w:hint="eastAsia" w:cs="Times New Roman"/>
                <w:color w:val="auto"/>
                <w:sz w:val="24"/>
                <w:szCs w:val="24"/>
                <w:lang w:val="en-US" w:eastAsia="zh-CN"/>
              </w:rPr>
              <w:t>建设</w:t>
            </w:r>
            <w:r>
              <w:rPr>
                <w:rFonts w:hint="eastAsia" w:ascii="Times New Roman" w:hAnsi="Times New Roman" w:eastAsia="宋体" w:cs="Times New Roman"/>
                <w:color w:val="auto"/>
                <w:sz w:val="24"/>
                <w:szCs w:val="24"/>
                <w:lang w:val="en-US" w:eastAsia="zh-CN"/>
              </w:rPr>
              <w:t>玉溪必邦生物科技有限公司。</w:t>
            </w:r>
            <w:r>
              <w:rPr>
                <w:rFonts w:hint="eastAsia" w:cs="Times New Roman"/>
                <w:color w:val="auto"/>
                <w:sz w:val="24"/>
                <w:szCs w:val="22"/>
                <w:lang w:val="en-US" w:eastAsia="zh-CN"/>
              </w:rPr>
              <w:t>2016年3月25日，玉溪必邦生物科技有限公司把部分土地转租给玉溪市恒威商贸有限公司建设泡沫厂，玉溪市恒威商贸有限公司后经工商备案更名为玉溪钧澄经贸有限公司。</w:t>
            </w:r>
            <w:r>
              <w:rPr>
                <w:rFonts w:hint="eastAsia"/>
                <w:color w:val="auto"/>
                <w:sz w:val="24"/>
              </w:rPr>
              <w:t>20</w:t>
            </w:r>
            <w:r>
              <w:rPr>
                <w:rFonts w:hint="eastAsia"/>
                <w:color w:val="auto"/>
                <w:sz w:val="24"/>
                <w:lang w:val="en-US" w:eastAsia="zh-CN"/>
              </w:rPr>
              <w:t>17</w:t>
            </w:r>
            <w:r>
              <w:rPr>
                <w:rFonts w:hint="eastAsia"/>
                <w:color w:val="auto"/>
                <w:sz w:val="24"/>
              </w:rPr>
              <w:t>年</w:t>
            </w:r>
            <w:r>
              <w:rPr>
                <w:rFonts w:hint="eastAsia"/>
                <w:color w:val="auto"/>
                <w:sz w:val="24"/>
                <w:lang w:val="en-US" w:eastAsia="zh-CN"/>
              </w:rPr>
              <w:t>11</w:t>
            </w:r>
            <w:r>
              <w:rPr>
                <w:rFonts w:hint="eastAsia"/>
                <w:color w:val="auto"/>
                <w:sz w:val="24"/>
              </w:rPr>
              <w:t>月</w:t>
            </w:r>
            <w:r>
              <w:rPr>
                <w:rFonts w:hint="eastAsia"/>
                <w:color w:val="auto"/>
                <w:sz w:val="24"/>
                <w:lang w:val="en-US" w:eastAsia="zh-CN"/>
              </w:rPr>
              <w:t>10日，</w:t>
            </w:r>
            <w:r>
              <w:rPr>
                <w:rFonts w:hint="eastAsia" w:cs="Times New Roman"/>
                <w:color w:val="auto"/>
                <w:sz w:val="24"/>
                <w:szCs w:val="22"/>
                <w:lang w:val="en-US" w:eastAsia="zh-CN"/>
              </w:rPr>
              <w:t>玉溪市恒威商贸有限公司</w:t>
            </w:r>
            <w:r>
              <w:rPr>
                <w:rFonts w:hint="eastAsia"/>
                <w:color w:val="auto"/>
                <w:sz w:val="24"/>
              </w:rPr>
              <w:t>取得了</w:t>
            </w:r>
            <w:r>
              <w:rPr>
                <w:rFonts w:hint="eastAsia"/>
                <w:color w:val="auto"/>
                <w:sz w:val="24"/>
                <w:lang w:val="en-US" w:eastAsia="zh-CN"/>
              </w:rPr>
              <w:t>原玉溪市红塔区环境保护局</w:t>
            </w:r>
            <w:r>
              <w:rPr>
                <w:rFonts w:hint="eastAsia"/>
                <w:color w:val="auto"/>
                <w:sz w:val="24"/>
              </w:rPr>
              <w:t>文件“关于</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项目环境影响报告表的批复”</w:t>
            </w:r>
            <w:r>
              <w:rPr>
                <w:rFonts w:hint="eastAsia"/>
                <w:color w:val="auto"/>
                <w:sz w:val="24"/>
                <w:lang w:eastAsia="zh-CN"/>
              </w:rPr>
              <w:t>，</w:t>
            </w:r>
            <w:r>
              <w:rPr>
                <w:rFonts w:hint="eastAsia" w:ascii="宋体" w:hAnsi="宋体" w:eastAsia="宋体" w:cs="宋体"/>
                <w:color w:val="auto"/>
                <w:sz w:val="24"/>
                <w:lang w:val="en-US" w:eastAsia="zh-CN"/>
              </w:rPr>
              <w:t>玉红环审〔2017〕74号，详见附件12</w:t>
            </w:r>
            <w:r>
              <w:rPr>
                <w:rFonts w:hint="eastAsia"/>
                <w:color w:val="auto"/>
                <w:sz w:val="24"/>
              </w:rPr>
              <w:t>。</w:t>
            </w:r>
            <w:r>
              <w:rPr>
                <w:rFonts w:hint="eastAsia" w:ascii="宋体" w:hAnsi="宋体" w:cs="宋体"/>
                <w:color w:val="auto"/>
                <w:sz w:val="24"/>
              </w:rPr>
              <w:t>20</w:t>
            </w:r>
            <w:r>
              <w:rPr>
                <w:rFonts w:hint="eastAsia" w:ascii="宋体" w:hAnsi="宋体" w:cs="宋体"/>
                <w:color w:val="auto"/>
                <w:sz w:val="24"/>
                <w:lang w:val="en-US" w:eastAsia="zh-CN"/>
              </w:rPr>
              <w:t>19</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20日</w:t>
            </w:r>
            <w:r>
              <w:rPr>
                <w:rFonts w:hint="eastAsia"/>
                <w:color w:val="auto"/>
                <w:sz w:val="24"/>
              </w:rPr>
              <w:t>，</w:t>
            </w:r>
            <w:r>
              <w:rPr>
                <w:rFonts w:hint="eastAsia" w:cs="Times New Roman"/>
                <w:color w:val="auto"/>
                <w:sz w:val="24"/>
                <w:szCs w:val="22"/>
                <w:lang w:val="en-US" w:eastAsia="zh-CN"/>
              </w:rPr>
              <w:t>玉溪市恒威商贸有限公司</w:t>
            </w:r>
            <w:r>
              <w:rPr>
                <w:rFonts w:hint="eastAsia"/>
                <w:color w:val="auto"/>
                <w:sz w:val="24"/>
              </w:rPr>
              <w:t>取得了</w:t>
            </w:r>
            <w:r>
              <w:rPr>
                <w:rFonts w:hint="eastAsia"/>
                <w:color w:val="auto"/>
                <w:sz w:val="24"/>
                <w:lang w:val="en-US" w:eastAsia="zh-CN"/>
              </w:rPr>
              <w:t>原玉溪市生态环境局红塔分局文件</w:t>
            </w:r>
            <w:r>
              <w:rPr>
                <w:rFonts w:hint="eastAsia"/>
                <w:color w:val="auto"/>
                <w:sz w:val="24"/>
              </w:rPr>
              <w:t>关于</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w:t>
            </w:r>
            <w:r>
              <w:rPr>
                <w:rFonts w:hint="eastAsia"/>
                <w:color w:val="auto"/>
                <w:sz w:val="24"/>
                <w:lang w:val="en-US" w:eastAsia="zh-CN"/>
              </w:rPr>
              <w:t>固体废物污染防治设施的验收意见”</w:t>
            </w:r>
            <w:r>
              <w:rPr>
                <w:rFonts w:hint="eastAsia"/>
                <w:color w:val="auto"/>
                <w:sz w:val="24"/>
                <w:lang w:eastAsia="zh-CN"/>
              </w:rPr>
              <w:t>，</w:t>
            </w:r>
            <w:r>
              <w:rPr>
                <w:rFonts w:hint="eastAsia"/>
                <w:color w:val="auto"/>
                <w:sz w:val="24"/>
                <w:lang w:val="en-US" w:eastAsia="zh-CN"/>
              </w:rPr>
              <w:t>详见附件13</w:t>
            </w:r>
            <w:r>
              <w:rPr>
                <w:rFonts w:hint="eastAsia"/>
                <w:color w:val="auto"/>
                <w:sz w:val="24"/>
              </w:rPr>
              <w:t>。</w:t>
            </w:r>
          </w:p>
          <w:p w14:paraId="734DEDDC">
            <w:pPr>
              <w:spacing w:line="360" w:lineRule="auto"/>
              <w:ind w:firstLine="480" w:firstLineChars="200"/>
              <w:jc w:val="left"/>
              <w:rPr>
                <w:color w:val="auto"/>
                <w:sz w:val="24"/>
              </w:rPr>
            </w:pPr>
            <w:r>
              <w:rPr>
                <w:rFonts w:hint="eastAsia" w:cs="Times New Roman"/>
                <w:color w:val="auto"/>
                <w:sz w:val="24"/>
                <w:szCs w:val="22"/>
                <w:lang w:val="en-US" w:eastAsia="zh-CN"/>
              </w:rPr>
              <w:t>2025年8月4日，玉溪钧澄经贸有限公司转租其中的240平方米土地给玉</w:t>
            </w:r>
            <w:r>
              <w:rPr>
                <w:rFonts w:hint="eastAsia" w:ascii="Times New Roman" w:hAnsi="Times New Roman" w:eastAsia="宋体" w:cs="Times New Roman"/>
                <w:color w:val="auto"/>
                <w:sz w:val="24"/>
                <w:szCs w:val="24"/>
                <w:lang w:val="en-US" w:eastAsia="zh-CN"/>
              </w:rPr>
              <w:t>溪合原能源有限公司建设生物质供热钧澄公司项目</w:t>
            </w:r>
            <w:r>
              <w:rPr>
                <w:rFonts w:hint="default" w:ascii="Times New Roman" w:hAnsi="Times New Roman" w:eastAsia="宋体" w:cs="Times New Roman"/>
                <w:color w:val="auto"/>
                <w:sz w:val="24"/>
                <w:szCs w:val="24"/>
                <w:lang w:val="en-US" w:eastAsia="zh-CN"/>
              </w:rPr>
              <w:t>，租赁协议详见</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项</w:t>
            </w:r>
            <w:r>
              <w:rPr>
                <w:rFonts w:hint="eastAsia" w:ascii="宋体" w:eastAsia="宋体" w:cs="Times New Roman"/>
                <w:color w:val="auto"/>
                <w:sz w:val="24"/>
                <w:szCs w:val="22"/>
                <w:lang w:val="en-US" w:eastAsia="zh-CN"/>
              </w:rPr>
              <w:t>目所产生的蒸汽全部外售</w:t>
            </w:r>
            <w:r>
              <w:rPr>
                <w:rFonts w:hint="eastAsia" w:cs="Times New Roman"/>
                <w:color w:val="auto"/>
                <w:sz w:val="24"/>
                <w:szCs w:val="22"/>
                <w:lang w:val="en-US" w:eastAsia="zh-CN"/>
              </w:rPr>
              <w:t>玉溪钧澄经贸有限公司</w:t>
            </w:r>
            <w:r>
              <w:rPr>
                <w:rFonts w:hint="eastAsia" w:ascii="宋体" w:eastAsia="宋体" w:cs="Times New Roman"/>
                <w:color w:val="auto"/>
                <w:sz w:val="24"/>
                <w:szCs w:val="22"/>
                <w:lang w:val="en-US" w:eastAsia="zh-CN"/>
              </w:rPr>
              <w:t>。</w:t>
            </w:r>
            <w:r>
              <w:rPr>
                <w:rFonts w:hint="eastAsia" w:cs="Times New Roman"/>
                <w:color w:val="auto"/>
                <w:sz w:val="24"/>
                <w:szCs w:val="22"/>
                <w:lang w:val="en-US" w:eastAsia="zh-CN"/>
              </w:rPr>
              <w:t>玉溪钧澄经贸有限公司</w:t>
            </w:r>
            <w:r>
              <w:rPr>
                <w:rFonts w:hint="eastAsia" w:ascii="宋体" w:eastAsia="宋体" w:cs="Times New Roman"/>
                <w:color w:val="auto"/>
                <w:sz w:val="24"/>
                <w:szCs w:val="22"/>
                <w:lang w:val="en-US" w:eastAsia="zh-CN"/>
              </w:rPr>
              <w:t>生产所需蒸汽全部从本项目购买。</w:t>
            </w:r>
            <w:r>
              <w:rPr>
                <w:rFonts w:hint="eastAsia" w:ascii="宋体" w:hAnsi="宋体" w:eastAsia="宋体" w:cs="宋体"/>
                <w:color w:val="auto"/>
                <w:sz w:val="24"/>
                <w:szCs w:val="32"/>
                <w:lang w:val="en-US" w:eastAsia="zh-CN"/>
              </w:rPr>
              <w:t>结合</w:t>
            </w:r>
            <w:r>
              <w:rPr>
                <w:rFonts w:hint="eastAsia" w:ascii="宋体" w:hAnsi="宋体" w:cs="宋体"/>
                <w:color w:val="auto"/>
                <w:sz w:val="24"/>
                <w:szCs w:val="32"/>
                <w:lang w:val="en-US" w:eastAsia="zh-CN"/>
              </w:rPr>
              <w:t>钧澄</w:t>
            </w:r>
            <w:r>
              <w:rPr>
                <w:rFonts w:hint="eastAsia" w:ascii="宋体" w:hAnsi="宋体" w:eastAsia="宋体" w:cs="宋体"/>
                <w:color w:val="auto"/>
                <w:sz w:val="24"/>
                <w:szCs w:val="32"/>
                <w:lang w:val="en-US" w:eastAsia="zh-CN"/>
              </w:rPr>
              <w:t>公司蒸汽现状需求量，本项目实际年</w:t>
            </w:r>
            <w:r>
              <w:rPr>
                <w:rFonts w:hint="eastAsia" w:ascii="宋体" w:hAnsi="宋体" w:cs="宋体"/>
                <w:color w:val="auto"/>
                <w:sz w:val="24"/>
                <w:szCs w:val="32"/>
                <w:lang w:val="en-US" w:eastAsia="zh-CN"/>
              </w:rPr>
              <w:t>最大</w:t>
            </w:r>
            <w:r>
              <w:rPr>
                <w:rFonts w:hint="eastAsia" w:ascii="宋体" w:hAnsi="宋体" w:eastAsia="宋体" w:cs="宋体"/>
                <w:color w:val="auto"/>
                <w:sz w:val="24"/>
                <w:szCs w:val="32"/>
                <w:lang w:val="en-US" w:eastAsia="zh-CN"/>
              </w:rPr>
              <w:t>供应蒸汽</w:t>
            </w:r>
            <w:r>
              <w:rPr>
                <w:rFonts w:hint="eastAsia" w:ascii="宋体" w:hAnsi="宋体" w:cs="宋体"/>
                <w:color w:val="auto"/>
                <w:sz w:val="24"/>
                <w:szCs w:val="32"/>
                <w:lang w:val="en-US" w:eastAsia="zh-CN"/>
              </w:rPr>
              <w:t>量为9000</w:t>
            </w:r>
            <w:r>
              <w:rPr>
                <w:rFonts w:hint="eastAsia" w:ascii="宋体" w:hAnsi="宋体" w:eastAsia="宋体" w:cs="宋体"/>
                <w:color w:val="auto"/>
                <w:sz w:val="24"/>
                <w:szCs w:val="32"/>
                <w:lang w:val="en-US" w:eastAsia="zh-CN"/>
              </w:rPr>
              <w:t>吨，本报告</w:t>
            </w:r>
            <w:r>
              <w:rPr>
                <w:rFonts w:hint="eastAsia" w:ascii="宋体" w:hAnsi="宋体" w:cs="宋体"/>
                <w:color w:val="auto"/>
                <w:sz w:val="24"/>
                <w:szCs w:val="32"/>
                <w:lang w:val="en-US" w:eastAsia="zh-CN"/>
              </w:rPr>
              <w:t>生产规模按年最大供应蒸汽量</w:t>
            </w:r>
            <w:r>
              <w:rPr>
                <w:rFonts w:hint="eastAsia" w:ascii="宋体" w:hAnsi="宋体" w:eastAsia="宋体" w:cs="宋体"/>
                <w:color w:val="auto"/>
                <w:sz w:val="24"/>
                <w:szCs w:val="32"/>
                <w:lang w:val="en-US" w:eastAsia="zh-CN"/>
              </w:rPr>
              <w:t>“年供应蒸汽</w:t>
            </w:r>
            <w:r>
              <w:rPr>
                <w:rFonts w:hint="eastAsia" w:ascii="宋体" w:hAnsi="宋体" w:cs="宋体"/>
                <w:color w:val="auto"/>
                <w:sz w:val="24"/>
                <w:szCs w:val="32"/>
                <w:lang w:val="en-US" w:eastAsia="zh-CN"/>
              </w:rPr>
              <w:t>9000</w:t>
            </w:r>
            <w:r>
              <w:rPr>
                <w:rFonts w:hint="eastAsia" w:ascii="宋体" w:hAnsi="宋体" w:eastAsia="宋体" w:cs="宋体"/>
                <w:color w:val="auto"/>
                <w:sz w:val="24"/>
                <w:szCs w:val="32"/>
                <w:lang w:val="en-US" w:eastAsia="zh-CN"/>
              </w:rPr>
              <w:t>吨”</w:t>
            </w:r>
            <w:r>
              <w:rPr>
                <w:rFonts w:hint="eastAsia" w:ascii="宋体" w:hAnsi="宋体" w:cs="宋体"/>
                <w:color w:val="auto"/>
                <w:sz w:val="24"/>
                <w:szCs w:val="32"/>
                <w:lang w:val="en-US" w:eastAsia="zh-CN"/>
              </w:rPr>
              <w:t>计。项目新</w:t>
            </w:r>
            <w:r>
              <w:rPr>
                <w:rFonts w:hint="eastAsia" w:cs="Times New Roman"/>
                <w:color w:val="auto"/>
                <w:kern w:val="0"/>
                <w:sz w:val="24"/>
                <w:szCs w:val="20"/>
                <w:highlight w:val="none"/>
                <w:shd w:val="clear" w:color="auto" w:fill="FFFFFF"/>
                <w:lang w:val="en-US" w:eastAsia="zh-CN" w:bidi="ar-SA"/>
              </w:rPr>
              <w:t>建</w:t>
            </w:r>
            <w:r>
              <w:rPr>
                <w:rFonts w:hint="eastAsia" w:eastAsia="宋体" w:cs="Times New Roman"/>
                <w:color w:val="auto"/>
                <w:kern w:val="0"/>
                <w:sz w:val="24"/>
                <w:szCs w:val="20"/>
                <w:highlight w:val="none"/>
                <w:shd w:val="clear" w:color="auto" w:fill="FFFFFF"/>
                <w:lang w:val="en-US" w:eastAsia="zh-CN" w:bidi="ar-SA"/>
              </w:rPr>
              <w:t>3</w:t>
            </w:r>
            <w:r>
              <w:rPr>
                <w:rFonts w:hint="eastAsia" w:cs="Times New Roman"/>
                <w:color w:val="auto"/>
                <w:kern w:val="0"/>
                <w:sz w:val="24"/>
                <w:szCs w:val="20"/>
                <w:highlight w:val="none"/>
                <w:shd w:val="clear" w:color="auto" w:fill="FFFFFF"/>
                <w:lang w:val="en-US" w:eastAsia="zh-CN" w:bidi="ar-SA"/>
              </w:rPr>
              <w:t>组</w:t>
            </w:r>
            <w:r>
              <w:rPr>
                <w:rFonts w:hint="eastAsia" w:ascii="Times New Roman" w:hAnsi="Times New Roman" w:eastAsia="宋体" w:cs="Times New Roman"/>
                <w:color w:val="auto"/>
                <w:kern w:val="0"/>
                <w:sz w:val="24"/>
                <w:szCs w:val="20"/>
                <w:highlight w:val="none"/>
                <w:shd w:val="clear" w:color="auto" w:fill="FFFFFF"/>
                <w:lang w:val="en-US" w:eastAsia="zh-CN" w:bidi="ar-SA"/>
              </w:rPr>
              <w:t>生物质蒸发器，每台</w:t>
            </w:r>
            <w:r>
              <w:rPr>
                <w:rFonts w:hint="eastAsia" w:cs="Times New Roman"/>
                <w:color w:val="auto"/>
                <w:kern w:val="0"/>
                <w:sz w:val="24"/>
                <w:szCs w:val="20"/>
                <w:highlight w:val="none"/>
                <w:shd w:val="clear" w:color="auto" w:fill="FFFFFF"/>
                <w:lang w:val="en-US" w:eastAsia="zh-CN" w:bidi="ar-SA"/>
              </w:rPr>
              <w:t>额定</w:t>
            </w:r>
            <w:r>
              <w:rPr>
                <w:rFonts w:hint="eastAsia" w:ascii="Times New Roman" w:hAnsi="Times New Roman" w:eastAsia="宋体" w:cs="Times New Roman"/>
                <w:color w:val="auto"/>
                <w:kern w:val="0"/>
                <w:sz w:val="24"/>
                <w:szCs w:val="20"/>
                <w:highlight w:val="none"/>
                <w:shd w:val="clear" w:color="auto" w:fill="FFFFFF"/>
                <w:lang w:val="en-US" w:eastAsia="zh-CN" w:bidi="ar-SA"/>
              </w:rPr>
              <w:t>蒸发量</w:t>
            </w:r>
            <w:r>
              <w:rPr>
                <w:rFonts w:hint="eastAsia" w:cs="Times New Roman"/>
                <w:color w:val="auto"/>
                <w:kern w:val="0"/>
                <w:sz w:val="24"/>
                <w:szCs w:val="20"/>
                <w:highlight w:val="none"/>
                <w:shd w:val="clear" w:color="auto" w:fill="FFFFFF"/>
                <w:lang w:val="en-US" w:eastAsia="zh-CN" w:bidi="ar-SA"/>
              </w:rPr>
              <w:t>为2.5吨/小时，年运行1200小时，</w:t>
            </w:r>
            <w:r>
              <w:rPr>
                <w:rFonts w:hint="eastAsia" w:ascii="Times New Roman" w:hAnsi="Times New Roman" w:eastAsia="宋体" w:cs="Times New Roman"/>
                <w:color w:val="auto"/>
                <w:kern w:val="0"/>
                <w:sz w:val="24"/>
                <w:szCs w:val="20"/>
                <w:highlight w:val="none"/>
                <w:shd w:val="clear" w:color="auto" w:fill="FFFFFF"/>
                <w:lang w:val="en-US" w:eastAsia="zh-CN" w:bidi="ar-SA"/>
              </w:rPr>
              <w:t>每天</w:t>
            </w:r>
            <w:r>
              <w:rPr>
                <w:rFonts w:hint="eastAsia" w:cs="Times New Roman"/>
                <w:color w:val="auto"/>
                <w:kern w:val="0"/>
                <w:sz w:val="24"/>
                <w:szCs w:val="20"/>
                <w:highlight w:val="none"/>
                <w:shd w:val="clear" w:color="auto" w:fill="FFFFFF"/>
                <w:lang w:val="en-US" w:eastAsia="zh-CN" w:bidi="ar-SA"/>
              </w:rPr>
              <w:t>供应</w:t>
            </w:r>
            <w:r>
              <w:rPr>
                <w:rFonts w:hint="eastAsia" w:ascii="Times New Roman" w:hAnsi="Times New Roman" w:eastAsia="宋体" w:cs="Times New Roman"/>
                <w:color w:val="auto"/>
                <w:kern w:val="0"/>
                <w:sz w:val="24"/>
                <w:szCs w:val="20"/>
                <w:highlight w:val="none"/>
                <w:shd w:val="clear" w:color="auto" w:fill="FFFFFF"/>
                <w:lang w:val="en-US" w:eastAsia="zh-CN" w:bidi="ar-SA"/>
              </w:rPr>
              <w:t>蒸汽</w:t>
            </w:r>
            <w:r>
              <w:rPr>
                <w:rFonts w:hint="eastAsia" w:cs="Times New Roman"/>
                <w:color w:val="auto"/>
                <w:kern w:val="0"/>
                <w:sz w:val="24"/>
                <w:szCs w:val="20"/>
                <w:highlight w:val="none"/>
                <w:shd w:val="clear" w:color="auto" w:fill="FFFFFF"/>
                <w:lang w:val="en-US" w:eastAsia="zh-CN" w:bidi="ar-SA"/>
              </w:rPr>
              <w:t>30</w:t>
            </w:r>
            <w:r>
              <w:rPr>
                <w:rFonts w:hint="eastAsia" w:ascii="Times New Roman" w:hAnsi="Times New Roman" w:eastAsia="宋体" w:cs="Times New Roman"/>
                <w:color w:val="auto"/>
                <w:kern w:val="0"/>
                <w:sz w:val="24"/>
                <w:szCs w:val="20"/>
                <w:highlight w:val="none"/>
                <w:shd w:val="clear" w:color="auto" w:fill="FFFFFF"/>
                <w:lang w:val="en-US" w:eastAsia="zh-CN" w:bidi="ar-SA"/>
              </w:rPr>
              <w:t>吨，年供应9000吨饱和蒸汽。</w:t>
            </w:r>
            <w:r>
              <w:rPr>
                <w:rFonts w:hint="eastAsia" w:ascii="宋体" w:eastAsia="宋体" w:cs="Times New Roman"/>
                <w:color w:val="auto"/>
                <w:sz w:val="24"/>
                <w:szCs w:val="22"/>
                <w:lang w:val="en-US" w:eastAsia="zh-CN"/>
              </w:rPr>
              <w:t>另外，蒸汽输送管线依托玉溪钧澄经贸有限公司原有，则</w:t>
            </w:r>
            <w:r>
              <w:rPr>
                <w:rFonts w:hint="eastAsia" w:ascii="宋体" w:hAnsi="宋体" w:eastAsia="宋体" w:cs="宋体"/>
                <w:b w:val="0"/>
                <w:bCs/>
                <w:color w:val="auto"/>
                <w:sz w:val="24"/>
                <w:szCs w:val="24"/>
              </w:rPr>
              <w:t>蒸汽输送管线工程</w:t>
            </w:r>
            <w:r>
              <w:rPr>
                <w:rFonts w:hint="eastAsia" w:ascii="宋体" w:hAnsi="宋体" w:eastAsia="宋体" w:cs="宋体"/>
                <w:b w:val="0"/>
                <w:bCs/>
                <w:color w:val="auto"/>
                <w:sz w:val="24"/>
                <w:szCs w:val="24"/>
                <w:lang w:eastAsia="zh-CN"/>
              </w:rPr>
              <w:t>不在本次评价范围内</w:t>
            </w:r>
            <w:r>
              <w:rPr>
                <w:rFonts w:hint="eastAsia" w:ascii="宋体" w:eastAsia="宋体" w:cs="Times New Roman"/>
                <w:color w:val="auto"/>
                <w:sz w:val="24"/>
                <w:szCs w:val="22"/>
                <w:lang w:val="en-US" w:eastAsia="zh-CN"/>
              </w:rPr>
              <w:t>。</w:t>
            </w:r>
            <w:r>
              <w:rPr>
                <w:rFonts w:hint="eastAsia" w:ascii="Times New Roman" w:hAnsi="Times New Roman" w:eastAsia="宋体" w:cs="Times New Roman"/>
                <w:color w:val="auto"/>
                <w:sz w:val="24"/>
                <w:szCs w:val="24"/>
                <w:lang w:val="en-US" w:eastAsia="zh-CN"/>
              </w:rPr>
              <w:t>项目员工不在厂区内食宿，厕所依托钧澄公司厂区内的厕所</w:t>
            </w:r>
            <w:r>
              <w:rPr>
                <w:rFonts w:hint="default" w:ascii="Times New Roman" w:hAnsi="Times New Roman" w:eastAsia="宋体" w:cs="Times New Roman"/>
                <w:color w:val="auto"/>
                <w:sz w:val="24"/>
                <w:szCs w:val="24"/>
                <w:lang w:val="en-US" w:eastAsia="zh-CN"/>
              </w:rPr>
              <w:t>。</w:t>
            </w:r>
          </w:p>
          <w:p w14:paraId="6C24C2FD">
            <w:pPr>
              <w:autoSpaceDE w:val="0"/>
              <w:autoSpaceDN w:val="0"/>
              <w:adjustRightInd w:val="0"/>
              <w:snapToGrid w:val="0"/>
              <w:spacing w:line="360" w:lineRule="auto"/>
              <w:ind w:firstLine="480" w:firstLineChars="200"/>
              <w:rPr>
                <w:color w:val="auto"/>
                <w:sz w:val="24"/>
              </w:rPr>
            </w:pPr>
            <w:r>
              <w:rPr>
                <w:color w:val="auto"/>
                <w:sz w:val="24"/>
              </w:rPr>
              <w:t>项目于202</w:t>
            </w:r>
            <w:r>
              <w:rPr>
                <w:rFonts w:hint="eastAsia"/>
                <w:color w:val="auto"/>
                <w:sz w:val="24"/>
                <w:lang w:val="en-US" w:eastAsia="zh-CN"/>
              </w:rPr>
              <w:t>5</w:t>
            </w:r>
            <w:r>
              <w:rPr>
                <w:color w:val="auto"/>
                <w:sz w:val="24"/>
              </w:rPr>
              <w:t>年</w:t>
            </w:r>
            <w:r>
              <w:rPr>
                <w:rFonts w:hint="eastAsia"/>
                <w:color w:val="auto"/>
                <w:sz w:val="24"/>
                <w:lang w:val="en-US" w:eastAsia="zh-CN"/>
              </w:rPr>
              <w:t>8</w:t>
            </w:r>
            <w:r>
              <w:rPr>
                <w:color w:val="auto"/>
                <w:sz w:val="24"/>
              </w:rPr>
              <w:t>月</w:t>
            </w:r>
            <w:r>
              <w:rPr>
                <w:rFonts w:hint="eastAsia"/>
                <w:color w:val="auto"/>
                <w:sz w:val="24"/>
                <w:lang w:val="en-US" w:eastAsia="zh-CN"/>
              </w:rPr>
              <w:t>11</w:t>
            </w:r>
            <w:r>
              <w:rPr>
                <w:color w:val="auto"/>
                <w:sz w:val="24"/>
              </w:rPr>
              <w:t>日取得了</w:t>
            </w:r>
            <w:r>
              <w:rPr>
                <w:rFonts w:hint="eastAsia"/>
                <w:color w:val="auto"/>
                <w:sz w:val="24"/>
                <w:lang w:eastAsia="zh-CN"/>
              </w:rPr>
              <w:t>玉溪市红塔区发展和改革局</w:t>
            </w:r>
            <w:r>
              <w:rPr>
                <w:color w:val="auto"/>
                <w:sz w:val="24"/>
              </w:rPr>
              <w:t>出具的《</w:t>
            </w:r>
            <w:r>
              <w:rPr>
                <w:rFonts w:hint="eastAsia"/>
                <w:color w:val="auto"/>
                <w:sz w:val="24"/>
                <w:lang w:val="en-US" w:eastAsia="zh-CN"/>
              </w:rPr>
              <w:t>生物质供热钧澄公司项目</w:t>
            </w:r>
            <w:r>
              <w:rPr>
                <w:color w:val="auto"/>
                <w:sz w:val="24"/>
              </w:rPr>
              <w:t>》投资项目备案证，项目代码为</w:t>
            </w:r>
            <w:r>
              <w:rPr>
                <w:rFonts w:hint="eastAsia"/>
                <w:color w:val="auto"/>
                <w:sz w:val="24"/>
                <w:lang w:val="en-US" w:eastAsia="zh-CN"/>
              </w:rPr>
              <w:t>2508</w:t>
            </w:r>
            <w:r>
              <w:rPr>
                <w:color w:val="auto"/>
                <w:sz w:val="24"/>
              </w:rPr>
              <w:t>-5304</w:t>
            </w:r>
            <w:r>
              <w:rPr>
                <w:rFonts w:hint="eastAsia"/>
                <w:color w:val="auto"/>
                <w:sz w:val="24"/>
                <w:lang w:val="en-US" w:eastAsia="zh-CN"/>
              </w:rPr>
              <w:t>02</w:t>
            </w:r>
            <w:r>
              <w:rPr>
                <w:color w:val="auto"/>
                <w:sz w:val="24"/>
              </w:rPr>
              <w:t>-04-0</w:t>
            </w:r>
            <w:r>
              <w:rPr>
                <w:rFonts w:hint="eastAsia"/>
                <w:color w:val="auto"/>
                <w:sz w:val="24"/>
                <w:lang w:val="en-US" w:eastAsia="zh-CN"/>
              </w:rPr>
              <w:t>5</w:t>
            </w:r>
            <w:r>
              <w:rPr>
                <w:color w:val="auto"/>
                <w:sz w:val="24"/>
              </w:rPr>
              <w:t>-</w:t>
            </w:r>
            <w:r>
              <w:rPr>
                <w:rFonts w:hint="eastAsia"/>
                <w:color w:val="auto"/>
                <w:sz w:val="24"/>
                <w:lang w:val="en-US" w:eastAsia="zh-CN"/>
              </w:rPr>
              <w:t>365616</w:t>
            </w:r>
            <w:r>
              <w:rPr>
                <w:color w:val="auto"/>
                <w:sz w:val="24"/>
                <w:lang w:val="zh-CN"/>
              </w:rPr>
              <w:t>。</w:t>
            </w:r>
          </w:p>
          <w:p w14:paraId="4FFE46EB">
            <w:pPr>
              <w:adjustRightInd w:val="0"/>
              <w:snapToGrid w:val="0"/>
              <w:spacing w:line="360" w:lineRule="auto"/>
              <w:ind w:firstLine="480" w:firstLineChars="200"/>
              <w:jc w:val="left"/>
              <w:rPr>
                <w:color w:val="auto"/>
                <w:sz w:val="24"/>
                <w:szCs w:val="22"/>
                <w:highlight w:val="none"/>
              </w:rPr>
            </w:pPr>
            <w:r>
              <w:rPr>
                <w:rFonts w:hint="eastAsia"/>
                <w:color w:val="auto"/>
                <w:sz w:val="24"/>
                <w:szCs w:val="22"/>
                <w:highlight w:val="none"/>
              </w:rPr>
              <w:t>根据《建设项目环境影响评价分类管理名录》（2021版），本项目属于四十一、电力、热力生产和供应业，91热力生产和供应工程（包括建设单位自建自用的供热工程），“燃煤、燃油</w:t>
            </w:r>
            <w:r>
              <w:rPr>
                <w:rFonts w:hint="eastAsia"/>
                <w:color w:val="auto"/>
                <w:sz w:val="24"/>
                <w:szCs w:val="22"/>
                <w:highlight w:val="none"/>
                <w:lang w:val="en-US" w:eastAsia="zh-CN"/>
              </w:rPr>
              <w:t>锅炉</w:t>
            </w:r>
            <w:r>
              <w:rPr>
                <w:rFonts w:hint="eastAsia"/>
                <w:color w:val="auto"/>
                <w:sz w:val="24"/>
                <w:szCs w:val="22"/>
                <w:highlight w:val="none"/>
              </w:rPr>
              <w:t>总容量65吨/小时（45.5兆瓦）及以下的；天然气</w:t>
            </w:r>
            <w:r>
              <w:rPr>
                <w:rFonts w:hint="eastAsia"/>
                <w:color w:val="auto"/>
                <w:sz w:val="24"/>
                <w:szCs w:val="22"/>
                <w:highlight w:val="none"/>
                <w:lang w:val="en-US" w:eastAsia="zh-CN"/>
              </w:rPr>
              <w:t>锅炉</w:t>
            </w:r>
            <w:r>
              <w:rPr>
                <w:rFonts w:hint="eastAsia"/>
                <w:color w:val="auto"/>
                <w:sz w:val="24"/>
                <w:szCs w:val="22"/>
                <w:highlight w:val="none"/>
              </w:rPr>
              <w:t>总容量1吨/小时（0.7兆瓦）以上的；使用其他高污染燃料的（高污染燃料指国环规大气〔2017〕号《高污染燃料目录》中规定的燃料）”，应编制环境影响报告表；根据中华人民共和国生态环境部</w:t>
            </w:r>
            <w:r>
              <w:rPr>
                <w:rFonts w:hint="eastAsia"/>
                <w:color w:val="auto"/>
                <w:sz w:val="24"/>
                <w:szCs w:val="22"/>
                <w:highlight w:val="none"/>
                <w:lang w:eastAsia="zh-CN"/>
              </w:rPr>
              <w:t>2021年6月3日</w:t>
            </w:r>
            <w:r>
              <w:rPr>
                <w:rFonts w:hint="eastAsia"/>
                <w:color w:val="auto"/>
                <w:sz w:val="24"/>
                <w:szCs w:val="22"/>
                <w:highlight w:val="none"/>
              </w:rPr>
              <w:t>《关于生物质</w:t>
            </w:r>
            <w:r>
              <w:rPr>
                <w:rFonts w:hint="eastAsia"/>
                <w:color w:val="auto"/>
                <w:sz w:val="24"/>
                <w:szCs w:val="22"/>
                <w:highlight w:val="none"/>
                <w:lang w:val="en-US" w:eastAsia="zh-CN"/>
              </w:rPr>
              <w:t>锅炉</w:t>
            </w:r>
            <w:r>
              <w:rPr>
                <w:rFonts w:hint="eastAsia"/>
                <w:color w:val="auto"/>
                <w:sz w:val="24"/>
                <w:szCs w:val="22"/>
                <w:highlight w:val="none"/>
              </w:rPr>
              <w:t>等项目环评类别判定事宜的复函》，生物质</w:t>
            </w:r>
            <w:r>
              <w:rPr>
                <w:rFonts w:hint="eastAsia"/>
                <w:color w:val="auto"/>
                <w:sz w:val="24"/>
                <w:szCs w:val="22"/>
                <w:highlight w:val="none"/>
                <w:lang w:val="en-US" w:eastAsia="zh-CN"/>
              </w:rPr>
              <w:t>锅炉</w:t>
            </w:r>
            <w:r>
              <w:rPr>
                <w:rFonts w:hint="eastAsia"/>
                <w:color w:val="auto"/>
                <w:sz w:val="24"/>
                <w:szCs w:val="22"/>
                <w:highlight w:val="none"/>
              </w:rPr>
              <w:t>应编制环境影响报告表，因此，本项目应该编制环境影响报告表。</w:t>
            </w:r>
          </w:p>
          <w:p w14:paraId="33CECFAF">
            <w:pPr>
              <w:tabs>
                <w:tab w:val="left" w:pos="5460"/>
              </w:tabs>
              <w:adjustRightInd w:val="0"/>
              <w:snapToGrid w:val="0"/>
              <w:spacing w:line="360" w:lineRule="auto"/>
              <w:rPr>
                <w:b/>
                <w:bCs/>
                <w:color w:val="auto"/>
                <w:sz w:val="24"/>
              </w:rPr>
            </w:pPr>
            <w:r>
              <w:rPr>
                <w:b/>
                <w:bCs/>
                <w:color w:val="auto"/>
                <w:sz w:val="24"/>
              </w:rPr>
              <w:t>二、建设内容及规模</w:t>
            </w:r>
          </w:p>
          <w:p w14:paraId="462784E6">
            <w:pPr>
              <w:pStyle w:val="80"/>
              <w:ind w:firstLine="48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本项目租用玉溪钧澄经贸有限公司原有锅炉房（占地面积240m</w:t>
            </w:r>
            <w:r>
              <w:rPr>
                <w:rFonts w:hint="eastAsia" w:ascii="宋体" w:hAnsi="宋体" w:cs="宋体"/>
                <w:color w:val="auto"/>
                <w:szCs w:val="21"/>
                <w:highlight w:val="none"/>
                <w:vertAlign w:val="superscript"/>
                <w:lang w:val="en-US" w:eastAsia="zh-CN"/>
              </w:rPr>
              <w:t>2</w:t>
            </w:r>
            <w:r>
              <w:rPr>
                <w:rFonts w:hint="eastAsia" w:ascii="宋体" w:hAnsi="宋体" w:cs="宋体"/>
                <w:color w:val="auto"/>
                <w:szCs w:val="21"/>
                <w:highlight w:val="none"/>
                <w:lang w:val="en-US" w:eastAsia="zh-CN"/>
              </w:rPr>
              <w:t>），</w:t>
            </w:r>
            <w:r>
              <w:rPr>
                <w:rFonts w:hint="eastAsia" w:cs="Times New Roman"/>
                <w:color w:val="auto"/>
                <w:kern w:val="0"/>
                <w:sz w:val="24"/>
                <w:szCs w:val="20"/>
                <w:highlight w:val="none"/>
                <w:shd w:val="clear" w:color="auto" w:fill="FFFFFF"/>
                <w:lang w:val="en-US" w:eastAsia="zh-CN" w:bidi="ar-SA"/>
              </w:rPr>
              <w:t>建设</w:t>
            </w:r>
            <w:r>
              <w:rPr>
                <w:rFonts w:hint="eastAsia" w:eastAsia="宋体" w:cs="Times New Roman"/>
                <w:color w:val="auto"/>
                <w:kern w:val="0"/>
                <w:sz w:val="24"/>
                <w:szCs w:val="20"/>
                <w:highlight w:val="none"/>
                <w:shd w:val="clear" w:color="auto" w:fill="FFFFFF"/>
                <w:lang w:val="en-US" w:eastAsia="zh-CN" w:bidi="ar-SA"/>
              </w:rPr>
              <w:t>3</w:t>
            </w:r>
            <w:r>
              <w:rPr>
                <w:rFonts w:hint="eastAsia" w:cs="Times New Roman"/>
                <w:color w:val="auto"/>
                <w:kern w:val="0"/>
                <w:sz w:val="24"/>
                <w:szCs w:val="20"/>
                <w:highlight w:val="none"/>
                <w:shd w:val="clear" w:color="auto" w:fill="FFFFFF"/>
                <w:lang w:val="en-US" w:eastAsia="zh-CN" w:bidi="ar-SA"/>
              </w:rPr>
              <w:t>组</w:t>
            </w:r>
            <w:r>
              <w:rPr>
                <w:rFonts w:hint="eastAsia" w:ascii="Times New Roman" w:hAnsi="Times New Roman" w:eastAsia="宋体" w:cs="Times New Roman"/>
                <w:color w:val="auto"/>
                <w:kern w:val="0"/>
                <w:sz w:val="24"/>
                <w:szCs w:val="20"/>
                <w:highlight w:val="none"/>
                <w:shd w:val="clear" w:color="auto" w:fill="FFFFFF"/>
                <w:lang w:val="en-US" w:eastAsia="zh-CN" w:bidi="ar-SA"/>
              </w:rPr>
              <w:t>生物质蒸发器，每台</w:t>
            </w:r>
            <w:r>
              <w:rPr>
                <w:rFonts w:hint="eastAsia" w:cs="Times New Roman"/>
                <w:color w:val="auto"/>
                <w:kern w:val="0"/>
                <w:sz w:val="24"/>
                <w:szCs w:val="20"/>
                <w:highlight w:val="none"/>
                <w:shd w:val="clear" w:color="auto" w:fill="FFFFFF"/>
                <w:lang w:val="en-US" w:eastAsia="zh-CN" w:bidi="ar-SA"/>
              </w:rPr>
              <w:t>额定</w:t>
            </w:r>
            <w:r>
              <w:rPr>
                <w:rFonts w:hint="eastAsia" w:ascii="Times New Roman" w:hAnsi="Times New Roman" w:eastAsia="宋体" w:cs="Times New Roman"/>
                <w:color w:val="auto"/>
                <w:kern w:val="0"/>
                <w:sz w:val="24"/>
                <w:szCs w:val="20"/>
                <w:highlight w:val="none"/>
                <w:shd w:val="clear" w:color="auto" w:fill="FFFFFF"/>
                <w:lang w:val="en-US" w:eastAsia="zh-CN" w:bidi="ar-SA"/>
              </w:rPr>
              <w:t>蒸发量</w:t>
            </w:r>
            <w:r>
              <w:rPr>
                <w:rFonts w:hint="eastAsia" w:cs="Times New Roman"/>
                <w:color w:val="auto"/>
                <w:kern w:val="0"/>
                <w:sz w:val="24"/>
                <w:szCs w:val="20"/>
                <w:highlight w:val="none"/>
                <w:shd w:val="clear" w:color="auto" w:fill="FFFFFF"/>
                <w:lang w:val="en-US" w:eastAsia="zh-CN" w:bidi="ar-SA"/>
              </w:rPr>
              <w:t>为2.5吨/小时，年</w:t>
            </w:r>
            <w:r>
              <w:rPr>
                <w:rFonts w:hint="eastAsia" w:ascii="Times New Roman" w:hAnsi="Times New Roman" w:eastAsia="宋体" w:cs="Times New Roman"/>
                <w:color w:val="auto"/>
                <w:kern w:val="0"/>
                <w:sz w:val="24"/>
                <w:szCs w:val="20"/>
                <w:highlight w:val="none"/>
                <w:shd w:val="clear" w:color="auto" w:fill="FFFFFF"/>
                <w:lang w:val="en-US" w:eastAsia="zh-CN" w:bidi="ar-SA"/>
              </w:rPr>
              <w:t>运行</w:t>
            </w:r>
            <w:r>
              <w:rPr>
                <w:rFonts w:hint="eastAsia" w:cs="Times New Roman"/>
                <w:color w:val="auto"/>
                <w:kern w:val="0"/>
                <w:sz w:val="24"/>
                <w:szCs w:val="20"/>
                <w:highlight w:val="none"/>
                <w:shd w:val="clear" w:color="auto" w:fill="FFFFFF"/>
                <w:lang w:val="en-US" w:eastAsia="zh-CN" w:bidi="ar-SA"/>
              </w:rPr>
              <w:t>1200</w:t>
            </w:r>
            <w:r>
              <w:rPr>
                <w:rFonts w:hint="eastAsia" w:ascii="Times New Roman" w:hAnsi="Times New Roman" w:eastAsia="宋体" w:cs="Times New Roman"/>
                <w:color w:val="auto"/>
                <w:kern w:val="0"/>
                <w:sz w:val="24"/>
                <w:szCs w:val="20"/>
                <w:highlight w:val="none"/>
                <w:shd w:val="clear" w:color="auto" w:fill="FFFFFF"/>
                <w:lang w:val="en-US" w:eastAsia="zh-CN" w:bidi="ar-SA"/>
              </w:rPr>
              <w:t>小时，每天生产蒸汽</w:t>
            </w:r>
            <w:r>
              <w:rPr>
                <w:rFonts w:hint="eastAsia" w:cs="Times New Roman"/>
                <w:color w:val="auto"/>
                <w:kern w:val="0"/>
                <w:sz w:val="24"/>
                <w:szCs w:val="20"/>
                <w:highlight w:val="none"/>
                <w:shd w:val="clear" w:color="auto" w:fill="FFFFFF"/>
                <w:lang w:val="en-US" w:eastAsia="zh-CN" w:bidi="ar-SA"/>
              </w:rPr>
              <w:t>30</w:t>
            </w:r>
            <w:r>
              <w:rPr>
                <w:rFonts w:hint="eastAsia" w:ascii="Times New Roman" w:hAnsi="Times New Roman" w:eastAsia="宋体" w:cs="Times New Roman"/>
                <w:color w:val="auto"/>
                <w:kern w:val="0"/>
                <w:sz w:val="24"/>
                <w:szCs w:val="20"/>
                <w:highlight w:val="none"/>
                <w:shd w:val="clear" w:color="auto" w:fill="FFFFFF"/>
                <w:lang w:val="en-US" w:eastAsia="zh-CN" w:bidi="ar-SA"/>
              </w:rPr>
              <w:t>吨，年供应9000吨饱和蒸汽。</w:t>
            </w:r>
          </w:p>
          <w:p w14:paraId="2D776260">
            <w:pPr>
              <w:pStyle w:val="80"/>
              <w:ind w:firstLine="480"/>
              <w:rPr>
                <w:color w:val="auto"/>
                <w:highlight w:val="none"/>
              </w:rPr>
            </w:pPr>
            <w:r>
              <w:rPr>
                <w:rFonts w:hint="eastAsia"/>
                <w:color w:val="auto"/>
                <w:kern w:val="24"/>
                <w:highlight w:val="none"/>
              </w:rPr>
              <w:t>项目建设</w:t>
            </w:r>
            <w:r>
              <w:rPr>
                <w:color w:val="auto"/>
                <w:kern w:val="24"/>
                <w:highlight w:val="none"/>
              </w:rPr>
              <w:t>内容详见下表。</w:t>
            </w:r>
          </w:p>
          <w:p w14:paraId="5E210103">
            <w:pPr>
              <w:pStyle w:val="81"/>
              <w:spacing w:after="120"/>
              <w:rPr>
                <w:rFonts w:hint="default" w:ascii="Times New Roman" w:hAnsi="Times New Roman" w:eastAsia="宋体" w:cs="Times New Roman"/>
                <w:b/>
                <w:bCs/>
                <w:color w:val="auto"/>
                <w:spacing w:val="0"/>
                <w:kern w:val="24"/>
                <w:highlight w:val="none"/>
                <w:lang w:val="zh-CN"/>
              </w:rPr>
            </w:pPr>
            <w:r>
              <w:rPr>
                <w:rFonts w:hint="default" w:ascii="Times New Roman" w:hAnsi="Times New Roman" w:eastAsia="宋体" w:cs="Times New Roman"/>
                <w:b/>
                <w:bCs/>
                <w:color w:val="auto"/>
                <w:spacing w:val="0"/>
                <w:kern w:val="24"/>
                <w:highlight w:val="none"/>
                <w:lang w:val="zh-CN"/>
              </w:rPr>
              <w:t>表</w:t>
            </w:r>
            <w:r>
              <w:rPr>
                <w:rFonts w:ascii="Times New Roman" w:hAnsi="Times New Roman" w:eastAsia="宋体" w:cs="Times New Roman"/>
                <w:b/>
                <w:bCs/>
                <w:color w:val="auto"/>
                <w:spacing w:val="0"/>
                <w:kern w:val="24"/>
                <w:highlight w:val="none"/>
                <w:lang w:val="zh-CN"/>
              </w:rPr>
              <w:t>2</w:t>
            </w:r>
            <w:r>
              <w:rPr>
                <w:rFonts w:hint="default" w:ascii="Times New Roman" w:hAnsi="Times New Roman" w:eastAsia="宋体" w:cs="Times New Roman"/>
                <w:b/>
                <w:bCs/>
                <w:color w:val="auto"/>
                <w:spacing w:val="0"/>
                <w:kern w:val="24"/>
                <w:highlight w:val="none"/>
                <w:lang w:val="zh-CN"/>
              </w:rPr>
              <w:t xml:space="preserve">-1 </w:t>
            </w:r>
            <w:r>
              <w:rPr>
                <w:rFonts w:hint="eastAsia" w:ascii="Times New Roman" w:hAnsi="Times New Roman" w:eastAsia="宋体" w:cs="Times New Roman"/>
                <w:b/>
                <w:bCs/>
                <w:color w:val="auto"/>
                <w:spacing w:val="0"/>
                <w:kern w:val="24"/>
                <w:highlight w:val="none"/>
                <w:lang w:val="en-US" w:eastAsia="zh-CN"/>
              </w:rPr>
              <w:t xml:space="preserve"> </w:t>
            </w:r>
            <w:r>
              <w:rPr>
                <w:rFonts w:hint="default" w:ascii="Times New Roman" w:hAnsi="Times New Roman" w:eastAsia="宋体" w:cs="Times New Roman"/>
                <w:b/>
                <w:bCs/>
                <w:color w:val="auto"/>
                <w:spacing w:val="0"/>
                <w:kern w:val="24"/>
                <w:highlight w:val="none"/>
                <w:lang w:val="zh-CN"/>
              </w:rPr>
              <w:t>项目</w:t>
            </w:r>
            <w:r>
              <w:rPr>
                <w:rFonts w:ascii="Times New Roman" w:hAnsi="Times New Roman" w:eastAsia="宋体" w:cs="Times New Roman"/>
                <w:b/>
                <w:bCs/>
                <w:color w:val="auto"/>
                <w:spacing w:val="0"/>
                <w:kern w:val="24"/>
                <w:highlight w:val="none"/>
                <w:lang w:val="zh-CN"/>
              </w:rPr>
              <w:t>工程建设内容一览表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917"/>
              <w:gridCol w:w="1140"/>
              <w:gridCol w:w="107"/>
              <w:gridCol w:w="4071"/>
              <w:gridCol w:w="1129"/>
            </w:tblGrid>
            <w:tr w14:paraId="246D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noWrap w:val="0"/>
                  <w:vAlign w:val="center"/>
                </w:tcPr>
                <w:p w14:paraId="3E02145F">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工程</w:t>
                  </w:r>
                </w:p>
                <w:p w14:paraId="25C08E87">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组成</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CBBBFB2">
                  <w:pPr>
                    <w:pStyle w:val="10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709FED2B">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规模</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4FD1166D">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2494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39" w:type="pct"/>
                  <w:vMerge w:val="restart"/>
                  <w:tcBorders>
                    <w:top w:val="single" w:color="auto" w:sz="4" w:space="0"/>
                    <w:left w:val="single" w:color="auto" w:sz="4" w:space="0"/>
                    <w:right w:val="single" w:color="auto" w:sz="4" w:space="0"/>
                  </w:tcBorders>
                  <w:noWrap w:val="0"/>
                  <w:vAlign w:val="center"/>
                </w:tcPr>
                <w:p w14:paraId="6101EABB">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主体</w:t>
                  </w:r>
                </w:p>
                <w:p w14:paraId="1FF61DF1">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工程</w:t>
                  </w:r>
                </w:p>
              </w:tc>
              <w:tc>
                <w:tcPr>
                  <w:tcW w:w="568" w:type="pct"/>
                  <w:vMerge w:val="restart"/>
                  <w:tcBorders>
                    <w:top w:val="single" w:color="auto" w:sz="4" w:space="0"/>
                    <w:left w:val="single" w:color="auto" w:sz="4" w:space="0"/>
                    <w:right w:val="single" w:color="auto" w:sz="4" w:space="0"/>
                  </w:tcBorders>
                  <w:noWrap w:val="0"/>
                  <w:vAlign w:val="center"/>
                </w:tcPr>
                <w:p w14:paraId="76389522">
                  <w:pPr>
                    <w:pStyle w:val="102"/>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锅炉房</w:t>
                  </w:r>
                </w:p>
              </w:tc>
              <w:tc>
                <w:tcPr>
                  <w:tcW w:w="772" w:type="pct"/>
                  <w:gridSpan w:val="2"/>
                  <w:vMerge w:val="restart"/>
                  <w:tcBorders>
                    <w:top w:val="single" w:color="auto" w:sz="4" w:space="0"/>
                    <w:left w:val="single" w:color="auto" w:sz="4" w:space="0"/>
                    <w:right w:val="single" w:color="auto" w:sz="4" w:space="0"/>
                  </w:tcBorders>
                  <w:noWrap w:val="0"/>
                  <w:vAlign w:val="center"/>
                </w:tcPr>
                <w:p w14:paraId="5157538A">
                  <w:pPr>
                    <w:pStyle w:val="102"/>
                    <w:rPr>
                      <w:rFonts w:hint="eastAsia" w:ascii="宋体" w:hAnsi="宋体" w:eastAsia="宋体" w:cs="宋体"/>
                      <w:color w:val="auto"/>
                      <w:sz w:val="21"/>
                      <w:szCs w:val="21"/>
                      <w:vertAlign w:val="superscript"/>
                      <w:lang w:val="en-US" w:eastAsia="zh-CN"/>
                    </w:rPr>
                  </w:pPr>
                  <w:r>
                    <w:rPr>
                      <w:rFonts w:hint="eastAsia" w:ascii="宋体" w:hAnsi="宋体" w:eastAsia="宋体" w:cs="宋体"/>
                      <w:color w:val="auto"/>
                      <w:sz w:val="21"/>
                      <w:szCs w:val="21"/>
                      <w:lang w:val="en-US" w:eastAsia="zh-CN"/>
                    </w:rPr>
                    <w:t>1间，占地面积</w:t>
                  </w:r>
                  <w:r>
                    <w:rPr>
                      <w:rFonts w:hint="eastAsia" w:ascii="宋体" w:hAnsi="宋体" w:cs="宋体"/>
                      <w:color w:val="auto"/>
                      <w:sz w:val="21"/>
                      <w:szCs w:val="21"/>
                      <w:lang w:val="en-US" w:eastAsia="zh-CN"/>
                    </w:rPr>
                    <w:t>240m</w:t>
                  </w:r>
                  <w:r>
                    <w:rPr>
                      <w:rFonts w:hint="eastAsia" w:ascii="宋体" w:hAnsi="宋体" w:eastAsia="宋体" w:cs="宋体"/>
                      <w:color w:val="auto"/>
                      <w:sz w:val="21"/>
                      <w:szCs w:val="21"/>
                      <w:vertAlign w:val="superscript"/>
                      <w:lang w:val="en-US" w:eastAsia="zh-CN"/>
                    </w:rPr>
                    <w:t>2</w:t>
                  </w:r>
                </w:p>
              </w:tc>
              <w:tc>
                <w:tcPr>
                  <w:tcW w:w="2521" w:type="pct"/>
                  <w:tcBorders>
                    <w:top w:val="single" w:color="auto" w:sz="4" w:space="0"/>
                    <w:left w:val="single" w:color="auto" w:sz="4" w:space="0"/>
                    <w:bottom w:val="single" w:color="auto" w:sz="4" w:space="0"/>
                    <w:right w:val="single" w:color="auto" w:sz="4" w:space="0"/>
                  </w:tcBorders>
                  <w:noWrap w:val="0"/>
                  <w:vAlign w:val="center"/>
                </w:tcPr>
                <w:p w14:paraId="7B33CD00">
                  <w:pPr>
                    <w:pStyle w:val="102"/>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w:t>
                  </w:r>
                  <w:r>
                    <w:rPr>
                      <w:rFonts w:hint="eastAsia" w:ascii="宋体" w:hAnsi="宋体" w:cs="宋体"/>
                      <w:color w:val="auto"/>
                      <w:sz w:val="21"/>
                      <w:szCs w:val="21"/>
                      <w:lang w:val="en-US" w:eastAsia="zh-CN"/>
                    </w:rPr>
                    <w:t>3组2.5</w:t>
                  </w:r>
                  <w:r>
                    <w:rPr>
                      <w:rFonts w:hint="eastAsia" w:ascii="宋体" w:hAnsi="宋体" w:eastAsia="宋体" w:cs="宋体"/>
                      <w:color w:val="auto"/>
                      <w:sz w:val="21"/>
                      <w:szCs w:val="21"/>
                      <w:lang w:val="en-US" w:eastAsia="zh-CN"/>
                    </w:rPr>
                    <w:t>吨生物质蒸发器及除尘器等配套设施</w:t>
                  </w:r>
                </w:p>
              </w:tc>
              <w:tc>
                <w:tcPr>
                  <w:tcW w:w="699" w:type="pct"/>
                  <w:vMerge w:val="restart"/>
                  <w:tcBorders>
                    <w:top w:val="single" w:color="auto" w:sz="4" w:space="0"/>
                    <w:left w:val="single" w:color="auto" w:sz="4" w:space="0"/>
                    <w:right w:val="single" w:color="auto" w:sz="4" w:space="0"/>
                  </w:tcBorders>
                  <w:noWrap w:val="0"/>
                  <w:vAlign w:val="center"/>
                </w:tcPr>
                <w:p w14:paraId="48C428DD">
                  <w:pPr>
                    <w:pStyle w:val="10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已建</w:t>
                  </w:r>
                </w:p>
              </w:tc>
            </w:tr>
            <w:tr w14:paraId="7FB9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39" w:type="pct"/>
                  <w:vMerge w:val="continue"/>
                  <w:tcBorders>
                    <w:left w:val="single" w:color="auto" w:sz="4" w:space="0"/>
                    <w:right w:val="single" w:color="auto" w:sz="4" w:space="0"/>
                  </w:tcBorders>
                  <w:noWrap w:val="0"/>
                  <w:vAlign w:val="center"/>
                </w:tcPr>
                <w:p w14:paraId="78C33B39">
                  <w:pPr>
                    <w:pStyle w:val="102"/>
                    <w:rPr>
                      <w:rFonts w:hint="eastAsia" w:ascii="宋体" w:hAnsi="宋体" w:eastAsia="宋体" w:cs="宋体"/>
                      <w:b/>
                      <w:bCs/>
                      <w:color w:val="auto"/>
                      <w:sz w:val="21"/>
                      <w:szCs w:val="21"/>
                    </w:rPr>
                  </w:pPr>
                </w:p>
              </w:tc>
              <w:tc>
                <w:tcPr>
                  <w:tcW w:w="568" w:type="pct"/>
                  <w:vMerge w:val="continue"/>
                  <w:tcBorders>
                    <w:left w:val="single" w:color="auto" w:sz="4" w:space="0"/>
                    <w:right w:val="single" w:color="auto" w:sz="4" w:space="0"/>
                  </w:tcBorders>
                  <w:noWrap w:val="0"/>
                  <w:vAlign w:val="center"/>
                </w:tcPr>
                <w:p w14:paraId="6932964E">
                  <w:pPr>
                    <w:pStyle w:val="102"/>
                    <w:jc w:val="center"/>
                    <w:rPr>
                      <w:rFonts w:hint="eastAsia" w:ascii="宋体" w:hAnsi="宋体" w:cs="宋体"/>
                      <w:color w:val="auto"/>
                      <w:sz w:val="21"/>
                      <w:szCs w:val="21"/>
                      <w:lang w:val="en-US" w:eastAsia="zh-CN"/>
                    </w:rPr>
                  </w:pPr>
                </w:p>
              </w:tc>
              <w:tc>
                <w:tcPr>
                  <w:tcW w:w="772" w:type="pct"/>
                  <w:gridSpan w:val="2"/>
                  <w:vMerge w:val="continue"/>
                  <w:tcBorders>
                    <w:left w:val="single" w:color="auto" w:sz="4" w:space="0"/>
                    <w:right w:val="single" w:color="auto" w:sz="4" w:space="0"/>
                  </w:tcBorders>
                  <w:noWrap w:val="0"/>
                  <w:vAlign w:val="center"/>
                </w:tcPr>
                <w:p w14:paraId="678107EC">
                  <w:pPr>
                    <w:pStyle w:val="102"/>
                    <w:rPr>
                      <w:rFonts w:hint="eastAsia" w:ascii="宋体" w:hAnsi="宋体" w:eastAsia="宋体" w:cs="宋体"/>
                      <w:color w:val="auto"/>
                      <w:sz w:val="21"/>
                      <w:szCs w:val="21"/>
                      <w:lang w:val="en-US" w:eastAsia="zh-CN"/>
                    </w:rPr>
                  </w:pPr>
                </w:p>
              </w:tc>
              <w:tc>
                <w:tcPr>
                  <w:tcW w:w="2521" w:type="pct"/>
                  <w:tcBorders>
                    <w:top w:val="single" w:color="auto" w:sz="4" w:space="0"/>
                    <w:left w:val="single" w:color="auto" w:sz="4" w:space="0"/>
                    <w:bottom w:val="single" w:color="auto" w:sz="4" w:space="0"/>
                    <w:right w:val="single" w:color="auto" w:sz="4" w:space="0"/>
                  </w:tcBorders>
                  <w:noWrap w:val="0"/>
                  <w:vAlign w:val="center"/>
                </w:tcPr>
                <w:p w14:paraId="4457AAB5">
                  <w:pPr>
                    <w:pStyle w:val="102"/>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西南侧新建1套软水制备系统</w:t>
                  </w:r>
                </w:p>
              </w:tc>
              <w:tc>
                <w:tcPr>
                  <w:tcW w:w="699" w:type="pct"/>
                  <w:vMerge w:val="continue"/>
                  <w:tcBorders>
                    <w:left w:val="single" w:color="auto" w:sz="4" w:space="0"/>
                    <w:right w:val="single" w:color="auto" w:sz="4" w:space="0"/>
                  </w:tcBorders>
                  <w:noWrap w:val="0"/>
                  <w:vAlign w:val="center"/>
                </w:tcPr>
                <w:p w14:paraId="20A84510">
                  <w:pPr>
                    <w:pStyle w:val="102"/>
                    <w:rPr>
                      <w:rFonts w:hint="eastAsia" w:ascii="宋体" w:hAnsi="宋体" w:cs="宋体"/>
                      <w:color w:val="auto"/>
                      <w:sz w:val="21"/>
                      <w:szCs w:val="21"/>
                      <w:lang w:val="en-US" w:eastAsia="zh-CN"/>
                    </w:rPr>
                  </w:pPr>
                </w:p>
              </w:tc>
            </w:tr>
            <w:tr w14:paraId="6EDE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9" w:type="pct"/>
                  <w:vMerge w:val="continue"/>
                  <w:tcBorders>
                    <w:left w:val="single" w:color="auto" w:sz="4" w:space="0"/>
                    <w:right w:val="single" w:color="auto" w:sz="4" w:space="0"/>
                  </w:tcBorders>
                  <w:noWrap w:val="0"/>
                  <w:vAlign w:val="center"/>
                </w:tcPr>
                <w:p w14:paraId="0F21E52F">
                  <w:pPr>
                    <w:pStyle w:val="102"/>
                    <w:rPr>
                      <w:rFonts w:hint="eastAsia" w:ascii="宋体" w:hAnsi="宋体" w:eastAsia="宋体" w:cs="宋体"/>
                      <w:color w:val="auto"/>
                      <w:sz w:val="21"/>
                      <w:szCs w:val="21"/>
                    </w:rPr>
                  </w:pPr>
                </w:p>
              </w:tc>
              <w:tc>
                <w:tcPr>
                  <w:tcW w:w="568" w:type="pct"/>
                  <w:vMerge w:val="continue"/>
                  <w:tcBorders>
                    <w:left w:val="single" w:color="auto" w:sz="4" w:space="0"/>
                    <w:right w:val="single" w:color="auto" w:sz="4" w:space="0"/>
                  </w:tcBorders>
                  <w:noWrap w:val="0"/>
                  <w:vAlign w:val="center"/>
                </w:tcPr>
                <w:p w14:paraId="503E850B">
                  <w:pPr>
                    <w:pStyle w:val="102"/>
                    <w:jc w:val="center"/>
                    <w:rPr>
                      <w:rFonts w:hint="eastAsia" w:ascii="宋体" w:hAnsi="宋体" w:eastAsia="宋体" w:cs="宋体"/>
                      <w:color w:val="auto"/>
                      <w:sz w:val="21"/>
                      <w:szCs w:val="21"/>
                    </w:rPr>
                  </w:pPr>
                </w:p>
              </w:tc>
              <w:tc>
                <w:tcPr>
                  <w:tcW w:w="772" w:type="pct"/>
                  <w:gridSpan w:val="2"/>
                  <w:vMerge w:val="continue"/>
                  <w:tcBorders>
                    <w:left w:val="single" w:color="auto" w:sz="4" w:space="0"/>
                    <w:right w:val="single" w:color="auto" w:sz="4" w:space="0"/>
                  </w:tcBorders>
                  <w:noWrap w:val="0"/>
                  <w:vAlign w:val="center"/>
                </w:tcPr>
                <w:p w14:paraId="1AF1B389">
                  <w:pPr>
                    <w:pStyle w:val="102"/>
                    <w:rPr>
                      <w:rFonts w:hint="eastAsia" w:ascii="宋体" w:hAnsi="宋体" w:eastAsia="宋体" w:cs="宋体"/>
                      <w:color w:val="auto"/>
                      <w:sz w:val="21"/>
                      <w:szCs w:val="21"/>
                      <w:lang w:val="en-US" w:eastAsia="zh-CN"/>
                    </w:rPr>
                  </w:pPr>
                </w:p>
              </w:tc>
              <w:tc>
                <w:tcPr>
                  <w:tcW w:w="252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81411E">
                  <w:pPr>
                    <w:pStyle w:val="102"/>
                    <w:jc w:val="center"/>
                    <w:rPr>
                      <w:rFonts w:hint="default" w:ascii="宋体" w:hAnsi="宋体" w:eastAsia="宋体" w:cs="宋体"/>
                      <w:color w:val="auto"/>
                      <w:kern w:val="2"/>
                      <w:sz w:val="21"/>
                      <w:szCs w:val="21"/>
                      <w:lang w:val="en-US" w:eastAsia="zh-CN" w:bidi="ar-SA"/>
                    </w:rPr>
                  </w:pPr>
                  <w:r>
                    <w:rPr>
                      <w:rFonts w:hint="eastAsia"/>
                      <w:color w:val="auto"/>
                      <w:szCs w:val="21"/>
                      <w:highlight w:val="none"/>
                      <w:lang w:val="en-US" w:eastAsia="zh-CN"/>
                    </w:rPr>
                    <w:t>1个10m³</w:t>
                  </w:r>
                  <w:r>
                    <w:rPr>
                      <w:rFonts w:hint="eastAsia"/>
                      <w:color w:val="auto"/>
                      <w:lang w:val="en-US" w:eastAsia="zh-CN"/>
                    </w:rPr>
                    <w:t>蒸汽储罐</w:t>
                  </w:r>
                  <w:r>
                    <w:rPr>
                      <w:rFonts w:hint="eastAsia"/>
                      <w:color w:val="auto"/>
                      <w:szCs w:val="21"/>
                      <w:highlight w:val="none"/>
                      <w:lang w:val="en-US" w:eastAsia="zh-CN"/>
                    </w:rPr>
                    <w:t>，第一类压力容器，于2021年8月24日取得了玉溪市红塔区市场监督管理局特种设备使用登记证，编号：容17滇CO2471（21）</w:t>
                  </w:r>
                </w:p>
              </w:tc>
              <w:tc>
                <w:tcPr>
                  <w:tcW w:w="699" w:type="pct"/>
                  <w:vMerge w:val="continue"/>
                  <w:tcBorders>
                    <w:left w:val="single" w:color="auto" w:sz="4" w:space="0"/>
                    <w:right w:val="single" w:color="auto" w:sz="4" w:space="0"/>
                  </w:tcBorders>
                  <w:shd w:val="clear" w:color="auto" w:fill="auto"/>
                  <w:noWrap w:val="0"/>
                  <w:vAlign w:val="center"/>
                </w:tcPr>
                <w:p w14:paraId="489B6D38">
                  <w:pPr>
                    <w:pStyle w:val="102"/>
                    <w:rPr>
                      <w:rFonts w:hint="eastAsia" w:ascii="宋体" w:hAnsi="宋体" w:eastAsia="宋体" w:cs="宋体"/>
                      <w:color w:val="auto"/>
                      <w:kern w:val="2"/>
                      <w:sz w:val="21"/>
                      <w:szCs w:val="21"/>
                      <w:lang w:val="en-US" w:eastAsia="zh-CN" w:bidi="ar-SA"/>
                    </w:rPr>
                  </w:pPr>
                </w:p>
              </w:tc>
            </w:tr>
            <w:tr w14:paraId="0BAC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tcBorders>
                    <w:left w:val="single" w:color="auto" w:sz="4" w:space="0"/>
                    <w:right w:val="single" w:color="auto" w:sz="4" w:space="0"/>
                  </w:tcBorders>
                  <w:noWrap w:val="0"/>
                  <w:vAlign w:val="center"/>
                </w:tcPr>
                <w:p w14:paraId="249A7B43">
                  <w:pPr>
                    <w:pStyle w:val="102"/>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辅助工程</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8F641B0">
                  <w:pPr>
                    <w:pStyle w:val="102"/>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操作间</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028107FB">
                  <w:pPr>
                    <w:pStyle w:val="10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仅在</w:t>
                  </w:r>
                  <w:r>
                    <w:rPr>
                      <w:rFonts w:hint="eastAsia" w:ascii="宋体" w:hAnsi="宋体" w:cs="宋体"/>
                      <w:color w:val="auto"/>
                      <w:sz w:val="21"/>
                      <w:szCs w:val="21"/>
                      <w:lang w:eastAsia="zh-CN"/>
                    </w:rPr>
                    <w:t>锅炉房</w:t>
                  </w:r>
                  <w:r>
                    <w:rPr>
                      <w:rFonts w:hint="eastAsia" w:ascii="宋体" w:hAnsi="宋体" w:eastAsia="宋体" w:cs="宋体"/>
                      <w:color w:val="auto"/>
                      <w:sz w:val="21"/>
                      <w:szCs w:val="21"/>
                      <w:lang w:eastAsia="zh-CN"/>
                    </w:rPr>
                    <w:t>内设置</w:t>
                  </w:r>
                  <w:r>
                    <w:rPr>
                      <w:rFonts w:hint="eastAsia" w:ascii="宋体" w:hAnsi="宋体" w:eastAsia="宋体" w:cs="宋体"/>
                      <w:color w:val="auto"/>
                      <w:sz w:val="21"/>
                      <w:szCs w:val="21"/>
                      <w:lang w:val="en-US" w:eastAsia="zh-CN"/>
                    </w:rPr>
                    <w:t>1套办公桌椅</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12580200">
                  <w:pPr>
                    <w:pStyle w:val="102"/>
                    <w:rPr>
                      <w:rFonts w:hint="eastAsia" w:ascii="宋体" w:hAnsi="宋体" w:eastAsia="宋体" w:cs="宋体"/>
                      <w:bCs/>
                      <w:color w:val="auto"/>
                      <w:kern w:val="0"/>
                      <w:sz w:val="21"/>
                      <w:szCs w:val="21"/>
                      <w:lang w:eastAsia="zh-CN"/>
                    </w:rPr>
                  </w:pPr>
                  <w:r>
                    <w:rPr>
                      <w:rFonts w:hint="eastAsia" w:ascii="宋体" w:hAnsi="宋体" w:eastAsia="宋体" w:cs="宋体"/>
                      <w:color w:val="auto"/>
                      <w:sz w:val="21"/>
                      <w:szCs w:val="21"/>
                      <w:lang w:eastAsia="zh-CN"/>
                    </w:rPr>
                    <w:t>仅新增办公桌椅</w:t>
                  </w:r>
                </w:p>
              </w:tc>
            </w:tr>
            <w:tr w14:paraId="17D9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39" w:type="pct"/>
                  <w:vMerge w:val="restart"/>
                  <w:tcBorders>
                    <w:left w:val="single" w:color="auto" w:sz="4" w:space="0"/>
                    <w:right w:val="single" w:color="auto" w:sz="4" w:space="0"/>
                  </w:tcBorders>
                  <w:noWrap w:val="0"/>
                  <w:vAlign w:val="center"/>
                </w:tcPr>
                <w:p w14:paraId="4D7D69C6">
                  <w:pPr>
                    <w:pStyle w:val="102"/>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储运工程</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75150EB0">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蒸汽输送管线</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4EA0D498">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r>
                    <w:rPr>
                      <w:rFonts w:hint="eastAsia" w:ascii="宋体" w:hAnsi="宋体" w:eastAsia="宋体" w:cs="宋体"/>
                      <w:color w:val="auto"/>
                      <w:sz w:val="21"/>
                      <w:szCs w:val="21"/>
                      <w:lang w:val="en-US" w:eastAsia="zh-CN"/>
                    </w:rPr>
                    <w:t>玉溪钧澄经贸有限公司</w:t>
                  </w:r>
                  <w:r>
                    <w:rPr>
                      <w:rFonts w:hint="eastAsia" w:ascii="宋体" w:hAnsi="宋体" w:eastAsia="宋体" w:cs="宋体"/>
                      <w:color w:val="auto"/>
                      <w:sz w:val="21"/>
                      <w:szCs w:val="21"/>
                      <w:lang w:eastAsia="zh-CN"/>
                    </w:rPr>
                    <w:t>原有蒸汽输送管线</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0330F1D3">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339A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439" w:type="pct"/>
                  <w:vMerge w:val="continue"/>
                  <w:tcBorders>
                    <w:left w:val="single" w:color="auto" w:sz="4" w:space="0"/>
                    <w:right w:val="single" w:color="auto" w:sz="4" w:space="0"/>
                  </w:tcBorders>
                  <w:noWrap w:val="0"/>
                  <w:vAlign w:val="center"/>
                </w:tcPr>
                <w:p w14:paraId="32E453A9">
                  <w:pPr>
                    <w:pStyle w:val="102"/>
                    <w:rPr>
                      <w:rFonts w:hint="eastAsia" w:ascii="宋体" w:hAnsi="宋体" w:eastAsia="宋体" w:cs="宋体"/>
                      <w:b/>
                      <w:bCs/>
                      <w:color w:val="auto"/>
                      <w:sz w:val="21"/>
                      <w:szCs w:val="21"/>
                      <w:lang w:eastAsia="zh-CN"/>
                    </w:rPr>
                  </w:pPr>
                </w:p>
              </w:tc>
              <w:tc>
                <w:tcPr>
                  <w:tcW w:w="568" w:type="pct"/>
                  <w:tcBorders>
                    <w:top w:val="single" w:color="auto" w:sz="4" w:space="0"/>
                    <w:left w:val="single" w:color="auto" w:sz="4" w:space="0"/>
                    <w:bottom w:val="single" w:color="auto" w:sz="4" w:space="0"/>
                    <w:right w:val="single" w:color="auto" w:sz="4" w:space="0"/>
                  </w:tcBorders>
                  <w:noWrap w:val="0"/>
                  <w:vAlign w:val="center"/>
                </w:tcPr>
                <w:p w14:paraId="78CBCE21">
                  <w:pPr>
                    <w:pStyle w:val="10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生物质燃料暂存区</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32D3A004">
                  <w:pPr>
                    <w:pStyle w:val="102"/>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位于锅炉房内西</w:t>
                  </w:r>
                  <w:r>
                    <w:rPr>
                      <w:rFonts w:hint="eastAsia" w:ascii="宋体" w:hAnsi="宋体" w:eastAsia="宋体" w:cs="宋体"/>
                      <w:color w:val="auto"/>
                      <w:sz w:val="21"/>
                      <w:szCs w:val="21"/>
                      <w:lang w:val="en-US" w:eastAsia="zh-CN"/>
                    </w:rPr>
                    <w:t>北侧，</w:t>
                  </w:r>
                  <w:r>
                    <w:rPr>
                      <w:rFonts w:hint="eastAsia" w:ascii="宋体" w:hAnsi="宋体" w:eastAsia="宋体" w:cs="宋体"/>
                      <w:color w:val="auto"/>
                      <w:sz w:val="21"/>
                      <w:szCs w:val="21"/>
                      <w:highlight w:val="none"/>
                      <w:lang w:val="en-US" w:eastAsia="zh-CN"/>
                    </w:rPr>
                    <w:t>占地面积</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lang w:val="en-US" w:eastAsia="zh-CN"/>
                    </w:rPr>
                    <w:t>，用于堆放生物质燃料</w:t>
                  </w:r>
                  <w:r>
                    <w:rPr>
                      <w:rFonts w:hint="eastAsia" w:ascii="宋体" w:hAnsi="宋体" w:cs="宋体"/>
                      <w:color w:val="auto"/>
                      <w:sz w:val="21"/>
                      <w:szCs w:val="21"/>
                      <w:lang w:val="en-US" w:eastAsia="zh-CN"/>
                    </w:rPr>
                    <w:t>，锅炉房为钢结构厂房。生物质燃料禁止露天堆存。</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90D3562">
                  <w:pPr>
                    <w:pStyle w:val="10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已建</w:t>
                  </w:r>
                </w:p>
              </w:tc>
            </w:tr>
            <w:tr w14:paraId="23D6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restart"/>
                  <w:tcBorders>
                    <w:left w:val="single" w:color="auto" w:sz="4" w:space="0"/>
                    <w:right w:val="single" w:color="auto" w:sz="4" w:space="0"/>
                  </w:tcBorders>
                  <w:noWrap w:val="0"/>
                  <w:vAlign w:val="center"/>
                </w:tcPr>
                <w:p w14:paraId="5B8E88AD">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公用工程</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192874B">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供电系统</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2C069798">
                  <w:pPr>
                    <w:pStyle w:val="102"/>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由</w:t>
                  </w:r>
                  <w:r>
                    <w:rPr>
                      <w:rFonts w:hint="eastAsia" w:ascii="宋体" w:hAnsi="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接入</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1FA6B00D">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76A1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39" w:type="pct"/>
                  <w:vMerge w:val="continue"/>
                  <w:tcBorders>
                    <w:left w:val="single" w:color="auto" w:sz="4" w:space="0"/>
                    <w:right w:val="single" w:color="auto" w:sz="4" w:space="0"/>
                  </w:tcBorders>
                  <w:noWrap w:val="0"/>
                  <w:vAlign w:val="center"/>
                </w:tcPr>
                <w:p w14:paraId="2D13381C">
                  <w:pPr>
                    <w:pStyle w:val="102"/>
                    <w:rPr>
                      <w:rFonts w:hint="eastAsia" w:ascii="宋体" w:hAnsi="宋体" w:eastAsia="宋体" w:cs="宋体"/>
                      <w:b/>
                      <w:bCs/>
                      <w:color w:val="auto"/>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14:paraId="0C95767A">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供水系统</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19A2C031">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w:t>
                  </w:r>
                  <w:r>
                    <w:rPr>
                      <w:rFonts w:hint="eastAsia" w:ascii="宋体" w:hAnsi="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接入</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4817C8AD">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6DE5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9" w:type="pct"/>
                  <w:vMerge w:val="continue"/>
                  <w:tcBorders>
                    <w:left w:val="single" w:color="auto" w:sz="4" w:space="0"/>
                    <w:right w:val="single" w:color="auto" w:sz="4" w:space="0"/>
                  </w:tcBorders>
                  <w:noWrap w:val="0"/>
                  <w:vAlign w:val="center"/>
                </w:tcPr>
                <w:p w14:paraId="5B87A84E">
                  <w:pPr>
                    <w:pStyle w:val="102"/>
                    <w:rPr>
                      <w:rFonts w:hint="eastAsia" w:ascii="宋体" w:hAnsi="宋体" w:eastAsia="宋体" w:cs="宋体"/>
                      <w:b/>
                      <w:bCs/>
                      <w:color w:val="auto"/>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14:paraId="4C49AF03">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排水系统</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0375B9DE">
                  <w:pPr>
                    <w:pStyle w:val="102"/>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eastAsia="zh-CN"/>
                    </w:rPr>
                    <w:t>依托</w:t>
                  </w:r>
                  <w:r>
                    <w:rPr>
                      <w:rFonts w:hint="eastAsia" w:ascii="宋体" w:hAnsi="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已建雨污分流系统</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69A5497">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依托</w:t>
                  </w:r>
                </w:p>
              </w:tc>
            </w:tr>
            <w:tr w14:paraId="6D97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39" w:type="pct"/>
                  <w:vMerge w:val="restart"/>
                  <w:tcBorders>
                    <w:left w:val="single" w:color="auto" w:sz="4" w:space="0"/>
                    <w:right w:val="single" w:color="auto" w:sz="4" w:space="0"/>
                  </w:tcBorders>
                  <w:noWrap w:val="0"/>
                  <w:vAlign w:val="center"/>
                </w:tcPr>
                <w:p w14:paraId="6C62B456">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环保</w:t>
                  </w:r>
                </w:p>
                <w:p w14:paraId="506EA8FC">
                  <w:pPr>
                    <w:pStyle w:val="102"/>
                    <w:rPr>
                      <w:rFonts w:hint="eastAsia" w:ascii="宋体" w:hAnsi="宋体" w:eastAsia="宋体" w:cs="宋体"/>
                      <w:b/>
                      <w:bCs/>
                      <w:color w:val="auto"/>
                      <w:sz w:val="21"/>
                      <w:szCs w:val="21"/>
                    </w:rPr>
                  </w:pPr>
                  <w:r>
                    <w:rPr>
                      <w:rFonts w:hint="eastAsia" w:ascii="宋体" w:hAnsi="宋体" w:eastAsia="宋体" w:cs="宋体"/>
                      <w:b/>
                      <w:bCs/>
                      <w:color w:val="auto"/>
                      <w:sz w:val="21"/>
                      <w:szCs w:val="21"/>
                    </w:rPr>
                    <w:t>工程</w:t>
                  </w:r>
                </w:p>
              </w:tc>
              <w:tc>
                <w:tcPr>
                  <w:tcW w:w="568" w:type="pct"/>
                  <w:vMerge w:val="restart"/>
                  <w:tcBorders>
                    <w:top w:val="single" w:color="auto" w:sz="4" w:space="0"/>
                    <w:left w:val="single" w:color="auto" w:sz="4" w:space="0"/>
                    <w:right w:val="single" w:color="auto" w:sz="4" w:space="0"/>
                  </w:tcBorders>
                  <w:noWrap w:val="0"/>
                  <w:vAlign w:val="center"/>
                </w:tcPr>
                <w:p w14:paraId="320000DB">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废水治理措施</w:t>
                  </w:r>
                </w:p>
              </w:tc>
              <w:tc>
                <w:tcPr>
                  <w:tcW w:w="706" w:type="pct"/>
                  <w:tcBorders>
                    <w:top w:val="single" w:color="auto" w:sz="4" w:space="0"/>
                    <w:left w:val="single" w:color="auto" w:sz="4" w:space="0"/>
                    <w:right w:val="single" w:color="auto" w:sz="4" w:space="0"/>
                  </w:tcBorders>
                  <w:noWrap w:val="0"/>
                  <w:vAlign w:val="center"/>
                </w:tcPr>
                <w:p w14:paraId="4ADF1E5E">
                  <w:pPr>
                    <w:pStyle w:val="102"/>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雨水</w:t>
                  </w:r>
                </w:p>
              </w:tc>
              <w:tc>
                <w:tcPr>
                  <w:tcW w:w="2587" w:type="pct"/>
                  <w:gridSpan w:val="2"/>
                  <w:tcBorders>
                    <w:top w:val="single" w:color="auto" w:sz="4" w:space="0"/>
                    <w:left w:val="single" w:color="auto" w:sz="4" w:space="0"/>
                    <w:bottom w:val="single" w:color="auto" w:sz="4" w:space="0"/>
                    <w:right w:val="single" w:color="auto" w:sz="4" w:space="0"/>
                  </w:tcBorders>
                  <w:noWrap w:val="0"/>
                  <w:vAlign w:val="center"/>
                </w:tcPr>
                <w:p w14:paraId="6BA21BCB">
                  <w:pPr>
                    <w:pStyle w:val="102"/>
                    <w:ind w:firstLine="0" w:firstLineChars="0"/>
                    <w:rPr>
                      <w:rFonts w:hint="eastAsia" w:ascii="宋体" w:hAnsi="宋体" w:eastAsia="宋体" w:cs="宋体"/>
                      <w:color w:val="auto"/>
                      <w:sz w:val="21"/>
                      <w:szCs w:val="21"/>
                      <w:lang w:eastAsia="zh-CN"/>
                    </w:rPr>
                  </w:pPr>
                  <w:r>
                    <w:rPr>
                      <w:rStyle w:val="32"/>
                      <w:rFonts w:hint="eastAsia" w:ascii="宋体" w:hAnsi="宋体" w:eastAsia="宋体" w:cs="宋体"/>
                      <w:color w:val="auto"/>
                      <w:kern w:val="0"/>
                      <w:sz w:val="21"/>
                      <w:szCs w:val="21"/>
                    </w:rPr>
                    <w:t>雨水管网依托</w:t>
                  </w:r>
                  <w:r>
                    <w:rPr>
                      <w:rStyle w:val="32"/>
                      <w:rFonts w:hint="eastAsia" w:ascii="宋体" w:hAnsi="宋体" w:eastAsia="宋体" w:cs="宋体"/>
                      <w:color w:val="auto"/>
                      <w:kern w:val="0"/>
                      <w:sz w:val="21"/>
                      <w:szCs w:val="21"/>
                      <w:lang w:val="en-US" w:eastAsia="zh-CN"/>
                    </w:rPr>
                    <w:t>钧澄</w:t>
                  </w:r>
                  <w:r>
                    <w:rPr>
                      <w:rStyle w:val="32"/>
                      <w:rFonts w:hint="eastAsia" w:ascii="宋体" w:hAnsi="宋体" w:eastAsia="宋体" w:cs="宋体"/>
                      <w:color w:val="auto"/>
                      <w:kern w:val="0"/>
                      <w:sz w:val="21"/>
                      <w:szCs w:val="21"/>
                      <w:lang w:eastAsia="zh-CN"/>
                    </w:rPr>
                    <w:t>公司</w:t>
                  </w:r>
                  <w:r>
                    <w:rPr>
                      <w:rStyle w:val="32"/>
                      <w:rFonts w:hint="eastAsia" w:ascii="宋体" w:hAnsi="宋体" w:eastAsia="宋体" w:cs="宋体"/>
                      <w:color w:val="auto"/>
                      <w:kern w:val="0"/>
                      <w:sz w:val="21"/>
                      <w:szCs w:val="21"/>
                    </w:rPr>
                    <w:t>已建管网</w:t>
                  </w:r>
                </w:p>
              </w:tc>
              <w:tc>
                <w:tcPr>
                  <w:tcW w:w="699" w:type="pct"/>
                  <w:tcBorders>
                    <w:top w:val="single" w:color="auto" w:sz="4" w:space="0"/>
                    <w:left w:val="single" w:color="auto" w:sz="4" w:space="0"/>
                    <w:right w:val="single" w:color="auto" w:sz="4" w:space="0"/>
                  </w:tcBorders>
                  <w:noWrap w:val="0"/>
                  <w:vAlign w:val="center"/>
                </w:tcPr>
                <w:p w14:paraId="5F829F36">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59E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39" w:type="pct"/>
                  <w:vMerge w:val="continue"/>
                  <w:tcBorders>
                    <w:left w:val="single" w:color="auto" w:sz="4" w:space="0"/>
                    <w:right w:val="single" w:color="auto" w:sz="4" w:space="0"/>
                  </w:tcBorders>
                  <w:noWrap w:val="0"/>
                  <w:vAlign w:val="center"/>
                </w:tcPr>
                <w:p w14:paraId="40A82855">
                  <w:pPr>
                    <w:pStyle w:val="102"/>
                    <w:rPr>
                      <w:rFonts w:hint="eastAsia" w:ascii="宋体" w:hAnsi="宋体" w:eastAsia="宋体" w:cs="宋体"/>
                      <w:color w:val="auto"/>
                      <w:sz w:val="21"/>
                      <w:szCs w:val="21"/>
                    </w:rPr>
                  </w:pPr>
                </w:p>
              </w:tc>
              <w:tc>
                <w:tcPr>
                  <w:tcW w:w="568" w:type="pct"/>
                  <w:vMerge w:val="continue"/>
                  <w:tcBorders>
                    <w:left w:val="single" w:color="auto" w:sz="4" w:space="0"/>
                    <w:right w:val="single" w:color="auto" w:sz="4" w:space="0"/>
                  </w:tcBorders>
                  <w:noWrap w:val="0"/>
                  <w:vAlign w:val="center"/>
                </w:tcPr>
                <w:p w14:paraId="00EDF66C">
                  <w:pPr>
                    <w:pStyle w:val="102"/>
                    <w:rPr>
                      <w:rFonts w:hint="eastAsia" w:ascii="宋体" w:hAnsi="宋体" w:eastAsia="宋体" w:cs="宋体"/>
                      <w:color w:val="auto"/>
                      <w:sz w:val="21"/>
                      <w:szCs w:val="21"/>
                    </w:rPr>
                  </w:pPr>
                </w:p>
              </w:tc>
              <w:tc>
                <w:tcPr>
                  <w:tcW w:w="706" w:type="pct"/>
                  <w:tcBorders>
                    <w:left w:val="single" w:color="auto" w:sz="4" w:space="0"/>
                    <w:bottom w:val="single" w:color="auto" w:sz="4" w:space="0"/>
                    <w:right w:val="single" w:color="auto" w:sz="4" w:space="0"/>
                  </w:tcBorders>
                  <w:noWrap w:val="0"/>
                  <w:vAlign w:val="center"/>
                </w:tcPr>
                <w:p w14:paraId="199D415F">
                  <w:pPr>
                    <w:pStyle w:val="102"/>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生活污水</w:t>
                  </w:r>
                </w:p>
              </w:tc>
              <w:tc>
                <w:tcPr>
                  <w:tcW w:w="2587" w:type="pct"/>
                  <w:gridSpan w:val="2"/>
                  <w:tcBorders>
                    <w:top w:val="single" w:color="auto" w:sz="4" w:space="0"/>
                    <w:left w:val="single" w:color="auto" w:sz="4" w:space="0"/>
                    <w:bottom w:val="single" w:color="auto" w:sz="4" w:space="0"/>
                    <w:right w:val="single" w:color="auto" w:sz="4" w:space="0"/>
                  </w:tcBorders>
                  <w:noWrap w:val="0"/>
                  <w:vAlign w:val="center"/>
                </w:tcPr>
                <w:p w14:paraId="475CCEB5">
                  <w:pPr>
                    <w:pStyle w:val="102"/>
                    <w:ind w:firstLine="0" w:firstLineChars="0"/>
                    <w:rPr>
                      <w:rStyle w:val="32"/>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eastAsia="zh-CN"/>
                    </w:rPr>
                    <w:t>职工办公污水</w:t>
                  </w:r>
                  <w:r>
                    <w:rPr>
                      <w:rFonts w:hint="eastAsia" w:ascii="宋体" w:hAnsi="宋体" w:cs="宋体"/>
                      <w:color w:val="auto"/>
                      <w:sz w:val="21"/>
                      <w:szCs w:val="21"/>
                      <w:lang w:val="en-US" w:eastAsia="zh-CN"/>
                    </w:rPr>
                    <w:t>依托</w:t>
                  </w:r>
                  <w:r>
                    <w:rPr>
                      <w:rFonts w:hint="eastAsia" w:ascii="宋体" w:hAnsi="宋体" w:cs="宋体"/>
                      <w:color w:val="auto"/>
                      <w:sz w:val="21"/>
                      <w:szCs w:val="21"/>
                      <w:lang w:eastAsia="zh-CN"/>
                    </w:rPr>
                    <w:t>钧</w:t>
                  </w:r>
                  <w:r>
                    <w:rPr>
                      <w:rFonts w:hint="eastAsia" w:ascii="宋体" w:hAnsi="宋体" w:cs="宋体"/>
                      <w:color w:val="auto"/>
                      <w:szCs w:val="21"/>
                      <w:highlight w:val="none"/>
                      <w:lang w:val="en-US" w:eastAsia="zh-CN"/>
                    </w:rPr>
                    <w:t>澄</w:t>
                  </w:r>
                  <w:r>
                    <w:rPr>
                      <w:rFonts w:hint="eastAsia" w:ascii="宋体" w:hAnsi="宋体" w:eastAsia="宋体" w:cs="宋体"/>
                      <w:color w:val="auto"/>
                      <w:sz w:val="21"/>
                      <w:szCs w:val="21"/>
                      <w:lang w:eastAsia="zh-CN"/>
                    </w:rPr>
                    <w:t>公司已建</w:t>
                  </w:r>
                  <w:r>
                    <w:rPr>
                      <w:rFonts w:hint="eastAsia" w:ascii="宋体" w:hAnsi="宋体" w:cs="宋体"/>
                      <w:color w:val="auto"/>
                      <w:sz w:val="21"/>
                      <w:szCs w:val="21"/>
                      <w:lang w:val="en-US" w:eastAsia="zh-CN"/>
                    </w:rPr>
                    <w:t>化粪池处理后，综合利用</w:t>
                  </w:r>
                </w:p>
              </w:tc>
              <w:tc>
                <w:tcPr>
                  <w:tcW w:w="699" w:type="pct"/>
                  <w:tcBorders>
                    <w:left w:val="single" w:color="auto" w:sz="4" w:space="0"/>
                    <w:bottom w:val="single" w:color="auto" w:sz="4" w:space="0"/>
                    <w:right w:val="single" w:color="auto" w:sz="4" w:space="0"/>
                  </w:tcBorders>
                  <w:noWrap w:val="0"/>
                  <w:vAlign w:val="center"/>
                </w:tcPr>
                <w:p w14:paraId="34F9D630">
                  <w:pPr>
                    <w:pStyle w:val="102"/>
                    <w:rPr>
                      <w:rFonts w:hint="eastAsia" w:ascii="宋体" w:hAnsi="宋体" w:cs="宋体"/>
                      <w:color w:val="auto"/>
                      <w:sz w:val="21"/>
                      <w:szCs w:val="21"/>
                      <w:lang w:val="en-US" w:eastAsia="zh-CN"/>
                    </w:rPr>
                  </w:pPr>
                  <w:r>
                    <w:rPr>
                      <w:rFonts w:hint="eastAsia" w:ascii="宋体" w:hAnsi="宋体" w:eastAsia="宋体" w:cs="宋体"/>
                      <w:color w:val="auto"/>
                      <w:sz w:val="21"/>
                      <w:szCs w:val="21"/>
                      <w:lang w:eastAsia="zh-CN"/>
                    </w:rPr>
                    <w:t>依托</w:t>
                  </w:r>
                </w:p>
              </w:tc>
            </w:tr>
            <w:tr w14:paraId="6B7E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left w:val="single" w:color="auto" w:sz="4" w:space="0"/>
                    <w:right w:val="single" w:color="auto" w:sz="4" w:space="0"/>
                  </w:tcBorders>
                  <w:noWrap w:val="0"/>
                  <w:vAlign w:val="center"/>
                </w:tcPr>
                <w:p w14:paraId="7DCD5B82">
                  <w:pPr>
                    <w:pStyle w:val="102"/>
                    <w:rPr>
                      <w:rFonts w:hint="eastAsia" w:ascii="宋体" w:hAnsi="宋体" w:eastAsia="宋体" w:cs="宋体"/>
                      <w:color w:val="auto"/>
                      <w:sz w:val="21"/>
                      <w:szCs w:val="21"/>
                    </w:rPr>
                  </w:pPr>
                </w:p>
              </w:tc>
              <w:tc>
                <w:tcPr>
                  <w:tcW w:w="568" w:type="pct"/>
                  <w:vMerge w:val="continue"/>
                  <w:tcBorders>
                    <w:left w:val="single" w:color="auto" w:sz="4" w:space="0"/>
                    <w:right w:val="single" w:color="auto" w:sz="4" w:space="0"/>
                  </w:tcBorders>
                  <w:noWrap w:val="0"/>
                  <w:vAlign w:val="center"/>
                </w:tcPr>
                <w:p w14:paraId="2C1574E9">
                  <w:pPr>
                    <w:pStyle w:val="102"/>
                    <w:rPr>
                      <w:rFonts w:hint="eastAsia" w:ascii="宋体" w:hAnsi="宋体" w:eastAsia="宋体" w:cs="宋体"/>
                      <w:color w:val="auto"/>
                      <w:sz w:val="21"/>
                      <w:szCs w:val="21"/>
                    </w:rPr>
                  </w:pPr>
                </w:p>
              </w:tc>
              <w:tc>
                <w:tcPr>
                  <w:tcW w:w="706" w:type="pct"/>
                  <w:tcBorders>
                    <w:left w:val="single" w:color="auto" w:sz="4" w:space="0"/>
                    <w:bottom w:val="single" w:color="auto" w:sz="4" w:space="0"/>
                    <w:right w:val="single" w:color="auto" w:sz="4" w:space="0"/>
                  </w:tcBorders>
                  <w:noWrap w:val="0"/>
                  <w:vAlign w:val="center"/>
                </w:tcPr>
                <w:p w14:paraId="6669047C">
                  <w:pPr>
                    <w:pStyle w:val="10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生产废水</w:t>
                  </w:r>
                </w:p>
              </w:tc>
              <w:tc>
                <w:tcPr>
                  <w:tcW w:w="2587" w:type="pct"/>
                  <w:gridSpan w:val="2"/>
                  <w:tcBorders>
                    <w:top w:val="single" w:color="auto" w:sz="4" w:space="0"/>
                    <w:left w:val="single" w:color="auto" w:sz="4" w:space="0"/>
                    <w:bottom w:val="single" w:color="auto" w:sz="4" w:space="0"/>
                    <w:right w:val="single" w:color="auto" w:sz="4" w:space="0"/>
                  </w:tcBorders>
                  <w:noWrap w:val="0"/>
                  <w:vAlign w:val="center"/>
                </w:tcPr>
                <w:p w14:paraId="7F4D6F4D">
                  <w:pPr>
                    <w:pStyle w:val="102"/>
                    <w:ind w:firstLine="0" w:firstLineChars="0"/>
                    <w:rPr>
                      <w:rFonts w:hint="eastAsia" w:ascii="宋体" w:hAnsi="宋体" w:eastAsia="宋体" w:cs="宋体"/>
                      <w:color w:val="auto"/>
                      <w:sz w:val="21"/>
                      <w:szCs w:val="21"/>
                      <w:lang w:eastAsia="zh-CN"/>
                    </w:rPr>
                  </w:pPr>
                  <w:r>
                    <w:rPr>
                      <w:rStyle w:val="32"/>
                      <w:rFonts w:hint="eastAsia" w:ascii="宋体" w:hAnsi="宋体" w:eastAsia="宋体" w:cs="宋体"/>
                      <w:color w:val="auto"/>
                      <w:kern w:val="0"/>
                      <w:szCs w:val="21"/>
                      <w:lang w:val="en-US" w:eastAsia="zh-CN" w:bidi="ar-SA"/>
                    </w:rPr>
                    <w:t>蒸汽发生器排水、离子交换树脂再生废水经絮凝沉淀</w:t>
                  </w:r>
                  <w:r>
                    <w:rPr>
                      <w:rStyle w:val="32"/>
                      <w:rFonts w:hint="eastAsia" w:ascii="宋体" w:hAnsi="宋体" w:cs="宋体"/>
                      <w:color w:val="auto"/>
                      <w:kern w:val="0"/>
                      <w:szCs w:val="21"/>
                      <w:lang w:val="en-US" w:eastAsia="zh-CN" w:bidi="ar-SA"/>
                    </w:rPr>
                    <w:t>（</w:t>
                  </w:r>
                  <w:r>
                    <w:rPr>
                      <w:rFonts w:hint="eastAsia" w:ascii="宋体" w:hAnsi="宋体" w:cs="宋体"/>
                      <w:color w:val="auto"/>
                      <w:sz w:val="21"/>
                      <w:szCs w:val="21"/>
                      <w:highlight w:val="none"/>
                      <w:vertAlign w:val="baseline"/>
                      <w:lang w:val="en-US" w:eastAsia="zh-CN"/>
                    </w:rPr>
                    <w:t>钧澄絮凝沉淀池1个，容积5m</w:t>
                  </w:r>
                  <w:r>
                    <w:rPr>
                      <w:rFonts w:hint="eastAsia" w:ascii="宋体" w:hAnsi="宋体" w:cs="宋体"/>
                      <w:color w:val="auto"/>
                      <w:sz w:val="21"/>
                      <w:szCs w:val="21"/>
                      <w:highlight w:val="none"/>
                      <w:vertAlign w:val="superscript"/>
                      <w:lang w:val="en-US" w:eastAsia="zh-CN"/>
                    </w:rPr>
                    <w:t>3</w:t>
                  </w:r>
                  <w:r>
                    <w:rPr>
                      <w:rStyle w:val="32"/>
                      <w:rFonts w:hint="eastAsia" w:ascii="宋体" w:hAnsi="宋体" w:cs="宋体"/>
                      <w:color w:val="auto"/>
                      <w:kern w:val="0"/>
                      <w:szCs w:val="21"/>
                      <w:lang w:val="en-US" w:eastAsia="zh-CN" w:bidi="ar-SA"/>
                    </w:rPr>
                    <w:t>）</w:t>
                  </w:r>
                  <w:r>
                    <w:rPr>
                      <w:rStyle w:val="32"/>
                      <w:rFonts w:hint="eastAsia" w:ascii="宋体" w:hAnsi="宋体" w:eastAsia="宋体" w:cs="宋体"/>
                      <w:color w:val="auto"/>
                      <w:kern w:val="0"/>
                      <w:szCs w:val="21"/>
                      <w:lang w:val="en-US" w:eastAsia="zh-CN" w:bidi="ar-SA"/>
                    </w:rPr>
                    <w:t>后排入钧澄公司冷却循环水池</w:t>
                  </w:r>
                  <w:r>
                    <w:rPr>
                      <w:rStyle w:val="32"/>
                      <w:rFonts w:hint="eastAsia" w:ascii="宋体" w:hAnsi="宋体" w:cs="宋体"/>
                      <w:color w:val="auto"/>
                      <w:kern w:val="0"/>
                      <w:szCs w:val="21"/>
                      <w:lang w:val="en-US" w:eastAsia="zh-CN" w:bidi="ar-SA"/>
                    </w:rPr>
                    <w:t>（1个，60m</w:t>
                  </w:r>
                  <w:r>
                    <w:rPr>
                      <w:rStyle w:val="32"/>
                      <w:rFonts w:hint="eastAsia" w:ascii="宋体" w:hAnsi="宋体" w:cs="宋体"/>
                      <w:color w:val="auto"/>
                      <w:kern w:val="0"/>
                      <w:szCs w:val="21"/>
                      <w:vertAlign w:val="superscript"/>
                      <w:lang w:val="en-US" w:eastAsia="zh-CN" w:bidi="ar-SA"/>
                    </w:rPr>
                    <w:t>3</w:t>
                  </w:r>
                  <w:r>
                    <w:rPr>
                      <w:rStyle w:val="32"/>
                      <w:rFonts w:hint="eastAsia" w:ascii="宋体" w:hAnsi="宋体" w:cs="宋体"/>
                      <w:color w:val="auto"/>
                      <w:kern w:val="0"/>
                      <w:szCs w:val="21"/>
                      <w:lang w:val="en-US" w:eastAsia="zh-CN" w:bidi="ar-SA"/>
                    </w:rPr>
                    <w:t>）</w:t>
                  </w:r>
                  <w:r>
                    <w:rPr>
                      <w:rStyle w:val="32"/>
                      <w:rFonts w:hint="eastAsia" w:ascii="宋体" w:hAnsi="宋体" w:eastAsia="宋体" w:cs="宋体"/>
                      <w:color w:val="auto"/>
                      <w:kern w:val="0"/>
                      <w:szCs w:val="21"/>
                      <w:lang w:val="en-US" w:eastAsia="zh-CN" w:bidi="ar-SA"/>
                    </w:rPr>
                    <w:t>处理后循环使用</w:t>
                  </w:r>
                </w:p>
              </w:tc>
              <w:tc>
                <w:tcPr>
                  <w:tcW w:w="699" w:type="pct"/>
                  <w:tcBorders>
                    <w:left w:val="single" w:color="auto" w:sz="4" w:space="0"/>
                    <w:bottom w:val="single" w:color="auto" w:sz="4" w:space="0"/>
                    <w:right w:val="single" w:color="auto" w:sz="4" w:space="0"/>
                  </w:tcBorders>
                  <w:noWrap w:val="0"/>
                  <w:vAlign w:val="center"/>
                </w:tcPr>
                <w:p w14:paraId="4C549FFD">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依托</w:t>
                  </w:r>
                </w:p>
              </w:tc>
            </w:tr>
            <w:tr w14:paraId="73DD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Merge w:val="continue"/>
                  <w:tcBorders>
                    <w:left w:val="single" w:color="auto" w:sz="4" w:space="0"/>
                    <w:right w:val="single" w:color="auto" w:sz="4" w:space="0"/>
                  </w:tcBorders>
                  <w:noWrap w:val="0"/>
                  <w:vAlign w:val="center"/>
                </w:tcPr>
                <w:p w14:paraId="55AB0FBE">
                  <w:pPr>
                    <w:pStyle w:val="102"/>
                    <w:rPr>
                      <w:rFonts w:hint="eastAsia" w:ascii="宋体" w:hAnsi="宋体" w:eastAsia="宋体" w:cs="宋体"/>
                      <w:b/>
                      <w:bCs/>
                      <w:color w:val="auto"/>
                      <w:sz w:val="21"/>
                      <w:szCs w:val="21"/>
                    </w:rPr>
                  </w:pPr>
                </w:p>
              </w:tc>
              <w:tc>
                <w:tcPr>
                  <w:tcW w:w="568" w:type="pct"/>
                  <w:tcBorders>
                    <w:top w:val="single" w:color="auto" w:sz="4" w:space="0"/>
                    <w:left w:val="single" w:color="auto" w:sz="4" w:space="0"/>
                    <w:bottom w:val="single" w:color="auto" w:sz="4" w:space="0"/>
                    <w:right w:val="single" w:color="auto" w:sz="4" w:space="0"/>
                  </w:tcBorders>
                  <w:noWrap w:val="0"/>
                  <w:vAlign w:val="center"/>
                </w:tcPr>
                <w:p w14:paraId="5ED0A045">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噪声治理措施</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348AB098">
                  <w:pPr>
                    <w:pStyle w:val="10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设备基座减震垫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风机安装消声器</w:t>
                  </w:r>
                  <w:r>
                    <w:rPr>
                      <w:rFonts w:hint="eastAsia" w:ascii="宋体" w:hAnsi="宋体" w:eastAsia="宋体" w:cs="宋体"/>
                      <w:color w:val="auto"/>
                      <w:sz w:val="21"/>
                      <w:szCs w:val="21"/>
                      <w:lang w:eastAsia="zh-CN"/>
                    </w:rPr>
                    <w:t>；加强</w:t>
                  </w:r>
                  <w:r>
                    <w:rPr>
                      <w:rFonts w:hint="eastAsia" w:ascii="宋体" w:hAnsi="宋体" w:eastAsia="宋体" w:cs="宋体"/>
                      <w:color w:val="auto"/>
                      <w:sz w:val="21"/>
                      <w:szCs w:val="21"/>
                    </w:rPr>
                    <w:t>厂房隔声等</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4238321A">
                  <w:pPr>
                    <w:pStyle w:val="10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已建</w:t>
                  </w:r>
                </w:p>
              </w:tc>
            </w:tr>
            <w:tr w14:paraId="183F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Merge w:val="continue"/>
                  <w:tcBorders>
                    <w:left w:val="single" w:color="auto" w:sz="4" w:space="0"/>
                    <w:right w:val="single" w:color="auto" w:sz="4" w:space="0"/>
                  </w:tcBorders>
                  <w:noWrap w:val="0"/>
                  <w:vAlign w:val="center"/>
                </w:tcPr>
                <w:p w14:paraId="6907B7E8">
                  <w:pPr>
                    <w:pStyle w:val="102"/>
                    <w:rPr>
                      <w:rFonts w:hint="eastAsia" w:ascii="宋体" w:hAnsi="宋体" w:eastAsia="宋体" w:cs="宋体"/>
                      <w:b/>
                      <w:bCs/>
                      <w:color w:val="auto"/>
                      <w:sz w:val="21"/>
                      <w:szCs w:val="21"/>
                    </w:rPr>
                  </w:pPr>
                </w:p>
              </w:tc>
              <w:tc>
                <w:tcPr>
                  <w:tcW w:w="568" w:type="pct"/>
                  <w:tcBorders>
                    <w:top w:val="single" w:color="auto" w:sz="4" w:space="0"/>
                    <w:left w:val="single" w:color="auto" w:sz="4" w:space="0"/>
                    <w:right w:val="single" w:color="auto" w:sz="4" w:space="0"/>
                  </w:tcBorders>
                  <w:noWrap w:val="0"/>
                  <w:vAlign w:val="center"/>
                </w:tcPr>
                <w:p w14:paraId="593B1E27">
                  <w:pPr>
                    <w:pStyle w:val="102"/>
                    <w:jc w:val="center"/>
                    <w:rPr>
                      <w:rFonts w:hint="eastAsia" w:ascii="宋体" w:hAnsi="宋体" w:eastAsia="宋体" w:cs="宋体"/>
                      <w:color w:val="auto"/>
                      <w:sz w:val="21"/>
                      <w:szCs w:val="21"/>
                    </w:rPr>
                  </w:pPr>
                  <w:r>
                    <w:rPr>
                      <w:rFonts w:hint="eastAsia" w:ascii="宋体" w:hAnsi="宋体" w:eastAsia="宋体" w:cs="宋体"/>
                      <w:color w:val="auto"/>
                      <w:sz w:val="21"/>
                      <w:szCs w:val="21"/>
                    </w:rPr>
                    <w:t>废气治理措施</w:t>
                  </w:r>
                </w:p>
              </w:tc>
              <w:tc>
                <w:tcPr>
                  <w:tcW w:w="3293" w:type="pct"/>
                  <w:gridSpan w:val="3"/>
                  <w:tcBorders>
                    <w:top w:val="single" w:color="auto" w:sz="4" w:space="0"/>
                    <w:left w:val="single" w:color="auto" w:sz="4" w:space="0"/>
                    <w:right w:val="single" w:color="auto" w:sz="4" w:space="0"/>
                  </w:tcBorders>
                  <w:noWrap w:val="0"/>
                  <w:vAlign w:val="center"/>
                </w:tcPr>
                <w:p w14:paraId="49A1E3AC">
                  <w:pPr>
                    <w:pStyle w:val="102"/>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套“低氮燃烧技术+</w:t>
                  </w:r>
                  <w:r>
                    <w:rPr>
                      <w:rFonts w:hint="eastAsia" w:ascii="宋体" w:hAnsi="宋体" w:eastAsia="宋体" w:cs="宋体"/>
                      <w:color w:val="auto"/>
                      <w:sz w:val="21"/>
                      <w:szCs w:val="21"/>
                      <w:highlight w:val="none"/>
                      <w:lang w:eastAsia="zh-CN"/>
                    </w:rPr>
                    <w:t>旋风除尘器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布袋除尘器”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lang w:val="en-US" w:eastAsia="zh-CN"/>
                    </w:rPr>
                    <w:t>1根</w:t>
                  </w:r>
                  <w:r>
                    <w:rPr>
                      <w:rFonts w:hint="eastAsia" w:ascii="宋体" w:hAnsi="宋体" w:cs="宋体"/>
                      <w:color w:val="auto"/>
                      <w:sz w:val="21"/>
                      <w:szCs w:val="21"/>
                      <w:lang w:val="en-US" w:eastAsia="zh-CN"/>
                    </w:rPr>
                    <w:t>35</w:t>
                  </w:r>
                  <w:r>
                    <w:rPr>
                      <w:rFonts w:hint="eastAsia" w:ascii="宋体" w:hAnsi="宋体" w:eastAsia="宋体" w:cs="宋体"/>
                      <w:color w:val="auto"/>
                      <w:sz w:val="21"/>
                      <w:szCs w:val="21"/>
                      <w:lang w:val="en-US" w:eastAsia="zh-CN"/>
                    </w:rPr>
                    <w:t>m高排气筒</w:t>
                  </w:r>
                </w:p>
              </w:tc>
              <w:tc>
                <w:tcPr>
                  <w:tcW w:w="699" w:type="pct"/>
                  <w:tcBorders>
                    <w:top w:val="single" w:color="auto" w:sz="4" w:space="0"/>
                    <w:left w:val="single" w:color="auto" w:sz="4" w:space="0"/>
                    <w:right w:val="single" w:color="auto" w:sz="4" w:space="0"/>
                  </w:tcBorders>
                  <w:noWrap w:val="0"/>
                  <w:vAlign w:val="center"/>
                </w:tcPr>
                <w:p w14:paraId="644E8D8A">
                  <w:pPr>
                    <w:pStyle w:val="102"/>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将排气筒高度从15m高整改为35m高</w:t>
                  </w:r>
                </w:p>
              </w:tc>
            </w:tr>
            <w:tr w14:paraId="28E7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439" w:type="pct"/>
                  <w:vMerge w:val="continue"/>
                  <w:tcBorders>
                    <w:left w:val="single" w:color="auto" w:sz="4" w:space="0"/>
                    <w:right w:val="single" w:color="auto" w:sz="4" w:space="0"/>
                  </w:tcBorders>
                  <w:noWrap w:val="0"/>
                  <w:vAlign w:val="center"/>
                </w:tcPr>
                <w:p w14:paraId="358A6D35">
                  <w:pPr>
                    <w:pStyle w:val="37"/>
                    <w:ind w:left="0" w:leftChars="0" w:firstLine="0" w:firstLineChars="0"/>
                    <w:jc w:val="center"/>
                    <w:rPr>
                      <w:rFonts w:hint="eastAsia" w:ascii="宋体" w:hAnsi="宋体" w:eastAsia="宋体" w:cs="宋体"/>
                      <w:color w:val="auto"/>
                      <w:sz w:val="21"/>
                      <w:szCs w:val="21"/>
                    </w:rPr>
                  </w:pPr>
                </w:p>
              </w:tc>
              <w:tc>
                <w:tcPr>
                  <w:tcW w:w="568" w:type="pct"/>
                  <w:vMerge w:val="restart"/>
                  <w:tcBorders>
                    <w:left w:val="single" w:color="auto" w:sz="4" w:space="0"/>
                    <w:right w:val="single" w:color="auto" w:sz="4" w:space="0"/>
                  </w:tcBorders>
                  <w:noWrap w:val="0"/>
                  <w:vAlign w:val="center"/>
                </w:tcPr>
                <w:p w14:paraId="2C6E9AE6">
                  <w:pPr>
                    <w:pStyle w:val="37"/>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固废</w:t>
                  </w: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3B08C6B8">
                  <w:pPr>
                    <w:pStyle w:val="37"/>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灰渣</w:t>
                  </w:r>
                  <w:r>
                    <w:rPr>
                      <w:rFonts w:hint="eastAsia" w:ascii="宋体" w:hAnsi="宋体" w:cs="宋体"/>
                      <w:color w:val="auto"/>
                      <w:sz w:val="21"/>
                      <w:szCs w:val="21"/>
                      <w:highlight w:val="none"/>
                      <w:lang w:val="en-US" w:eastAsia="zh-CN"/>
                    </w:rPr>
                    <w:t>暂存区</w:t>
                  </w:r>
                  <w:r>
                    <w:rPr>
                      <w:rFonts w:hint="eastAsia" w:ascii="宋体" w:hAnsi="宋体" w:eastAsia="宋体" w:cs="宋体"/>
                      <w:color w:val="auto"/>
                      <w:sz w:val="21"/>
                      <w:szCs w:val="21"/>
                      <w:highlight w:val="none"/>
                      <w:lang w:val="en-US" w:eastAsia="zh-CN"/>
                    </w:rPr>
                    <w:t>，占地面积10m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vertAlign w:val="baseline"/>
                      <w:lang w:val="en-US" w:eastAsia="zh-CN"/>
                    </w:rPr>
                    <w:t>，地面硬化，并设置“防扬散、防流失、防渗漏”的三防措施</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48BF471C">
                  <w:pPr>
                    <w:pStyle w:val="37"/>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已建</w:t>
                  </w:r>
                </w:p>
              </w:tc>
            </w:tr>
            <w:tr w14:paraId="0C69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39" w:type="pct"/>
                  <w:vMerge w:val="continue"/>
                  <w:tcBorders>
                    <w:left w:val="single" w:color="auto" w:sz="4" w:space="0"/>
                    <w:right w:val="single" w:color="auto" w:sz="4" w:space="0"/>
                  </w:tcBorders>
                  <w:noWrap w:val="0"/>
                  <w:vAlign w:val="center"/>
                </w:tcPr>
                <w:p w14:paraId="475F62B4">
                  <w:pPr>
                    <w:pStyle w:val="102"/>
                    <w:rPr>
                      <w:rFonts w:hint="eastAsia" w:ascii="宋体" w:hAnsi="宋体" w:eastAsia="宋体" w:cs="宋体"/>
                      <w:b/>
                      <w:bCs/>
                      <w:color w:val="auto"/>
                      <w:sz w:val="21"/>
                      <w:szCs w:val="21"/>
                    </w:rPr>
                  </w:pPr>
                </w:p>
              </w:tc>
              <w:tc>
                <w:tcPr>
                  <w:tcW w:w="568" w:type="pct"/>
                  <w:vMerge w:val="continue"/>
                  <w:tcBorders>
                    <w:left w:val="single" w:color="auto" w:sz="4" w:space="0"/>
                    <w:right w:val="single" w:color="auto" w:sz="4" w:space="0"/>
                  </w:tcBorders>
                  <w:noWrap w:val="0"/>
                  <w:vAlign w:val="center"/>
                </w:tcPr>
                <w:p w14:paraId="6691334A">
                  <w:pPr>
                    <w:pStyle w:val="102"/>
                    <w:jc w:val="center"/>
                    <w:rPr>
                      <w:rFonts w:hint="eastAsia" w:ascii="宋体" w:hAnsi="宋体" w:eastAsia="宋体" w:cs="宋体"/>
                      <w:color w:val="auto"/>
                      <w:sz w:val="21"/>
                      <w:szCs w:val="21"/>
                    </w:rPr>
                  </w:pPr>
                </w:p>
              </w:tc>
              <w:tc>
                <w:tcPr>
                  <w:tcW w:w="3293" w:type="pct"/>
                  <w:gridSpan w:val="3"/>
                  <w:tcBorders>
                    <w:top w:val="single" w:color="auto" w:sz="4" w:space="0"/>
                    <w:left w:val="single" w:color="auto" w:sz="4" w:space="0"/>
                    <w:bottom w:val="single" w:color="auto" w:sz="4" w:space="0"/>
                    <w:right w:val="single" w:color="auto" w:sz="4" w:space="0"/>
                  </w:tcBorders>
                  <w:noWrap w:val="0"/>
                  <w:vAlign w:val="center"/>
                </w:tcPr>
                <w:p w14:paraId="4CE7CABB">
                  <w:pPr>
                    <w:pStyle w:val="37"/>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垃圾收集桶若干</w:t>
                  </w:r>
                </w:p>
              </w:tc>
              <w:tc>
                <w:tcPr>
                  <w:tcW w:w="699" w:type="pct"/>
                  <w:tcBorders>
                    <w:top w:val="single" w:color="auto" w:sz="4" w:space="0"/>
                    <w:left w:val="single" w:color="auto" w:sz="4" w:space="0"/>
                    <w:bottom w:val="single" w:color="auto" w:sz="4" w:space="0"/>
                    <w:right w:val="single" w:color="auto" w:sz="4" w:space="0"/>
                  </w:tcBorders>
                  <w:noWrap w:val="0"/>
                  <w:vAlign w:val="center"/>
                </w:tcPr>
                <w:p w14:paraId="7D3EF308">
                  <w:pPr>
                    <w:pStyle w:val="37"/>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已建</w:t>
                  </w:r>
                </w:p>
              </w:tc>
            </w:tr>
          </w:tbl>
          <w:p w14:paraId="57CC04D8">
            <w:pPr>
              <w:adjustRightInd w:val="0"/>
              <w:snapToGrid w:val="0"/>
              <w:spacing w:line="360" w:lineRule="auto"/>
              <w:jc w:val="left"/>
              <w:rPr>
                <w:bCs/>
                <w:color w:val="auto"/>
                <w:sz w:val="24"/>
                <w:highlight w:val="none"/>
              </w:rPr>
            </w:pPr>
            <w:r>
              <w:rPr>
                <w:rFonts w:hint="eastAsia"/>
                <w:b/>
                <w:bCs/>
                <w:color w:val="auto"/>
                <w:sz w:val="24"/>
                <w:highlight w:val="none"/>
              </w:rPr>
              <w:t>三、生产规模及产品方案</w:t>
            </w:r>
          </w:p>
          <w:p w14:paraId="7D0ED90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0"/>
                <w:highlight w:val="none"/>
                <w:shd w:val="clear" w:color="auto" w:fill="FFFFFF"/>
                <w:lang w:val="en-US" w:eastAsia="zh-CN" w:bidi="ar-SA"/>
              </w:rPr>
            </w:pPr>
            <w:r>
              <w:rPr>
                <w:rFonts w:hint="eastAsia" w:ascii="宋体" w:hAnsi="宋体" w:eastAsia="宋体" w:cs="宋体"/>
                <w:color w:val="auto"/>
                <w:sz w:val="24"/>
                <w:szCs w:val="32"/>
                <w:lang w:val="en-US" w:eastAsia="zh-CN"/>
              </w:rPr>
              <w:t>结合</w:t>
            </w:r>
            <w:r>
              <w:rPr>
                <w:rFonts w:hint="eastAsia" w:ascii="宋体" w:hAnsi="宋体" w:cs="宋体"/>
                <w:color w:val="auto"/>
                <w:sz w:val="24"/>
                <w:szCs w:val="32"/>
                <w:lang w:val="en-US" w:eastAsia="zh-CN"/>
              </w:rPr>
              <w:t>钧澄</w:t>
            </w:r>
            <w:r>
              <w:rPr>
                <w:rFonts w:hint="eastAsia" w:ascii="宋体" w:hAnsi="宋体" w:eastAsia="宋体" w:cs="宋体"/>
                <w:color w:val="auto"/>
                <w:sz w:val="24"/>
                <w:szCs w:val="32"/>
                <w:lang w:val="en-US" w:eastAsia="zh-CN"/>
              </w:rPr>
              <w:t>公司蒸汽现状需求量，本项目实际年</w:t>
            </w:r>
            <w:r>
              <w:rPr>
                <w:rFonts w:hint="eastAsia" w:ascii="宋体" w:hAnsi="宋体" w:cs="宋体"/>
                <w:color w:val="auto"/>
                <w:sz w:val="24"/>
                <w:szCs w:val="32"/>
                <w:lang w:val="en-US" w:eastAsia="zh-CN"/>
              </w:rPr>
              <w:t>最大</w:t>
            </w:r>
            <w:r>
              <w:rPr>
                <w:rFonts w:hint="eastAsia" w:ascii="宋体" w:hAnsi="宋体" w:eastAsia="宋体" w:cs="宋体"/>
                <w:color w:val="auto"/>
                <w:sz w:val="24"/>
                <w:szCs w:val="32"/>
                <w:lang w:val="en-US" w:eastAsia="zh-CN"/>
              </w:rPr>
              <w:t>供应蒸汽</w:t>
            </w:r>
            <w:r>
              <w:rPr>
                <w:rFonts w:hint="eastAsia" w:ascii="宋体" w:hAnsi="宋体" w:cs="宋体"/>
                <w:color w:val="auto"/>
                <w:sz w:val="24"/>
                <w:szCs w:val="32"/>
                <w:lang w:val="en-US" w:eastAsia="zh-CN"/>
              </w:rPr>
              <w:t>量为9000</w:t>
            </w:r>
            <w:r>
              <w:rPr>
                <w:rFonts w:hint="eastAsia" w:ascii="宋体" w:hAnsi="宋体" w:eastAsia="宋体" w:cs="宋体"/>
                <w:color w:val="auto"/>
                <w:sz w:val="24"/>
                <w:szCs w:val="32"/>
                <w:lang w:val="en-US" w:eastAsia="zh-CN"/>
              </w:rPr>
              <w:t>吨，本报告</w:t>
            </w:r>
            <w:r>
              <w:rPr>
                <w:rFonts w:hint="eastAsia" w:ascii="宋体" w:hAnsi="宋体" w:cs="宋体"/>
                <w:color w:val="auto"/>
                <w:sz w:val="24"/>
                <w:szCs w:val="32"/>
                <w:lang w:val="en-US" w:eastAsia="zh-CN"/>
              </w:rPr>
              <w:t>生产规模按年最大供应蒸汽量</w:t>
            </w:r>
            <w:r>
              <w:rPr>
                <w:rFonts w:hint="eastAsia" w:ascii="宋体" w:hAnsi="宋体" w:eastAsia="宋体" w:cs="宋体"/>
                <w:color w:val="auto"/>
                <w:sz w:val="24"/>
                <w:szCs w:val="32"/>
                <w:lang w:val="en-US" w:eastAsia="zh-CN"/>
              </w:rPr>
              <w:t>“年供应蒸汽</w:t>
            </w:r>
            <w:r>
              <w:rPr>
                <w:rFonts w:hint="eastAsia" w:ascii="宋体" w:hAnsi="宋体" w:cs="宋体"/>
                <w:color w:val="auto"/>
                <w:sz w:val="24"/>
                <w:szCs w:val="32"/>
                <w:lang w:val="en-US" w:eastAsia="zh-CN"/>
              </w:rPr>
              <w:t>9000</w:t>
            </w:r>
            <w:r>
              <w:rPr>
                <w:rFonts w:hint="eastAsia" w:ascii="宋体" w:hAnsi="宋体" w:eastAsia="宋体" w:cs="宋体"/>
                <w:color w:val="auto"/>
                <w:sz w:val="24"/>
                <w:szCs w:val="32"/>
                <w:lang w:val="en-US" w:eastAsia="zh-CN"/>
              </w:rPr>
              <w:t>吨”</w:t>
            </w:r>
            <w:r>
              <w:rPr>
                <w:rFonts w:hint="eastAsia" w:ascii="宋体" w:hAnsi="宋体" w:cs="宋体"/>
                <w:color w:val="auto"/>
                <w:sz w:val="24"/>
                <w:szCs w:val="32"/>
                <w:lang w:val="en-US" w:eastAsia="zh-CN"/>
              </w:rPr>
              <w:t>计。</w:t>
            </w:r>
            <w:r>
              <w:rPr>
                <w:rFonts w:hint="eastAsia" w:ascii="Times New Roman" w:hAnsi="Times New Roman" w:eastAsia="宋体" w:cs="Times New Roman"/>
                <w:color w:val="auto"/>
                <w:kern w:val="0"/>
                <w:sz w:val="24"/>
                <w:szCs w:val="20"/>
                <w:highlight w:val="none"/>
                <w:shd w:val="clear" w:color="auto" w:fill="FFFFFF"/>
                <w:lang w:val="en-US" w:eastAsia="zh-CN" w:bidi="ar-SA"/>
              </w:rPr>
              <w:t>新建</w:t>
            </w:r>
            <w:r>
              <w:rPr>
                <w:rFonts w:hint="eastAsia" w:eastAsia="宋体" w:cs="Times New Roman"/>
                <w:color w:val="auto"/>
                <w:kern w:val="0"/>
                <w:sz w:val="24"/>
                <w:szCs w:val="20"/>
                <w:highlight w:val="none"/>
                <w:shd w:val="clear" w:color="auto" w:fill="FFFFFF"/>
                <w:lang w:val="en-US" w:eastAsia="zh-CN" w:bidi="ar-SA"/>
              </w:rPr>
              <w:t>3</w:t>
            </w:r>
            <w:r>
              <w:rPr>
                <w:rFonts w:hint="eastAsia" w:cs="Times New Roman"/>
                <w:color w:val="auto"/>
                <w:kern w:val="0"/>
                <w:sz w:val="24"/>
                <w:szCs w:val="20"/>
                <w:highlight w:val="none"/>
                <w:shd w:val="clear" w:color="auto" w:fill="FFFFFF"/>
                <w:lang w:val="en-US" w:eastAsia="zh-CN" w:bidi="ar-SA"/>
              </w:rPr>
              <w:t>组</w:t>
            </w:r>
            <w:r>
              <w:rPr>
                <w:rFonts w:hint="eastAsia" w:ascii="Times New Roman" w:hAnsi="Times New Roman" w:eastAsia="宋体" w:cs="Times New Roman"/>
                <w:color w:val="auto"/>
                <w:kern w:val="0"/>
                <w:sz w:val="24"/>
                <w:szCs w:val="20"/>
                <w:highlight w:val="none"/>
                <w:shd w:val="clear" w:color="auto" w:fill="FFFFFF"/>
                <w:lang w:val="en-US" w:eastAsia="zh-CN" w:bidi="ar-SA"/>
              </w:rPr>
              <w:t>生物质蒸发器，每台额定蒸发量为2.5吨/小时，</w:t>
            </w:r>
            <w:r>
              <w:rPr>
                <w:rFonts w:hint="eastAsia" w:cs="Times New Roman"/>
                <w:color w:val="auto"/>
                <w:kern w:val="0"/>
                <w:sz w:val="24"/>
                <w:szCs w:val="20"/>
                <w:highlight w:val="none"/>
                <w:shd w:val="clear" w:color="auto" w:fill="FFFFFF"/>
                <w:lang w:val="en-US" w:eastAsia="zh-CN" w:bidi="ar-SA"/>
              </w:rPr>
              <w:t>年运行1200小时</w:t>
            </w:r>
            <w:r>
              <w:rPr>
                <w:rFonts w:hint="eastAsia" w:ascii="Times New Roman" w:hAnsi="Times New Roman" w:eastAsia="宋体" w:cs="Times New Roman"/>
                <w:color w:val="auto"/>
                <w:kern w:val="0"/>
                <w:sz w:val="24"/>
                <w:szCs w:val="20"/>
                <w:highlight w:val="none"/>
                <w:shd w:val="clear" w:color="auto" w:fill="FFFFFF"/>
                <w:lang w:val="en-US" w:eastAsia="zh-CN" w:bidi="ar-SA"/>
              </w:rPr>
              <w:t>，年供应9000吨饱和蒸汽。</w:t>
            </w:r>
            <w:r>
              <w:rPr>
                <w:rFonts w:hint="eastAsia" w:cs="Times New Roman"/>
                <w:color w:val="auto"/>
                <w:kern w:val="0"/>
                <w:sz w:val="24"/>
                <w:szCs w:val="20"/>
                <w:highlight w:val="none"/>
                <w:shd w:val="clear" w:color="auto" w:fill="FFFFFF"/>
                <w:lang w:val="en-US" w:eastAsia="zh-CN" w:bidi="ar-SA"/>
              </w:rPr>
              <w:t>额定蒸汽温度186℃，额定蒸汽压力1.0Mpa。</w:t>
            </w:r>
          </w:p>
          <w:p w14:paraId="7803396D">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kern w:val="0"/>
                <w:sz w:val="24"/>
                <w:szCs w:val="20"/>
                <w:highlight w:val="none"/>
                <w:shd w:val="clear" w:color="auto" w:fill="FFFFFF"/>
                <w:lang w:val="en-US" w:eastAsia="zh-CN" w:bidi="ar-SA"/>
              </w:rPr>
            </w:pPr>
            <w:r>
              <w:rPr>
                <w:rFonts w:hint="eastAsia" w:ascii="Times New Roman" w:hAnsi="Times New Roman" w:eastAsia="宋体" w:cs="Times New Roman"/>
                <w:color w:val="auto"/>
                <w:kern w:val="0"/>
                <w:sz w:val="24"/>
                <w:szCs w:val="20"/>
                <w:highlight w:val="none"/>
                <w:shd w:val="clear" w:color="auto" w:fill="FFFFFF"/>
                <w:lang w:val="en-US" w:eastAsia="zh-CN" w:bidi="ar-SA"/>
              </w:rPr>
              <w:t>项目蒸发器所产生的蒸汽全部外售</w:t>
            </w:r>
            <w:r>
              <w:rPr>
                <w:rFonts w:hint="eastAsia" w:eastAsia="宋体" w:cs="Times New Roman"/>
                <w:color w:val="auto"/>
                <w:kern w:val="0"/>
                <w:sz w:val="24"/>
                <w:szCs w:val="20"/>
                <w:highlight w:val="none"/>
                <w:shd w:val="clear" w:color="auto" w:fill="FFFFFF"/>
                <w:lang w:val="en-US" w:eastAsia="zh-CN" w:bidi="ar-SA"/>
              </w:rPr>
              <w:t>玉</w:t>
            </w:r>
            <w:r>
              <w:rPr>
                <w:rFonts w:hint="eastAsia" w:ascii="Times New Roman" w:hAnsi="Times New Roman" w:eastAsia="宋体" w:cs="Times New Roman"/>
                <w:color w:val="auto"/>
                <w:kern w:val="0"/>
                <w:sz w:val="24"/>
                <w:szCs w:val="20"/>
                <w:highlight w:val="none"/>
                <w:shd w:val="clear" w:color="auto" w:fill="FFFFFF"/>
                <w:lang w:val="en-US" w:eastAsia="zh-CN" w:bidi="ar-SA"/>
              </w:rPr>
              <w:t>溪钧澄经贸有限公司，外售蒸汽由其全部消耗，不设置蒸汽冷凝回收装置。</w:t>
            </w:r>
          </w:p>
          <w:p w14:paraId="7AB03AF3">
            <w:pPr>
              <w:adjustRightInd w:val="0"/>
              <w:snapToGrid w:val="0"/>
              <w:spacing w:line="360" w:lineRule="auto"/>
              <w:jc w:val="left"/>
              <w:rPr>
                <w:bCs/>
                <w:color w:val="auto"/>
                <w:szCs w:val="21"/>
                <w:highlight w:val="none"/>
              </w:rPr>
            </w:pPr>
            <w:r>
              <w:rPr>
                <w:rFonts w:hint="eastAsia"/>
                <w:b/>
                <w:bCs/>
                <w:color w:val="auto"/>
                <w:sz w:val="24"/>
                <w:highlight w:val="none"/>
              </w:rPr>
              <w:t>四、主要原辅材料</w:t>
            </w:r>
          </w:p>
          <w:p w14:paraId="324AB7E4">
            <w:pPr>
              <w:adjustRightInd w:val="0"/>
              <w:snapToGrid w:val="0"/>
              <w:spacing w:line="360" w:lineRule="auto"/>
              <w:ind w:firstLine="480" w:firstLineChars="200"/>
              <w:rPr>
                <w:color w:val="auto"/>
                <w:sz w:val="24"/>
                <w:highlight w:val="none"/>
              </w:rPr>
            </w:pPr>
            <w:r>
              <w:rPr>
                <w:color w:val="auto"/>
                <w:sz w:val="24"/>
                <w:highlight w:val="none"/>
              </w:rPr>
              <w:t>项目</w:t>
            </w:r>
            <w:r>
              <w:rPr>
                <w:rFonts w:hint="eastAsia"/>
                <w:color w:val="auto"/>
                <w:sz w:val="24"/>
                <w:highlight w:val="none"/>
              </w:rPr>
              <w:t>主要原辅料用量见下表。</w:t>
            </w:r>
          </w:p>
          <w:p w14:paraId="07E6258A">
            <w:pPr>
              <w:pStyle w:val="81"/>
              <w:spacing w:after="120"/>
              <w:ind w:firstLine="498"/>
              <w:rPr>
                <w:rFonts w:hint="default" w:ascii="Times New Roman" w:hAnsi="Times New Roman" w:eastAsia="宋体" w:cs="Times New Roman"/>
                <w:b/>
                <w:bCs/>
                <w:color w:val="auto"/>
                <w:spacing w:val="0"/>
                <w:kern w:val="24"/>
                <w:highlight w:val="none"/>
                <w:lang w:val="zh-CN"/>
              </w:rPr>
            </w:pPr>
            <w:r>
              <w:rPr>
                <w:rFonts w:hint="default" w:ascii="Times New Roman" w:hAnsi="Times New Roman" w:eastAsia="宋体" w:cs="Times New Roman"/>
                <w:b/>
                <w:bCs/>
                <w:color w:val="auto"/>
                <w:spacing w:val="0"/>
                <w:kern w:val="24"/>
                <w:highlight w:val="none"/>
                <w:lang w:val="zh-CN"/>
              </w:rPr>
              <w:t>表2-</w:t>
            </w:r>
            <w:r>
              <w:rPr>
                <w:rFonts w:ascii="Times New Roman" w:hAnsi="Times New Roman" w:eastAsia="宋体" w:cs="Times New Roman"/>
                <w:b/>
                <w:bCs/>
                <w:color w:val="auto"/>
                <w:spacing w:val="0"/>
                <w:kern w:val="24"/>
                <w:highlight w:val="none"/>
              </w:rPr>
              <w:t>2</w:t>
            </w:r>
            <w:r>
              <w:rPr>
                <w:rFonts w:hint="default" w:ascii="Times New Roman" w:hAnsi="Times New Roman" w:eastAsia="宋体" w:cs="Times New Roman"/>
                <w:b/>
                <w:bCs/>
                <w:color w:val="auto"/>
                <w:spacing w:val="0"/>
                <w:kern w:val="24"/>
                <w:highlight w:val="none"/>
                <w:lang w:val="zh-CN"/>
              </w:rPr>
              <w:t xml:space="preserve">  项目原辅材料消耗情况一览表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63"/>
              <w:gridCol w:w="1053"/>
              <w:gridCol w:w="1085"/>
              <w:gridCol w:w="3640"/>
            </w:tblGrid>
            <w:tr w14:paraId="3EB7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453" w:type="pct"/>
                  <w:vAlign w:val="center"/>
                </w:tcPr>
                <w:p w14:paraId="583C61D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68" w:type="pct"/>
                  <w:vAlign w:val="center"/>
                </w:tcPr>
                <w:p w14:paraId="10618B9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52" w:type="pct"/>
                  <w:vAlign w:val="center"/>
                </w:tcPr>
                <w:p w14:paraId="086963E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72" w:type="pct"/>
                  <w:vAlign w:val="center"/>
                </w:tcPr>
                <w:p w14:paraId="51AB0A9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年消耗量</w:t>
                  </w:r>
                </w:p>
              </w:tc>
              <w:tc>
                <w:tcPr>
                  <w:tcW w:w="2254" w:type="pct"/>
                  <w:vAlign w:val="center"/>
                </w:tcPr>
                <w:p w14:paraId="30AF808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238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Align w:val="center"/>
                </w:tcPr>
                <w:p w14:paraId="0466F67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68" w:type="pct"/>
                  <w:vAlign w:val="center"/>
                </w:tcPr>
                <w:p w14:paraId="494D209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生物质燃料</w:t>
                  </w:r>
                </w:p>
              </w:tc>
              <w:tc>
                <w:tcPr>
                  <w:tcW w:w="652" w:type="pct"/>
                  <w:vAlign w:val="center"/>
                </w:tcPr>
                <w:p w14:paraId="61B11FC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t/a</w:t>
                  </w:r>
                </w:p>
              </w:tc>
              <w:tc>
                <w:tcPr>
                  <w:tcW w:w="672" w:type="pct"/>
                  <w:vAlign w:val="center"/>
                </w:tcPr>
                <w:p w14:paraId="3CEAF74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1700</w:t>
                  </w:r>
                </w:p>
              </w:tc>
              <w:tc>
                <w:tcPr>
                  <w:tcW w:w="2254" w:type="pct"/>
                  <w:vAlign w:val="center"/>
                </w:tcPr>
                <w:p w14:paraId="0753D55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向勐腊县兴华木器制品有限公司勐满分公司购入</w:t>
                  </w:r>
                </w:p>
              </w:tc>
            </w:tr>
            <w:tr w14:paraId="23E6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Align w:val="center"/>
                </w:tcPr>
                <w:p w14:paraId="4173790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68" w:type="pct"/>
                  <w:vAlign w:val="center"/>
                </w:tcPr>
                <w:p w14:paraId="3F41A2A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工业盐（NaCl）</w:t>
                  </w:r>
                </w:p>
              </w:tc>
              <w:tc>
                <w:tcPr>
                  <w:tcW w:w="652" w:type="pct"/>
                  <w:vAlign w:val="center"/>
                </w:tcPr>
                <w:p w14:paraId="05ABAC3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t/a</w:t>
                  </w:r>
                </w:p>
              </w:tc>
              <w:tc>
                <w:tcPr>
                  <w:tcW w:w="672" w:type="pct"/>
                  <w:vAlign w:val="center"/>
                </w:tcPr>
                <w:p w14:paraId="380E1F2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val="en-US" w:eastAsia="zh-CN"/>
                    </w:rPr>
                    <w:t>3</w:t>
                  </w:r>
                </w:p>
              </w:tc>
              <w:tc>
                <w:tcPr>
                  <w:tcW w:w="2254" w:type="pct"/>
                  <w:vAlign w:val="center"/>
                </w:tcPr>
                <w:p w14:paraId="378C426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用于离子交换树脂冲洗用水</w:t>
                  </w:r>
                </w:p>
              </w:tc>
            </w:tr>
            <w:tr w14:paraId="0587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53" w:type="pct"/>
                  <w:vAlign w:val="center"/>
                </w:tcPr>
                <w:p w14:paraId="33B72FA7">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968" w:type="pct"/>
                  <w:vAlign w:val="center"/>
                </w:tcPr>
                <w:p w14:paraId="79299D6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絮凝剂</w:t>
                  </w:r>
                </w:p>
              </w:tc>
              <w:tc>
                <w:tcPr>
                  <w:tcW w:w="652" w:type="pct"/>
                  <w:vAlign w:val="center"/>
                </w:tcPr>
                <w:p w14:paraId="6E301330">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t/a</w:t>
                  </w:r>
                </w:p>
              </w:tc>
              <w:tc>
                <w:tcPr>
                  <w:tcW w:w="672" w:type="pct"/>
                  <w:vAlign w:val="center"/>
                </w:tcPr>
                <w:p w14:paraId="72BA08F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5</w:t>
                  </w:r>
                </w:p>
              </w:tc>
              <w:tc>
                <w:tcPr>
                  <w:tcW w:w="2254" w:type="pct"/>
                  <w:vAlign w:val="center"/>
                </w:tcPr>
                <w:p w14:paraId="329AE15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color w:val="auto"/>
                      <w:szCs w:val="21"/>
                      <w:highlight w:val="none"/>
                    </w:rPr>
                    <w:t>用于生产废水处理</w:t>
                  </w:r>
                </w:p>
              </w:tc>
            </w:tr>
            <w:tr w14:paraId="3E9F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Align w:val="center"/>
                </w:tcPr>
                <w:p w14:paraId="31266D1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968" w:type="pct"/>
                  <w:vAlign w:val="center"/>
                </w:tcPr>
                <w:p w14:paraId="4838445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稀盐酸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浓度小于20%</w:t>
                  </w:r>
                  <w:r>
                    <w:rPr>
                      <w:rFonts w:hint="eastAsia" w:ascii="宋体" w:hAnsi="宋体" w:eastAsia="宋体" w:cs="宋体"/>
                      <w:color w:val="auto"/>
                      <w:szCs w:val="21"/>
                      <w:highlight w:val="none"/>
                      <w:lang w:eastAsia="zh-CN"/>
                    </w:rPr>
                    <w:t>）</w:t>
                  </w:r>
                </w:p>
              </w:tc>
              <w:tc>
                <w:tcPr>
                  <w:tcW w:w="652" w:type="pct"/>
                  <w:vAlign w:val="center"/>
                </w:tcPr>
                <w:p w14:paraId="5440818F">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t/a</w:t>
                  </w:r>
                </w:p>
              </w:tc>
              <w:tc>
                <w:tcPr>
                  <w:tcW w:w="672" w:type="pct"/>
                  <w:vAlign w:val="center"/>
                </w:tcPr>
                <w:p w14:paraId="3A0E7B4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0.2</w:t>
                  </w:r>
                </w:p>
              </w:tc>
              <w:tc>
                <w:tcPr>
                  <w:tcW w:w="2254" w:type="pct"/>
                  <w:vAlign w:val="center"/>
                </w:tcPr>
                <w:p w14:paraId="3FDBE5F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最大存量25kg，用于生产废水处理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稀盐酸为购买成品稀盐酸，不在现场稀释</w:t>
                  </w:r>
                </w:p>
              </w:tc>
            </w:tr>
            <w:tr w14:paraId="3BB1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3" w:type="pct"/>
                  <w:vAlign w:val="center"/>
                </w:tcPr>
                <w:p w14:paraId="3BC2769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968" w:type="pct"/>
                  <w:vAlign w:val="center"/>
                </w:tcPr>
                <w:p w14:paraId="5CC6C4D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w:t>
                  </w:r>
                </w:p>
              </w:tc>
              <w:tc>
                <w:tcPr>
                  <w:tcW w:w="652" w:type="pct"/>
                  <w:vAlign w:val="center"/>
                </w:tcPr>
                <w:p w14:paraId="1542A14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m</w:t>
                  </w:r>
                  <w:r>
                    <w:rPr>
                      <w:rFonts w:hint="eastAsia" w:ascii="宋体" w:hAnsi="宋体" w:eastAsia="宋体" w:cs="宋体"/>
                      <w:color w:val="auto"/>
                      <w:szCs w:val="21"/>
                      <w:highlight w:val="none"/>
                      <w:vertAlign w:val="superscript"/>
                    </w:rPr>
                    <w:t>3</w:t>
                  </w:r>
                  <w:r>
                    <w:rPr>
                      <w:rFonts w:hint="eastAsia" w:ascii="宋体" w:hAnsi="宋体" w:eastAsia="宋体" w:cs="宋体"/>
                      <w:color w:val="auto"/>
                      <w:szCs w:val="21"/>
                      <w:highlight w:val="none"/>
                    </w:rPr>
                    <w:t>/年</w:t>
                  </w:r>
                </w:p>
              </w:tc>
              <w:tc>
                <w:tcPr>
                  <w:tcW w:w="672" w:type="pct"/>
                  <w:vAlign w:val="center"/>
                </w:tcPr>
                <w:p w14:paraId="797ED20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9648</w:t>
                  </w:r>
                </w:p>
              </w:tc>
              <w:tc>
                <w:tcPr>
                  <w:tcW w:w="2254" w:type="pct"/>
                  <w:vAlign w:val="center"/>
                </w:tcPr>
                <w:p w14:paraId="5D4A2CFB">
                  <w:pPr>
                    <w:pStyle w:val="102"/>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lang w:eastAsia="zh-CN"/>
                    </w:rPr>
                    <w:t>由</w:t>
                  </w:r>
                  <w:r>
                    <w:rPr>
                      <w:rFonts w:hint="eastAsia" w:ascii="宋体" w:hAnsi="宋体" w:eastAsia="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接入</w:t>
                  </w:r>
                </w:p>
              </w:tc>
            </w:tr>
            <w:tr w14:paraId="1F2C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53" w:type="pct"/>
                  <w:vAlign w:val="center"/>
                </w:tcPr>
                <w:p w14:paraId="08A65D0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968" w:type="pct"/>
                  <w:vAlign w:val="center"/>
                </w:tcPr>
                <w:p w14:paraId="6E519F9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p>
              </w:tc>
              <w:tc>
                <w:tcPr>
                  <w:tcW w:w="652" w:type="pct"/>
                  <w:vAlign w:val="center"/>
                </w:tcPr>
                <w:p w14:paraId="5D0C177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万kW·h</w:t>
                  </w:r>
                </w:p>
              </w:tc>
              <w:tc>
                <w:tcPr>
                  <w:tcW w:w="672" w:type="pct"/>
                  <w:vAlign w:val="center"/>
                </w:tcPr>
                <w:p w14:paraId="64D99389">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2254" w:type="pct"/>
                  <w:vAlign w:val="center"/>
                </w:tcPr>
                <w:p w14:paraId="596FE637">
                  <w:pPr>
                    <w:pStyle w:val="102"/>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lang w:eastAsia="zh-CN"/>
                    </w:rPr>
                    <w:t>由</w:t>
                  </w:r>
                  <w:r>
                    <w:rPr>
                      <w:rFonts w:hint="eastAsia" w:ascii="宋体" w:hAnsi="宋体" w:eastAsia="宋体" w:cs="宋体"/>
                      <w:color w:val="auto"/>
                      <w:szCs w:val="21"/>
                      <w:highlight w:val="none"/>
                      <w:lang w:val="en-US" w:eastAsia="zh-CN"/>
                    </w:rPr>
                    <w:t>玉溪钧澄经贸有限公司</w:t>
                  </w:r>
                  <w:r>
                    <w:rPr>
                      <w:rFonts w:hint="eastAsia" w:ascii="宋体" w:hAnsi="宋体" w:eastAsia="宋体" w:cs="宋体"/>
                      <w:color w:val="auto"/>
                      <w:sz w:val="21"/>
                      <w:szCs w:val="21"/>
                      <w:lang w:eastAsia="zh-CN"/>
                    </w:rPr>
                    <w:t>接入</w:t>
                  </w:r>
                </w:p>
              </w:tc>
            </w:tr>
            <w:tr w14:paraId="642F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00" w:type="pct"/>
                  <w:gridSpan w:val="5"/>
                  <w:vAlign w:val="center"/>
                </w:tcPr>
                <w:p w14:paraId="406508AE">
                  <w:pPr>
                    <w:jc w:val="center"/>
                    <w:rPr>
                      <w:color w:val="auto"/>
                      <w:szCs w:val="21"/>
                      <w:highlight w:val="none"/>
                    </w:rPr>
                  </w:pPr>
                  <w:r>
                    <w:rPr>
                      <w:rFonts w:hint="eastAsia" w:ascii="宋体" w:hAnsi="宋体" w:eastAsia="宋体" w:cs="宋体"/>
                      <w:b/>
                      <w:bCs/>
                      <w:color w:val="auto"/>
                      <w:sz w:val="21"/>
                      <w:szCs w:val="21"/>
                      <w:vertAlign w:val="baseline"/>
                      <w:lang w:val="en-US" w:eastAsia="zh-CN"/>
                    </w:rPr>
                    <w:t>备注：生物质燃料主要成分详见附件</w:t>
                  </w:r>
                  <w:r>
                    <w:rPr>
                      <w:rFonts w:hint="eastAsia" w:ascii="宋体" w:hAnsi="宋体" w:cs="宋体"/>
                      <w:b/>
                      <w:bCs/>
                      <w:color w:val="auto"/>
                      <w:sz w:val="21"/>
                      <w:szCs w:val="21"/>
                      <w:vertAlign w:val="baseline"/>
                      <w:lang w:val="en-US" w:eastAsia="zh-CN"/>
                    </w:rPr>
                    <w:t>4</w:t>
                  </w:r>
                </w:p>
              </w:tc>
            </w:tr>
          </w:tbl>
          <w:p w14:paraId="2D251D49">
            <w:pPr>
              <w:adjustRightInd w:val="0"/>
              <w:snapToGrid w:val="0"/>
              <w:spacing w:line="360" w:lineRule="auto"/>
              <w:ind w:firstLine="482" w:firstLineChars="200"/>
              <w:jc w:val="left"/>
              <w:rPr>
                <w:color w:val="auto"/>
                <w:sz w:val="24"/>
                <w:highlight w:val="none"/>
                <w:shd w:val="clear" w:color="auto" w:fill="FFFFFF"/>
              </w:rPr>
            </w:pPr>
            <w:r>
              <w:rPr>
                <w:rFonts w:hint="eastAsia"/>
                <w:b/>
                <w:bCs/>
                <w:color w:val="auto"/>
                <w:sz w:val="24"/>
                <w:highlight w:val="none"/>
                <w:shd w:val="clear" w:color="auto" w:fill="FFFFFF"/>
              </w:rPr>
              <w:t>燃料使用要求：</w:t>
            </w:r>
            <w:r>
              <w:rPr>
                <w:rFonts w:hint="eastAsia"/>
                <w:color w:val="auto"/>
                <w:sz w:val="24"/>
                <w:highlight w:val="none"/>
                <w:shd w:val="clear" w:color="auto" w:fill="FFFFFF"/>
              </w:rPr>
              <w:t>①必须向正规厂商购进合格的生物质成型燃料（颗粒状、棒状、块状等），禁止使用粉状；②生物质燃料不得沾染废机油、夹带塑料和生活垃圾，不得沾染其他有毒有害物质。</w:t>
            </w:r>
          </w:p>
          <w:p w14:paraId="71284946">
            <w:pPr>
              <w:adjustRightInd w:val="0"/>
              <w:snapToGrid w:val="0"/>
              <w:spacing w:line="360" w:lineRule="auto"/>
              <w:jc w:val="left"/>
              <w:rPr>
                <w:b/>
                <w:bCs/>
                <w:color w:val="auto"/>
                <w:sz w:val="24"/>
                <w:highlight w:val="none"/>
              </w:rPr>
            </w:pPr>
            <w:r>
              <w:rPr>
                <w:rFonts w:hint="eastAsia"/>
                <w:b/>
                <w:bCs/>
                <w:color w:val="auto"/>
                <w:sz w:val="24"/>
                <w:highlight w:val="none"/>
              </w:rPr>
              <w:t>五、</w:t>
            </w:r>
            <w:r>
              <w:rPr>
                <w:b/>
                <w:bCs/>
                <w:color w:val="auto"/>
                <w:sz w:val="24"/>
                <w:highlight w:val="none"/>
              </w:rPr>
              <w:t>主要生产设备</w:t>
            </w:r>
          </w:p>
          <w:p w14:paraId="1F767E0C">
            <w:pPr>
              <w:adjustRightInd w:val="0"/>
              <w:snapToGrid w:val="0"/>
              <w:spacing w:line="360" w:lineRule="auto"/>
              <w:ind w:firstLine="480" w:firstLineChars="200"/>
              <w:rPr>
                <w:color w:val="auto"/>
                <w:kern w:val="24"/>
                <w:sz w:val="24"/>
                <w:highlight w:val="none"/>
              </w:rPr>
            </w:pPr>
            <w:r>
              <w:rPr>
                <w:color w:val="auto"/>
                <w:kern w:val="24"/>
                <w:sz w:val="24"/>
                <w:highlight w:val="none"/>
              </w:rPr>
              <w:t>项目主要生产设备详见表</w:t>
            </w:r>
            <w:r>
              <w:rPr>
                <w:rFonts w:hint="eastAsia"/>
                <w:color w:val="auto"/>
                <w:kern w:val="24"/>
                <w:sz w:val="24"/>
                <w:highlight w:val="none"/>
              </w:rPr>
              <w:t>2</w:t>
            </w:r>
            <w:r>
              <w:rPr>
                <w:color w:val="auto"/>
                <w:kern w:val="24"/>
                <w:sz w:val="24"/>
                <w:highlight w:val="none"/>
              </w:rPr>
              <w:t>-</w:t>
            </w:r>
            <w:r>
              <w:rPr>
                <w:rFonts w:hint="eastAsia"/>
                <w:color w:val="auto"/>
                <w:kern w:val="24"/>
                <w:sz w:val="24"/>
                <w:highlight w:val="none"/>
                <w:lang w:val="en-US" w:eastAsia="zh-CN"/>
              </w:rPr>
              <w:t>3</w:t>
            </w:r>
            <w:r>
              <w:rPr>
                <w:color w:val="auto"/>
                <w:kern w:val="24"/>
                <w:sz w:val="24"/>
                <w:highlight w:val="none"/>
              </w:rPr>
              <w:t>。</w:t>
            </w:r>
          </w:p>
          <w:p w14:paraId="653E6157">
            <w:pPr>
              <w:adjustRightInd w:val="0"/>
              <w:snapToGrid w:val="0"/>
              <w:spacing w:line="360" w:lineRule="auto"/>
              <w:ind w:firstLine="482" w:firstLineChars="200"/>
              <w:jc w:val="center"/>
              <w:rPr>
                <w:b/>
                <w:bCs/>
                <w:color w:val="auto"/>
                <w:kern w:val="24"/>
                <w:sz w:val="24"/>
                <w:highlight w:val="none"/>
              </w:rPr>
            </w:pPr>
            <w:r>
              <w:rPr>
                <w:b/>
                <w:bCs/>
                <w:color w:val="auto"/>
                <w:kern w:val="24"/>
                <w:sz w:val="24"/>
                <w:highlight w:val="none"/>
              </w:rPr>
              <w:t>表2-</w:t>
            </w:r>
            <w:r>
              <w:rPr>
                <w:rFonts w:hint="eastAsia"/>
                <w:b/>
                <w:bCs/>
                <w:color w:val="auto"/>
                <w:kern w:val="24"/>
                <w:sz w:val="24"/>
                <w:highlight w:val="none"/>
                <w:lang w:val="en-US" w:eastAsia="zh-CN"/>
              </w:rPr>
              <w:t>3</w:t>
            </w:r>
            <w:r>
              <w:rPr>
                <w:b/>
                <w:bCs/>
                <w:color w:val="auto"/>
                <w:kern w:val="24"/>
                <w:sz w:val="24"/>
                <w:highlight w:val="none"/>
              </w:rPr>
              <w:t xml:space="preserve">  生产设备一览表</w:t>
            </w:r>
          </w:p>
          <w:tbl>
            <w:tblPr>
              <w:tblStyle w:val="27"/>
              <w:tblW w:w="8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067"/>
              <w:gridCol w:w="2840"/>
              <w:gridCol w:w="933"/>
              <w:gridCol w:w="1433"/>
            </w:tblGrid>
            <w:tr w14:paraId="5940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05" w:type="dxa"/>
                </w:tcPr>
                <w:p w14:paraId="05FFCD88">
                  <w:pPr>
                    <w:adjustRightInd w:val="0"/>
                    <w:snapToGrid w:val="0"/>
                    <w:spacing w:line="360" w:lineRule="auto"/>
                    <w:jc w:val="center"/>
                    <w:rPr>
                      <w:color w:val="auto"/>
                      <w:szCs w:val="21"/>
                      <w:highlight w:val="none"/>
                    </w:rPr>
                  </w:pPr>
                  <w:r>
                    <w:rPr>
                      <w:rFonts w:hint="eastAsia"/>
                      <w:color w:val="auto"/>
                      <w:szCs w:val="21"/>
                      <w:highlight w:val="none"/>
                    </w:rPr>
                    <w:t>序号</w:t>
                  </w:r>
                </w:p>
              </w:tc>
              <w:tc>
                <w:tcPr>
                  <w:tcW w:w="2067" w:type="dxa"/>
                </w:tcPr>
                <w:p w14:paraId="2AABBEC6">
                  <w:pPr>
                    <w:adjustRightInd w:val="0"/>
                    <w:snapToGrid w:val="0"/>
                    <w:spacing w:line="360" w:lineRule="auto"/>
                    <w:jc w:val="center"/>
                    <w:rPr>
                      <w:color w:val="auto"/>
                      <w:szCs w:val="21"/>
                      <w:highlight w:val="none"/>
                    </w:rPr>
                  </w:pPr>
                  <w:r>
                    <w:rPr>
                      <w:color w:val="auto"/>
                      <w:szCs w:val="21"/>
                      <w:highlight w:val="none"/>
                    </w:rPr>
                    <w:t>设备名称</w:t>
                  </w:r>
                </w:p>
              </w:tc>
              <w:tc>
                <w:tcPr>
                  <w:tcW w:w="2840" w:type="dxa"/>
                </w:tcPr>
                <w:p w14:paraId="4A70A865">
                  <w:pPr>
                    <w:adjustRightInd w:val="0"/>
                    <w:snapToGrid w:val="0"/>
                    <w:spacing w:line="360" w:lineRule="auto"/>
                    <w:jc w:val="center"/>
                    <w:rPr>
                      <w:color w:val="auto"/>
                      <w:szCs w:val="21"/>
                      <w:highlight w:val="none"/>
                    </w:rPr>
                  </w:pPr>
                  <w:r>
                    <w:rPr>
                      <w:color w:val="auto"/>
                      <w:szCs w:val="21"/>
                      <w:highlight w:val="none"/>
                    </w:rPr>
                    <w:t>型号或规格</w:t>
                  </w:r>
                </w:p>
              </w:tc>
              <w:tc>
                <w:tcPr>
                  <w:tcW w:w="933" w:type="dxa"/>
                </w:tcPr>
                <w:p w14:paraId="24018CAD">
                  <w:pPr>
                    <w:adjustRightInd w:val="0"/>
                    <w:snapToGrid w:val="0"/>
                    <w:spacing w:line="360" w:lineRule="auto"/>
                    <w:jc w:val="center"/>
                    <w:rPr>
                      <w:color w:val="auto"/>
                      <w:szCs w:val="21"/>
                      <w:highlight w:val="none"/>
                    </w:rPr>
                  </w:pPr>
                  <w:r>
                    <w:rPr>
                      <w:color w:val="auto"/>
                      <w:szCs w:val="21"/>
                      <w:highlight w:val="none"/>
                    </w:rPr>
                    <w:t>数量</w:t>
                  </w:r>
                </w:p>
              </w:tc>
              <w:tc>
                <w:tcPr>
                  <w:tcW w:w="1433" w:type="dxa"/>
                </w:tcPr>
                <w:p w14:paraId="4CABD146">
                  <w:pPr>
                    <w:adjustRightInd w:val="0"/>
                    <w:snapToGrid w:val="0"/>
                    <w:spacing w:line="360" w:lineRule="auto"/>
                    <w:jc w:val="center"/>
                    <w:rPr>
                      <w:color w:val="auto"/>
                      <w:szCs w:val="21"/>
                      <w:highlight w:val="none"/>
                    </w:rPr>
                  </w:pPr>
                  <w:r>
                    <w:rPr>
                      <w:rFonts w:hint="eastAsia"/>
                      <w:color w:val="auto"/>
                      <w:szCs w:val="21"/>
                      <w:highlight w:val="none"/>
                    </w:rPr>
                    <w:t>单位</w:t>
                  </w:r>
                </w:p>
              </w:tc>
            </w:tr>
            <w:tr w14:paraId="658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6EFD22C4">
                  <w:pPr>
                    <w:spacing w:line="360" w:lineRule="auto"/>
                    <w:jc w:val="center"/>
                    <w:rPr>
                      <w:color w:val="auto"/>
                      <w:szCs w:val="21"/>
                      <w:highlight w:val="none"/>
                    </w:rPr>
                  </w:pPr>
                  <w:r>
                    <w:rPr>
                      <w:color w:val="auto"/>
                      <w:szCs w:val="21"/>
                      <w:highlight w:val="none"/>
                    </w:rPr>
                    <w:t>1</w:t>
                  </w:r>
                </w:p>
              </w:tc>
              <w:tc>
                <w:tcPr>
                  <w:tcW w:w="2067" w:type="dxa"/>
                  <w:vAlign w:val="center"/>
                </w:tcPr>
                <w:p w14:paraId="08DE9837">
                  <w:pPr>
                    <w:snapToGrid/>
                    <w:spacing w:before="0" w:beforeAutospacing="0" w:after="0" w:afterAutospacing="0" w:line="360" w:lineRule="auto"/>
                    <w:jc w:val="center"/>
                    <w:textAlignment w:val="baseline"/>
                    <w:rPr>
                      <w:color w:val="auto"/>
                      <w:szCs w:val="21"/>
                      <w:highlight w:val="none"/>
                    </w:rPr>
                  </w:pPr>
                  <w:r>
                    <w:rPr>
                      <w:rFonts w:hint="eastAsia" w:ascii="宋体" w:hAnsi="宋体" w:eastAsia="宋体" w:cs="宋体"/>
                      <w:b w:val="0"/>
                      <w:i w:val="0"/>
                      <w:caps w:val="0"/>
                      <w:color w:val="auto"/>
                      <w:spacing w:val="0"/>
                      <w:w w:val="100"/>
                      <w:sz w:val="21"/>
                      <w:szCs w:val="21"/>
                      <w:lang w:eastAsia="zh-CN"/>
                    </w:rPr>
                    <w:t>生物质蒸发器</w:t>
                  </w:r>
                </w:p>
              </w:tc>
              <w:tc>
                <w:tcPr>
                  <w:tcW w:w="2840" w:type="dxa"/>
                  <w:vAlign w:val="center"/>
                </w:tcPr>
                <w:p w14:paraId="731E15EA">
                  <w:pPr>
                    <w:snapToGrid/>
                    <w:spacing w:before="0" w:beforeAutospacing="0" w:after="0" w:afterAutospacing="0" w:line="360" w:lineRule="auto"/>
                    <w:jc w:val="center"/>
                    <w:textAlignment w:val="baseline"/>
                    <w:rPr>
                      <w:rFonts w:hint="default"/>
                      <w:color w:val="auto"/>
                      <w:szCs w:val="21"/>
                      <w:highlight w:val="none"/>
                      <w:lang w:val="en-US"/>
                    </w:rPr>
                  </w:pPr>
                  <w:r>
                    <w:rPr>
                      <w:rFonts w:hint="eastAsia" w:ascii="宋体" w:hAnsi="宋体" w:cs="宋体"/>
                      <w:b w:val="0"/>
                      <w:bCs w:val="0"/>
                      <w:color w:val="auto"/>
                      <w:sz w:val="21"/>
                      <w:szCs w:val="21"/>
                      <w:vertAlign w:val="baseline"/>
                      <w:lang w:val="en-US" w:eastAsia="zh-CN"/>
                    </w:rPr>
                    <w:t>XSJ2500-1.0-B，每台额定蒸发量为2.5吨/小时</w:t>
                  </w:r>
                </w:p>
              </w:tc>
              <w:tc>
                <w:tcPr>
                  <w:tcW w:w="933" w:type="dxa"/>
                  <w:vAlign w:val="center"/>
                </w:tcPr>
                <w:p w14:paraId="393AB4EC">
                  <w:pPr>
                    <w:spacing w:line="360" w:lineRule="auto"/>
                    <w:jc w:val="center"/>
                    <w:rPr>
                      <w:color w:val="auto"/>
                      <w:szCs w:val="21"/>
                      <w:highlight w:val="none"/>
                    </w:rPr>
                  </w:pPr>
                  <w:r>
                    <w:rPr>
                      <w:color w:val="auto"/>
                      <w:szCs w:val="21"/>
                      <w:highlight w:val="none"/>
                    </w:rPr>
                    <w:t>3</w:t>
                  </w:r>
                </w:p>
              </w:tc>
              <w:tc>
                <w:tcPr>
                  <w:tcW w:w="1433" w:type="dxa"/>
                  <w:vAlign w:val="center"/>
                </w:tcPr>
                <w:p w14:paraId="7D07505D">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台</w:t>
                  </w:r>
                </w:p>
              </w:tc>
            </w:tr>
            <w:tr w14:paraId="2F5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2EF9B5DD">
                  <w:pPr>
                    <w:spacing w:line="360" w:lineRule="auto"/>
                    <w:jc w:val="center"/>
                    <w:rPr>
                      <w:color w:val="auto"/>
                      <w:szCs w:val="21"/>
                      <w:highlight w:val="none"/>
                    </w:rPr>
                  </w:pPr>
                  <w:r>
                    <w:rPr>
                      <w:color w:val="auto"/>
                      <w:szCs w:val="21"/>
                      <w:highlight w:val="none"/>
                    </w:rPr>
                    <w:t>2</w:t>
                  </w:r>
                </w:p>
              </w:tc>
              <w:tc>
                <w:tcPr>
                  <w:tcW w:w="2067" w:type="dxa"/>
                  <w:vAlign w:val="center"/>
                </w:tcPr>
                <w:p w14:paraId="2C6BA7EC">
                  <w:pPr>
                    <w:snapToGrid/>
                    <w:spacing w:before="0" w:beforeAutospacing="0" w:after="0" w:afterAutospacing="0" w:line="360" w:lineRule="auto"/>
                    <w:jc w:val="center"/>
                    <w:textAlignment w:val="baseline"/>
                    <w:rPr>
                      <w:color w:val="auto"/>
                      <w:szCs w:val="21"/>
                      <w:highlight w:val="none"/>
                    </w:rPr>
                  </w:pPr>
                  <w:r>
                    <w:rPr>
                      <w:rFonts w:hint="eastAsia" w:ascii="宋体" w:hAnsi="宋体" w:eastAsia="宋体" w:cs="宋体"/>
                      <w:b w:val="0"/>
                      <w:bCs w:val="0"/>
                      <w:color w:val="auto"/>
                      <w:sz w:val="21"/>
                      <w:szCs w:val="21"/>
                      <w:lang w:val="en-US" w:eastAsia="zh-CN"/>
                    </w:rPr>
                    <w:t>软水制备设备</w:t>
                  </w:r>
                </w:p>
              </w:tc>
              <w:tc>
                <w:tcPr>
                  <w:tcW w:w="2840" w:type="dxa"/>
                  <w:vAlign w:val="center"/>
                </w:tcPr>
                <w:p w14:paraId="5F3D8DB1">
                  <w:pPr>
                    <w:snapToGrid/>
                    <w:spacing w:before="0" w:beforeAutospacing="0" w:after="0" w:afterAutospacing="0" w:line="360" w:lineRule="auto"/>
                    <w:jc w:val="center"/>
                    <w:textAlignment w:val="baseline"/>
                    <w:rPr>
                      <w:color w:val="auto"/>
                      <w:szCs w:val="21"/>
                      <w:highlight w:val="none"/>
                    </w:rPr>
                  </w:pPr>
                  <w:r>
                    <w:rPr>
                      <w:rFonts w:hint="eastAsia" w:ascii="宋体" w:hAnsi="宋体" w:cs="宋体"/>
                      <w:b w:val="0"/>
                      <w:bCs w:val="0"/>
                      <w:i w:val="0"/>
                      <w:caps w:val="0"/>
                      <w:color w:val="auto"/>
                      <w:spacing w:val="0"/>
                      <w:w w:val="100"/>
                      <w:sz w:val="21"/>
                      <w:szCs w:val="21"/>
                      <w:lang w:val="en-US" w:eastAsia="zh-CN"/>
                    </w:rPr>
                    <w:t>6</w:t>
                  </w:r>
                  <w:r>
                    <w:rPr>
                      <w:rFonts w:hint="eastAsia" w:ascii="宋体" w:hAnsi="宋体" w:eastAsia="宋体" w:cs="宋体"/>
                      <w:b w:val="0"/>
                      <w:bCs w:val="0"/>
                      <w:i w:val="0"/>
                      <w:caps w:val="0"/>
                      <w:color w:val="auto"/>
                      <w:spacing w:val="0"/>
                      <w:w w:val="100"/>
                      <w:sz w:val="21"/>
                      <w:szCs w:val="21"/>
                      <w:lang w:val="en-US" w:eastAsia="zh-CN"/>
                    </w:rPr>
                    <w:t>m</w:t>
                  </w:r>
                  <w:r>
                    <w:rPr>
                      <w:rFonts w:hint="eastAsia" w:ascii="宋体" w:hAnsi="宋体" w:eastAsia="宋体" w:cs="宋体"/>
                      <w:b w:val="0"/>
                      <w:bCs w:val="0"/>
                      <w:i w:val="0"/>
                      <w:caps w:val="0"/>
                      <w:color w:val="auto"/>
                      <w:spacing w:val="0"/>
                      <w:w w:val="100"/>
                      <w:sz w:val="21"/>
                      <w:szCs w:val="21"/>
                      <w:vertAlign w:val="superscript"/>
                      <w:lang w:val="en-US" w:eastAsia="zh-CN"/>
                    </w:rPr>
                    <w:t>3</w:t>
                  </w:r>
                  <w:r>
                    <w:rPr>
                      <w:rFonts w:hint="eastAsia" w:ascii="宋体" w:hAnsi="宋体" w:eastAsia="宋体" w:cs="宋体"/>
                      <w:b w:val="0"/>
                      <w:bCs w:val="0"/>
                      <w:i w:val="0"/>
                      <w:caps w:val="0"/>
                      <w:color w:val="auto"/>
                      <w:spacing w:val="0"/>
                      <w:w w:val="100"/>
                      <w:sz w:val="21"/>
                      <w:szCs w:val="21"/>
                      <w:vertAlign w:val="baseline"/>
                      <w:lang w:val="en-US" w:eastAsia="zh-CN"/>
                    </w:rPr>
                    <w:t>/h</w:t>
                  </w:r>
                </w:p>
              </w:tc>
              <w:tc>
                <w:tcPr>
                  <w:tcW w:w="933" w:type="dxa"/>
                  <w:vAlign w:val="center"/>
                </w:tcPr>
                <w:p w14:paraId="6FFE7224">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1433" w:type="dxa"/>
                  <w:vAlign w:val="center"/>
                </w:tcPr>
                <w:p w14:paraId="00057CF2">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套</w:t>
                  </w:r>
                </w:p>
              </w:tc>
            </w:tr>
            <w:tr w14:paraId="0AE5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7C2CD8B5">
                  <w:pPr>
                    <w:spacing w:line="360" w:lineRule="auto"/>
                    <w:jc w:val="center"/>
                    <w:rPr>
                      <w:color w:val="auto"/>
                      <w:szCs w:val="21"/>
                      <w:highlight w:val="none"/>
                    </w:rPr>
                  </w:pPr>
                  <w:r>
                    <w:rPr>
                      <w:rFonts w:hint="eastAsia"/>
                      <w:color w:val="auto"/>
                      <w:szCs w:val="21"/>
                      <w:highlight w:val="none"/>
                    </w:rPr>
                    <w:t>3</w:t>
                  </w:r>
                </w:p>
              </w:tc>
              <w:tc>
                <w:tcPr>
                  <w:tcW w:w="2067" w:type="dxa"/>
                  <w:vAlign w:val="center"/>
                </w:tcPr>
                <w:p w14:paraId="271F3A0E">
                  <w:pPr>
                    <w:snapToGrid/>
                    <w:spacing w:before="0" w:beforeAutospacing="0" w:after="0" w:afterAutospacing="0" w:line="360" w:lineRule="auto"/>
                    <w:jc w:val="center"/>
                    <w:textAlignment w:val="baseline"/>
                    <w:rPr>
                      <w:color w:val="auto"/>
                      <w:szCs w:val="21"/>
                      <w:highlight w:val="none"/>
                    </w:rPr>
                  </w:pPr>
                  <w:r>
                    <w:rPr>
                      <w:rFonts w:hint="eastAsia" w:ascii="宋体" w:hAnsi="宋体" w:eastAsia="宋体" w:cs="宋体"/>
                      <w:b w:val="0"/>
                      <w:bCs w:val="0"/>
                      <w:color w:val="auto"/>
                      <w:sz w:val="21"/>
                      <w:szCs w:val="21"/>
                      <w:lang w:val="en-US" w:eastAsia="zh-CN"/>
                    </w:rPr>
                    <w:t>软水箱</w:t>
                  </w:r>
                </w:p>
              </w:tc>
              <w:tc>
                <w:tcPr>
                  <w:tcW w:w="2840" w:type="dxa"/>
                  <w:vAlign w:val="center"/>
                </w:tcPr>
                <w:p w14:paraId="60168374">
                  <w:pPr>
                    <w:snapToGrid/>
                    <w:spacing w:before="0" w:beforeAutospacing="0" w:after="0" w:afterAutospacing="0" w:line="360" w:lineRule="auto"/>
                    <w:jc w:val="center"/>
                    <w:textAlignment w:val="baseline"/>
                    <w:rPr>
                      <w:color w:val="auto"/>
                      <w:szCs w:val="21"/>
                      <w:highlight w:val="none"/>
                    </w:rPr>
                  </w:pPr>
                  <w:r>
                    <w:rPr>
                      <w:rFonts w:hint="eastAsia" w:ascii="宋体" w:hAnsi="宋体" w:eastAsia="宋体" w:cs="宋体"/>
                      <w:b w:val="0"/>
                      <w:bCs w:val="0"/>
                      <w:i w:val="0"/>
                      <w:caps w:val="0"/>
                      <w:color w:val="auto"/>
                      <w:spacing w:val="0"/>
                      <w:w w:val="100"/>
                      <w:sz w:val="21"/>
                      <w:szCs w:val="21"/>
                      <w:lang w:val="en-US" w:eastAsia="zh-CN"/>
                    </w:rPr>
                    <w:t>1m</w:t>
                  </w:r>
                  <w:r>
                    <w:rPr>
                      <w:rFonts w:hint="eastAsia" w:ascii="宋体" w:hAnsi="宋体" w:eastAsia="宋体" w:cs="宋体"/>
                      <w:b w:val="0"/>
                      <w:bCs w:val="0"/>
                      <w:i w:val="0"/>
                      <w:caps w:val="0"/>
                      <w:color w:val="auto"/>
                      <w:spacing w:val="0"/>
                      <w:w w:val="100"/>
                      <w:sz w:val="21"/>
                      <w:szCs w:val="21"/>
                      <w:vertAlign w:val="superscript"/>
                      <w:lang w:val="en-US" w:eastAsia="zh-CN"/>
                    </w:rPr>
                    <w:t>3</w:t>
                  </w:r>
                </w:p>
              </w:tc>
              <w:tc>
                <w:tcPr>
                  <w:tcW w:w="933" w:type="dxa"/>
                  <w:vAlign w:val="center"/>
                </w:tcPr>
                <w:p w14:paraId="5F28E147">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1433" w:type="dxa"/>
                  <w:vAlign w:val="center"/>
                </w:tcPr>
                <w:p w14:paraId="64BFB481">
                  <w:pPr>
                    <w:spacing w:line="360" w:lineRule="auto"/>
                    <w:jc w:val="center"/>
                    <w:rPr>
                      <w:color w:val="auto"/>
                      <w:szCs w:val="21"/>
                      <w:highlight w:val="none"/>
                    </w:rPr>
                  </w:pPr>
                  <w:r>
                    <w:rPr>
                      <w:rFonts w:hint="eastAsia"/>
                      <w:color w:val="auto"/>
                      <w:szCs w:val="21"/>
                      <w:highlight w:val="none"/>
                    </w:rPr>
                    <w:t>台</w:t>
                  </w:r>
                </w:p>
              </w:tc>
            </w:tr>
            <w:tr w14:paraId="2612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03717AAE">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2067" w:type="dxa"/>
                  <w:vAlign w:val="center"/>
                </w:tcPr>
                <w:p w14:paraId="42B5E1DD">
                  <w:pPr>
                    <w:spacing w:line="360" w:lineRule="auto"/>
                    <w:jc w:val="center"/>
                    <w:rPr>
                      <w:color w:val="auto"/>
                      <w:szCs w:val="21"/>
                      <w:highlight w:val="none"/>
                    </w:rPr>
                  </w:pPr>
                  <w:r>
                    <w:rPr>
                      <w:color w:val="auto"/>
                      <w:szCs w:val="21"/>
                      <w:highlight w:val="none"/>
                    </w:rPr>
                    <w:t>旋风除尘器</w:t>
                  </w:r>
                </w:p>
              </w:tc>
              <w:tc>
                <w:tcPr>
                  <w:tcW w:w="2840" w:type="dxa"/>
                  <w:vAlign w:val="center"/>
                </w:tcPr>
                <w:p w14:paraId="407265D1">
                  <w:pPr>
                    <w:spacing w:line="360" w:lineRule="auto"/>
                    <w:jc w:val="center"/>
                    <w:rPr>
                      <w:color w:val="auto"/>
                      <w:szCs w:val="21"/>
                      <w:highlight w:val="none"/>
                    </w:rPr>
                  </w:pPr>
                  <w:r>
                    <w:rPr>
                      <w:color w:val="auto"/>
                      <w:szCs w:val="21"/>
                      <w:highlight w:val="none"/>
                    </w:rPr>
                    <w:t>2000*7000</w:t>
                  </w:r>
                </w:p>
              </w:tc>
              <w:tc>
                <w:tcPr>
                  <w:tcW w:w="933" w:type="dxa"/>
                  <w:vAlign w:val="center"/>
                </w:tcPr>
                <w:p w14:paraId="63732FCC">
                  <w:pPr>
                    <w:spacing w:line="360" w:lineRule="auto"/>
                    <w:jc w:val="center"/>
                    <w:rPr>
                      <w:color w:val="auto"/>
                      <w:szCs w:val="21"/>
                      <w:highlight w:val="none"/>
                    </w:rPr>
                  </w:pPr>
                  <w:r>
                    <w:rPr>
                      <w:color w:val="auto"/>
                      <w:szCs w:val="21"/>
                      <w:highlight w:val="none"/>
                    </w:rPr>
                    <w:t>3</w:t>
                  </w:r>
                </w:p>
              </w:tc>
              <w:tc>
                <w:tcPr>
                  <w:tcW w:w="1433" w:type="dxa"/>
                  <w:vAlign w:val="center"/>
                </w:tcPr>
                <w:p w14:paraId="16014BCD">
                  <w:pPr>
                    <w:spacing w:line="360" w:lineRule="auto"/>
                    <w:jc w:val="center"/>
                    <w:rPr>
                      <w:color w:val="auto"/>
                      <w:szCs w:val="21"/>
                      <w:highlight w:val="none"/>
                    </w:rPr>
                  </w:pPr>
                  <w:r>
                    <w:rPr>
                      <w:rFonts w:hint="eastAsia"/>
                      <w:color w:val="auto"/>
                      <w:szCs w:val="21"/>
                      <w:highlight w:val="none"/>
                    </w:rPr>
                    <w:t>台</w:t>
                  </w:r>
                </w:p>
              </w:tc>
            </w:tr>
            <w:tr w14:paraId="4006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5" w:type="dxa"/>
                  <w:vAlign w:val="center"/>
                </w:tcPr>
                <w:p w14:paraId="144E89FF">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2067" w:type="dxa"/>
                  <w:vAlign w:val="center"/>
                </w:tcPr>
                <w:p w14:paraId="7D61E5AB">
                  <w:pPr>
                    <w:spacing w:line="360" w:lineRule="auto"/>
                    <w:jc w:val="center"/>
                    <w:rPr>
                      <w:color w:val="auto"/>
                      <w:szCs w:val="21"/>
                      <w:highlight w:val="none"/>
                    </w:rPr>
                  </w:pPr>
                  <w:r>
                    <w:rPr>
                      <w:color w:val="auto"/>
                      <w:szCs w:val="21"/>
                      <w:highlight w:val="none"/>
                    </w:rPr>
                    <w:t>脉冲布袋除尘器</w:t>
                  </w:r>
                </w:p>
              </w:tc>
              <w:tc>
                <w:tcPr>
                  <w:tcW w:w="2840" w:type="dxa"/>
                  <w:vAlign w:val="center"/>
                </w:tcPr>
                <w:p w14:paraId="01BA310C">
                  <w:pPr>
                    <w:spacing w:line="360" w:lineRule="auto"/>
                    <w:jc w:val="center"/>
                    <w:rPr>
                      <w:color w:val="auto"/>
                      <w:szCs w:val="21"/>
                      <w:highlight w:val="none"/>
                    </w:rPr>
                  </w:pPr>
                  <w:r>
                    <w:rPr>
                      <w:color w:val="auto"/>
                      <w:szCs w:val="21"/>
                      <w:highlight w:val="none"/>
                    </w:rPr>
                    <w:t>LXMC-1060</w:t>
                  </w:r>
                </w:p>
              </w:tc>
              <w:tc>
                <w:tcPr>
                  <w:tcW w:w="933" w:type="dxa"/>
                  <w:vAlign w:val="center"/>
                </w:tcPr>
                <w:p w14:paraId="6533D1E6">
                  <w:pPr>
                    <w:spacing w:line="360" w:lineRule="auto"/>
                    <w:jc w:val="center"/>
                    <w:rPr>
                      <w:color w:val="auto"/>
                      <w:szCs w:val="21"/>
                      <w:highlight w:val="none"/>
                    </w:rPr>
                  </w:pPr>
                  <w:r>
                    <w:rPr>
                      <w:color w:val="auto"/>
                      <w:szCs w:val="21"/>
                      <w:highlight w:val="none"/>
                    </w:rPr>
                    <w:t>3</w:t>
                  </w:r>
                </w:p>
              </w:tc>
              <w:tc>
                <w:tcPr>
                  <w:tcW w:w="1433" w:type="dxa"/>
                  <w:vAlign w:val="center"/>
                </w:tcPr>
                <w:p w14:paraId="0E41F6CD">
                  <w:pPr>
                    <w:spacing w:line="360" w:lineRule="auto"/>
                    <w:jc w:val="center"/>
                    <w:rPr>
                      <w:color w:val="auto"/>
                      <w:szCs w:val="21"/>
                      <w:highlight w:val="none"/>
                    </w:rPr>
                  </w:pPr>
                  <w:r>
                    <w:rPr>
                      <w:rFonts w:hint="eastAsia"/>
                      <w:color w:val="auto"/>
                      <w:szCs w:val="21"/>
                      <w:highlight w:val="none"/>
                    </w:rPr>
                    <w:t>台</w:t>
                  </w:r>
                </w:p>
              </w:tc>
            </w:tr>
            <w:tr w14:paraId="64DF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05" w:type="dxa"/>
                  <w:vAlign w:val="center"/>
                </w:tcPr>
                <w:p w14:paraId="3D74C1D9">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2067" w:type="dxa"/>
                  <w:vAlign w:val="center"/>
                </w:tcPr>
                <w:p w14:paraId="181FA90B">
                  <w:pPr>
                    <w:spacing w:line="360" w:lineRule="auto"/>
                    <w:jc w:val="center"/>
                    <w:rPr>
                      <w:color w:val="auto"/>
                      <w:szCs w:val="21"/>
                      <w:highlight w:val="none"/>
                    </w:rPr>
                  </w:pPr>
                  <w:r>
                    <w:rPr>
                      <w:color w:val="auto"/>
                      <w:szCs w:val="21"/>
                      <w:highlight w:val="none"/>
                    </w:rPr>
                    <w:t>风机</w:t>
                  </w:r>
                </w:p>
              </w:tc>
              <w:tc>
                <w:tcPr>
                  <w:tcW w:w="2840" w:type="dxa"/>
                  <w:vAlign w:val="center"/>
                </w:tcPr>
                <w:p w14:paraId="5965DD2A">
                  <w:pPr>
                    <w:spacing w:line="360" w:lineRule="auto"/>
                    <w:jc w:val="center"/>
                    <w:rPr>
                      <w:color w:val="auto"/>
                      <w:szCs w:val="21"/>
                      <w:highlight w:val="none"/>
                    </w:rPr>
                  </w:pPr>
                  <w:r>
                    <w:rPr>
                      <w:rFonts w:hint="eastAsia"/>
                      <w:color w:val="auto"/>
                      <w:szCs w:val="21"/>
                      <w:highlight w:val="none"/>
                      <w:lang w:val="en-US" w:eastAsia="zh-CN"/>
                    </w:rPr>
                    <w:t>YE2-132S2-2，</w:t>
                  </w:r>
                  <w:r>
                    <w:rPr>
                      <w:color w:val="auto"/>
                      <w:szCs w:val="21"/>
                      <w:highlight w:val="none"/>
                    </w:rPr>
                    <w:t>Q=</w:t>
                  </w:r>
                  <w:r>
                    <w:rPr>
                      <w:rFonts w:hint="eastAsia"/>
                      <w:color w:val="auto"/>
                      <w:szCs w:val="21"/>
                      <w:highlight w:val="none"/>
                      <w:lang w:val="en-US" w:eastAsia="zh-CN"/>
                    </w:rPr>
                    <w:t>1500~20580</w:t>
                  </w:r>
                  <w:r>
                    <w:rPr>
                      <w:color w:val="auto"/>
                      <w:szCs w:val="21"/>
                      <w:highlight w:val="none"/>
                    </w:rPr>
                    <w:t>m</w:t>
                  </w:r>
                  <w:r>
                    <w:rPr>
                      <w:color w:val="auto"/>
                      <w:szCs w:val="21"/>
                      <w:highlight w:val="none"/>
                      <w:vertAlign w:val="superscript"/>
                    </w:rPr>
                    <w:t>3</w:t>
                  </w:r>
                  <w:r>
                    <w:rPr>
                      <w:color w:val="auto"/>
                      <w:szCs w:val="21"/>
                      <w:highlight w:val="none"/>
                    </w:rPr>
                    <w:t>/h</w:t>
                  </w:r>
                </w:p>
              </w:tc>
              <w:tc>
                <w:tcPr>
                  <w:tcW w:w="933" w:type="dxa"/>
                  <w:vAlign w:val="center"/>
                </w:tcPr>
                <w:p w14:paraId="29791178">
                  <w:pPr>
                    <w:spacing w:line="360" w:lineRule="auto"/>
                    <w:jc w:val="center"/>
                    <w:rPr>
                      <w:color w:val="auto"/>
                      <w:szCs w:val="21"/>
                      <w:highlight w:val="none"/>
                    </w:rPr>
                  </w:pPr>
                  <w:r>
                    <w:rPr>
                      <w:color w:val="auto"/>
                      <w:szCs w:val="21"/>
                      <w:highlight w:val="none"/>
                    </w:rPr>
                    <w:t>3</w:t>
                  </w:r>
                </w:p>
              </w:tc>
              <w:tc>
                <w:tcPr>
                  <w:tcW w:w="1433" w:type="dxa"/>
                  <w:vAlign w:val="center"/>
                </w:tcPr>
                <w:p w14:paraId="5B0B3F89">
                  <w:pPr>
                    <w:spacing w:line="360" w:lineRule="auto"/>
                    <w:jc w:val="center"/>
                    <w:rPr>
                      <w:color w:val="auto"/>
                      <w:szCs w:val="21"/>
                      <w:highlight w:val="none"/>
                    </w:rPr>
                  </w:pPr>
                  <w:r>
                    <w:rPr>
                      <w:rFonts w:hint="eastAsia"/>
                      <w:color w:val="auto"/>
                      <w:szCs w:val="21"/>
                      <w:highlight w:val="none"/>
                    </w:rPr>
                    <w:t>台</w:t>
                  </w:r>
                </w:p>
              </w:tc>
            </w:tr>
            <w:tr w14:paraId="4C4E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5" w:type="dxa"/>
                  <w:vAlign w:val="center"/>
                </w:tcPr>
                <w:p w14:paraId="033D2D2D">
                  <w:pPr>
                    <w:spacing w:line="360" w:lineRule="auto"/>
                    <w:jc w:val="center"/>
                    <w:rPr>
                      <w:rFonts w:hint="default"/>
                      <w:color w:val="auto"/>
                      <w:szCs w:val="21"/>
                      <w:highlight w:val="none"/>
                      <w:lang w:val="en-US" w:eastAsia="zh-CN"/>
                    </w:rPr>
                  </w:pPr>
                  <w:r>
                    <w:rPr>
                      <w:rFonts w:hint="eastAsia"/>
                      <w:color w:val="auto"/>
                      <w:szCs w:val="21"/>
                      <w:highlight w:val="none"/>
                      <w:lang w:val="en-US" w:eastAsia="zh-CN"/>
                    </w:rPr>
                    <w:t>7</w:t>
                  </w:r>
                </w:p>
              </w:tc>
              <w:tc>
                <w:tcPr>
                  <w:tcW w:w="2067" w:type="dxa"/>
                  <w:vAlign w:val="center"/>
                </w:tcPr>
                <w:p w14:paraId="59EA6DEE">
                  <w:pPr>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蒸汽储罐</w:t>
                  </w:r>
                </w:p>
              </w:tc>
              <w:tc>
                <w:tcPr>
                  <w:tcW w:w="2840" w:type="dxa"/>
                  <w:vAlign w:val="center"/>
                </w:tcPr>
                <w:p w14:paraId="72FAFEBC">
                  <w:pPr>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10m³</w:t>
                  </w:r>
                </w:p>
              </w:tc>
              <w:tc>
                <w:tcPr>
                  <w:tcW w:w="933" w:type="dxa"/>
                  <w:vAlign w:val="center"/>
                </w:tcPr>
                <w:p w14:paraId="3C058C1A">
                  <w:pPr>
                    <w:spacing w:line="360" w:lineRule="auto"/>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1433" w:type="dxa"/>
                  <w:vAlign w:val="center"/>
                </w:tcPr>
                <w:p w14:paraId="4CAEBF05">
                  <w:pPr>
                    <w:spacing w:line="360" w:lineRule="auto"/>
                    <w:jc w:val="center"/>
                    <w:rPr>
                      <w:rFonts w:hint="eastAsia" w:eastAsia="宋体"/>
                      <w:color w:val="auto"/>
                      <w:szCs w:val="21"/>
                      <w:highlight w:val="none"/>
                      <w:lang w:val="en-US" w:eastAsia="zh-CN"/>
                    </w:rPr>
                  </w:pPr>
                  <w:r>
                    <w:rPr>
                      <w:rFonts w:hint="eastAsia"/>
                      <w:color w:val="auto"/>
                      <w:szCs w:val="21"/>
                      <w:highlight w:val="none"/>
                      <w:lang w:val="en-US" w:eastAsia="zh-CN"/>
                    </w:rPr>
                    <w:t>个</w:t>
                  </w:r>
                </w:p>
              </w:tc>
            </w:tr>
          </w:tbl>
          <w:p w14:paraId="726183CE">
            <w:pPr>
              <w:adjustRightInd w:val="0"/>
              <w:snapToGrid w:val="0"/>
              <w:spacing w:line="360" w:lineRule="auto"/>
              <w:jc w:val="left"/>
              <w:rPr>
                <w:b/>
                <w:bCs/>
                <w:color w:val="auto"/>
                <w:sz w:val="24"/>
                <w:highlight w:val="none"/>
              </w:rPr>
            </w:pPr>
            <w:r>
              <w:rPr>
                <w:rFonts w:hint="eastAsia"/>
                <w:b/>
                <w:bCs/>
                <w:color w:val="auto"/>
                <w:sz w:val="24"/>
                <w:highlight w:val="none"/>
              </w:rPr>
              <w:t>六、公用工程</w:t>
            </w:r>
          </w:p>
          <w:p w14:paraId="1A0325B3">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rPr>
              <w:t>（1）供电</w:t>
            </w:r>
          </w:p>
          <w:p w14:paraId="54D1C1B1">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lang w:eastAsia="zh-CN"/>
              </w:rPr>
              <w:t>由</w:t>
            </w:r>
            <w:r>
              <w:rPr>
                <w:rFonts w:hint="eastAsia" w:cs="Times New Roman"/>
                <w:color w:val="auto"/>
                <w:sz w:val="24"/>
                <w:szCs w:val="22"/>
                <w:lang w:val="en-US" w:eastAsia="zh-CN"/>
              </w:rPr>
              <w:t>玉溪钧澄经贸有限公司</w:t>
            </w:r>
            <w:r>
              <w:rPr>
                <w:rFonts w:hint="eastAsia"/>
                <w:color w:val="auto"/>
                <w:sz w:val="24"/>
                <w:szCs w:val="36"/>
                <w:highlight w:val="none"/>
                <w:lang w:eastAsia="zh-CN"/>
              </w:rPr>
              <w:t>接入</w:t>
            </w:r>
            <w:r>
              <w:rPr>
                <w:rFonts w:hint="eastAsia"/>
                <w:color w:val="auto"/>
                <w:sz w:val="24"/>
                <w:szCs w:val="36"/>
                <w:highlight w:val="none"/>
              </w:rPr>
              <w:t>。</w:t>
            </w:r>
          </w:p>
          <w:p w14:paraId="73B0CE91">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rPr>
              <w:t>（2）给水</w:t>
            </w:r>
          </w:p>
          <w:p w14:paraId="4D2F493E">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lang w:eastAsia="zh-CN"/>
              </w:rPr>
              <w:t>由</w:t>
            </w:r>
            <w:r>
              <w:rPr>
                <w:rFonts w:hint="eastAsia" w:cs="Times New Roman"/>
                <w:color w:val="auto"/>
                <w:sz w:val="24"/>
                <w:szCs w:val="22"/>
                <w:lang w:val="en-US" w:eastAsia="zh-CN"/>
              </w:rPr>
              <w:t>玉溪钧澄经贸有限公司</w:t>
            </w:r>
            <w:r>
              <w:rPr>
                <w:rFonts w:hint="eastAsia"/>
                <w:color w:val="auto"/>
                <w:sz w:val="24"/>
                <w:szCs w:val="36"/>
                <w:highlight w:val="none"/>
                <w:lang w:eastAsia="zh-CN"/>
              </w:rPr>
              <w:t>接入</w:t>
            </w:r>
            <w:r>
              <w:rPr>
                <w:rFonts w:hint="eastAsia"/>
                <w:color w:val="auto"/>
                <w:sz w:val="24"/>
                <w:szCs w:val="36"/>
                <w:highlight w:val="none"/>
              </w:rPr>
              <w:t>。</w:t>
            </w:r>
          </w:p>
          <w:p w14:paraId="53B123FE">
            <w:pPr>
              <w:adjustRightInd w:val="0"/>
              <w:snapToGrid w:val="0"/>
              <w:spacing w:line="360" w:lineRule="auto"/>
              <w:ind w:firstLine="480" w:firstLineChars="200"/>
              <w:jc w:val="left"/>
              <w:rPr>
                <w:color w:val="auto"/>
                <w:sz w:val="24"/>
                <w:szCs w:val="36"/>
                <w:highlight w:val="none"/>
              </w:rPr>
            </w:pPr>
            <w:r>
              <w:rPr>
                <w:rFonts w:hint="eastAsia"/>
                <w:color w:val="auto"/>
                <w:sz w:val="24"/>
                <w:szCs w:val="36"/>
                <w:highlight w:val="none"/>
              </w:rPr>
              <w:t>（3）排水</w:t>
            </w:r>
          </w:p>
          <w:p w14:paraId="3D561D84">
            <w:pPr>
              <w:adjustRightInd w:val="0"/>
              <w:snapToGrid w:val="0"/>
              <w:spacing w:line="360" w:lineRule="auto"/>
              <w:ind w:firstLine="480" w:firstLineChars="200"/>
              <w:jc w:val="left"/>
              <w:rPr>
                <w:b/>
                <w:bCs/>
                <w:color w:val="auto"/>
                <w:sz w:val="24"/>
                <w:highlight w:val="none"/>
              </w:rPr>
            </w:pPr>
            <w:r>
              <w:rPr>
                <w:rFonts w:hint="eastAsia"/>
                <w:color w:val="auto"/>
                <w:sz w:val="24"/>
                <w:szCs w:val="36"/>
                <w:highlight w:val="none"/>
              </w:rPr>
              <w:t>项目</w:t>
            </w:r>
            <w:r>
              <w:rPr>
                <w:rFonts w:hint="eastAsia"/>
                <w:color w:val="auto"/>
                <w:sz w:val="24"/>
                <w:szCs w:val="36"/>
                <w:highlight w:val="none"/>
                <w:lang w:eastAsia="zh-CN"/>
              </w:rPr>
              <w:t>依托</w:t>
            </w:r>
            <w:r>
              <w:rPr>
                <w:rFonts w:hint="eastAsia"/>
                <w:color w:val="auto"/>
                <w:sz w:val="24"/>
                <w:szCs w:val="36"/>
                <w:highlight w:val="none"/>
                <w:lang w:val="en-US" w:eastAsia="zh-CN"/>
              </w:rPr>
              <w:t>玉溪钧澄经贸有限公司</w:t>
            </w:r>
            <w:r>
              <w:rPr>
                <w:rFonts w:hint="eastAsia"/>
                <w:color w:val="auto"/>
                <w:sz w:val="24"/>
                <w:szCs w:val="36"/>
                <w:highlight w:val="none"/>
                <w:lang w:eastAsia="zh-CN"/>
              </w:rPr>
              <w:t>已建雨污分流系统</w:t>
            </w:r>
            <w:r>
              <w:rPr>
                <w:rFonts w:hint="eastAsia"/>
                <w:color w:val="auto"/>
                <w:sz w:val="24"/>
                <w:szCs w:val="36"/>
                <w:highlight w:val="none"/>
              </w:rPr>
              <w:t>，雨水经雨水管道收集后排至</w:t>
            </w:r>
            <w:r>
              <w:rPr>
                <w:rFonts w:hint="eastAsia"/>
                <w:color w:val="auto"/>
                <w:sz w:val="24"/>
                <w:szCs w:val="36"/>
                <w:highlight w:val="none"/>
                <w:lang w:val="en-US" w:eastAsia="zh-CN"/>
              </w:rPr>
              <w:t>钧澄</w:t>
            </w:r>
            <w:r>
              <w:rPr>
                <w:rFonts w:hint="eastAsia"/>
                <w:color w:val="auto"/>
                <w:sz w:val="24"/>
                <w:szCs w:val="36"/>
                <w:highlight w:val="none"/>
              </w:rPr>
              <w:t>雨水管网。生活污水排入</w:t>
            </w:r>
            <w:r>
              <w:rPr>
                <w:rFonts w:hint="eastAsia"/>
                <w:color w:val="auto"/>
                <w:sz w:val="24"/>
                <w:szCs w:val="36"/>
                <w:highlight w:val="none"/>
                <w:lang w:val="en-US" w:eastAsia="zh-CN"/>
              </w:rPr>
              <w:t>钧澄公司</w:t>
            </w:r>
            <w:r>
              <w:rPr>
                <w:rFonts w:hint="eastAsia"/>
                <w:color w:val="auto"/>
                <w:sz w:val="24"/>
                <w:szCs w:val="36"/>
                <w:highlight w:val="none"/>
              </w:rPr>
              <w:t>化粪池处理</w:t>
            </w:r>
            <w:r>
              <w:rPr>
                <w:rFonts w:hint="eastAsia"/>
                <w:color w:val="auto"/>
                <w:sz w:val="24"/>
                <w:szCs w:val="36"/>
                <w:highlight w:val="none"/>
                <w:lang w:val="en-US" w:eastAsia="zh-CN"/>
              </w:rPr>
              <w:t>后综合利用</w:t>
            </w:r>
            <w:r>
              <w:rPr>
                <w:rFonts w:hint="eastAsia"/>
                <w:color w:val="auto"/>
                <w:sz w:val="24"/>
                <w:szCs w:val="36"/>
                <w:highlight w:val="none"/>
              </w:rPr>
              <w:t>；</w:t>
            </w:r>
            <w:r>
              <w:rPr>
                <w:rFonts w:hint="eastAsia"/>
                <w:color w:val="auto"/>
                <w:sz w:val="24"/>
                <w:szCs w:val="36"/>
                <w:highlight w:val="none"/>
                <w:lang w:eastAsia="zh-CN"/>
              </w:rPr>
              <w:t>蒸汽发生器</w:t>
            </w:r>
            <w:r>
              <w:rPr>
                <w:rFonts w:hint="eastAsia"/>
                <w:color w:val="auto"/>
                <w:sz w:val="24"/>
                <w:szCs w:val="36"/>
                <w:highlight w:val="none"/>
              </w:rPr>
              <w:t>排水、离子交换树脂再生废水经絮凝沉淀后排入</w:t>
            </w:r>
            <w:r>
              <w:rPr>
                <w:rFonts w:hint="eastAsia"/>
                <w:color w:val="auto"/>
                <w:sz w:val="24"/>
                <w:szCs w:val="36"/>
                <w:highlight w:val="none"/>
                <w:lang w:val="en-US" w:eastAsia="zh-CN"/>
              </w:rPr>
              <w:t>钧澄公司冷却循环水池</w:t>
            </w:r>
            <w:r>
              <w:rPr>
                <w:rFonts w:hint="eastAsia"/>
                <w:color w:val="auto"/>
                <w:sz w:val="24"/>
                <w:szCs w:val="36"/>
                <w:highlight w:val="none"/>
              </w:rPr>
              <w:t>处理</w:t>
            </w:r>
            <w:r>
              <w:rPr>
                <w:rFonts w:hint="eastAsia"/>
                <w:color w:val="auto"/>
                <w:sz w:val="24"/>
                <w:szCs w:val="36"/>
                <w:highlight w:val="none"/>
                <w:lang w:val="en-US" w:eastAsia="zh-CN"/>
              </w:rPr>
              <w:t>后循环使用，项目废水不外排</w:t>
            </w:r>
            <w:r>
              <w:rPr>
                <w:rFonts w:hint="eastAsia"/>
                <w:color w:val="auto"/>
                <w:sz w:val="24"/>
                <w:szCs w:val="36"/>
                <w:highlight w:val="none"/>
              </w:rPr>
              <w:t>。</w:t>
            </w:r>
          </w:p>
          <w:p w14:paraId="4557A562">
            <w:pPr>
              <w:adjustRightInd w:val="0"/>
              <w:snapToGrid w:val="0"/>
              <w:spacing w:line="360" w:lineRule="auto"/>
              <w:jc w:val="left"/>
              <w:rPr>
                <w:b/>
                <w:bCs/>
                <w:color w:val="auto"/>
                <w:sz w:val="24"/>
                <w:highlight w:val="none"/>
              </w:rPr>
            </w:pPr>
            <w:r>
              <w:rPr>
                <w:rFonts w:hint="eastAsia"/>
                <w:b/>
                <w:bCs/>
                <w:color w:val="auto"/>
                <w:sz w:val="24"/>
                <w:highlight w:val="none"/>
              </w:rPr>
              <w:t>七、建设项目水平衡分析</w:t>
            </w:r>
          </w:p>
          <w:p w14:paraId="49608EA2">
            <w:pPr>
              <w:adjustRightInd w:val="0"/>
              <w:snapToGrid w:val="0"/>
              <w:spacing w:line="360" w:lineRule="auto"/>
              <w:ind w:firstLine="482" w:firstLineChars="200"/>
              <w:rPr>
                <w:b/>
                <w:bCs/>
                <w:color w:val="auto"/>
                <w:kern w:val="0"/>
                <w:sz w:val="24"/>
                <w:szCs w:val="21"/>
                <w:highlight w:val="none"/>
              </w:rPr>
            </w:pPr>
            <w:r>
              <w:rPr>
                <w:rFonts w:hint="eastAsia"/>
                <w:b/>
                <w:bCs/>
                <w:color w:val="auto"/>
                <w:kern w:val="0"/>
                <w:sz w:val="24"/>
                <w:szCs w:val="21"/>
                <w:highlight w:val="none"/>
              </w:rPr>
              <w:t>1、用水量</w:t>
            </w:r>
          </w:p>
          <w:p w14:paraId="4394F718">
            <w:pPr>
              <w:adjustRightInd w:val="0"/>
              <w:snapToGrid w:val="0"/>
              <w:spacing w:line="360" w:lineRule="auto"/>
              <w:ind w:firstLine="480" w:firstLineChars="200"/>
              <w:rPr>
                <w:color w:val="auto"/>
                <w:kern w:val="0"/>
                <w:sz w:val="24"/>
                <w:szCs w:val="21"/>
                <w:highlight w:val="none"/>
              </w:rPr>
            </w:pPr>
            <w:r>
              <w:rPr>
                <w:rFonts w:hint="eastAsia"/>
                <w:color w:val="auto"/>
                <w:kern w:val="24"/>
                <w:sz w:val="24"/>
                <w:highlight w:val="none"/>
              </w:rPr>
              <w:t>本项目劳动定员</w:t>
            </w:r>
            <w:r>
              <w:rPr>
                <w:rFonts w:hint="eastAsia"/>
                <w:color w:val="auto"/>
                <w:kern w:val="24"/>
                <w:sz w:val="24"/>
                <w:highlight w:val="none"/>
                <w:lang w:val="en-US" w:eastAsia="zh-CN"/>
              </w:rPr>
              <w:t>2</w:t>
            </w:r>
            <w:r>
              <w:rPr>
                <w:rFonts w:hint="eastAsia"/>
                <w:color w:val="auto"/>
                <w:kern w:val="24"/>
                <w:sz w:val="24"/>
                <w:highlight w:val="none"/>
              </w:rPr>
              <w:t>人，均不在厂区内食宿。</w:t>
            </w:r>
            <w:r>
              <w:rPr>
                <w:rFonts w:hint="eastAsia"/>
                <w:color w:val="auto"/>
                <w:kern w:val="0"/>
                <w:sz w:val="24"/>
                <w:szCs w:val="21"/>
                <w:highlight w:val="none"/>
              </w:rPr>
              <w:t>项目用水主要为软水制备用水、离子交换树脂再生用水、员工生活用水。</w:t>
            </w:r>
          </w:p>
          <w:p w14:paraId="79121D01">
            <w:pPr>
              <w:adjustRightInd w:val="0"/>
              <w:snapToGrid w:val="0"/>
              <w:spacing w:line="360" w:lineRule="auto"/>
              <w:ind w:firstLine="480" w:firstLineChars="200"/>
              <w:rPr>
                <w:bCs/>
                <w:color w:val="auto"/>
                <w:sz w:val="24"/>
                <w:szCs w:val="20"/>
                <w:highlight w:val="none"/>
              </w:rPr>
            </w:pPr>
            <w:r>
              <w:rPr>
                <w:rFonts w:hint="eastAsia"/>
                <w:bCs/>
                <w:color w:val="auto"/>
                <w:sz w:val="24"/>
                <w:szCs w:val="20"/>
                <w:highlight w:val="none"/>
              </w:rPr>
              <w:t>（1）软水制备用水</w:t>
            </w:r>
          </w:p>
          <w:p w14:paraId="4B2A5A99">
            <w:pPr>
              <w:adjustRightInd w:val="0"/>
              <w:snapToGrid w:val="0"/>
              <w:spacing w:line="360" w:lineRule="auto"/>
              <w:ind w:firstLine="480" w:firstLineChars="200"/>
              <w:rPr>
                <w:color w:val="auto"/>
                <w:kern w:val="24"/>
                <w:sz w:val="24"/>
                <w:highlight w:val="none"/>
              </w:rPr>
            </w:pPr>
            <w:r>
              <w:rPr>
                <w:rFonts w:hint="eastAsia"/>
                <w:bCs/>
                <w:color w:val="auto"/>
                <w:sz w:val="24"/>
                <w:szCs w:val="20"/>
                <w:highlight w:val="none"/>
              </w:rPr>
              <w:t>本项目设置3</w:t>
            </w:r>
            <w:r>
              <w:rPr>
                <w:rFonts w:hint="eastAsia"/>
                <w:bCs/>
                <w:color w:val="auto"/>
                <w:sz w:val="24"/>
                <w:szCs w:val="20"/>
                <w:highlight w:val="none"/>
                <w:lang w:val="en-US" w:eastAsia="zh-CN"/>
              </w:rPr>
              <w:t>组2.5</w:t>
            </w:r>
            <w:r>
              <w:rPr>
                <w:rFonts w:hint="eastAsia"/>
                <w:bCs/>
                <w:color w:val="auto"/>
                <w:sz w:val="24"/>
                <w:szCs w:val="20"/>
                <w:highlight w:val="none"/>
              </w:rPr>
              <w:t>t/h的</w:t>
            </w:r>
            <w:r>
              <w:rPr>
                <w:rFonts w:hint="eastAsia"/>
                <w:bCs/>
                <w:color w:val="auto"/>
                <w:sz w:val="24"/>
                <w:szCs w:val="20"/>
                <w:highlight w:val="none"/>
                <w:lang w:val="en-US" w:eastAsia="zh-CN"/>
              </w:rPr>
              <w:t>生物质蒸发器</w:t>
            </w:r>
            <w:r>
              <w:rPr>
                <w:rFonts w:hint="eastAsia"/>
                <w:bCs/>
                <w:color w:val="auto"/>
                <w:sz w:val="24"/>
                <w:szCs w:val="20"/>
                <w:highlight w:val="none"/>
              </w:rPr>
              <w:t>，平均</w:t>
            </w:r>
            <w:r>
              <w:rPr>
                <w:rFonts w:hint="eastAsia"/>
                <w:bCs/>
                <w:color w:val="auto"/>
                <w:sz w:val="24"/>
                <w:szCs w:val="20"/>
                <w:highlight w:val="none"/>
                <w:lang w:val="en-US" w:eastAsia="zh-CN"/>
              </w:rPr>
              <w:t>每天提供蒸汽30</w:t>
            </w:r>
            <w:r>
              <w:rPr>
                <w:rFonts w:hint="eastAsia"/>
                <w:bCs/>
                <w:color w:val="auto"/>
                <w:sz w:val="24"/>
                <w:szCs w:val="20"/>
                <w:highlight w:val="none"/>
              </w:rPr>
              <w:t>t，</w:t>
            </w:r>
            <w:r>
              <w:rPr>
                <w:rFonts w:hint="eastAsia"/>
                <w:color w:val="auto"/>
                <w:kern w:val="24"/>
                <w:sz w:val="24"/>
                <w:highlight w:val="none"/>
              </w:rPr>
              <w:t>全部通过蒸汽管道输送至</w:t>
            </w:r>
            <w:r>
              <w:rPr>
                <w:rFonts w:hint="eastAsia" w:cs="Times New Roman"/>
                <w:color w:val="auto"/>
                <w:sz w:val="24"/>
                <w:szCs w:val="22"/>
                <w:lang w:val="en-US" w:eastAsia="zh-CN"/>
              </w:rPr>
              <w:t>钧澄公司</w:t>
            </w:r>
            <w:r>
              <w:rPr>
                <w:rFonts w:hint="eastAsia"/>
                <w:color w:val="auto"/>
                <w:kern w:val="24"/>
                <w:sz w:val="24"/>
                <w:highlight w:val="none"/>
              </w:rPr>
              <w:t>使用，直接损耗，</w:t>
            </w:r>
            <w:r>
              <w:rPr>
                <w:rFonts w:hint="eastAsia" w:ascii="宋体" w:hAnsi="宋体" w:cs="宋体"/>
                <w:color w:val="auto"/>
                <w:sz w:val="24"/>
                <w:highlight w:val="none"/>
              </w:rPr>
              <w:t>无蒸汽冷凝回收</w:t>
            </w:r>
            <w:r>
              <w:rPr>
                <w:rFonts w:hint="eastAsia"/>
                <w:color w:val="auto"/>
                <w:kern w:val="24"/>
                <w:sz w:val="24"/>
                <w:highlight w:val="none"/>
              </w:rPr>
              <w:t>。根据设备方提供参数，</w:t>
            </w:r>
            <w:r>
              <w:rPr>
                <w:rFonts w:hint="eastAsia"/>
                <w:color w:val="auto"/>
                <w:kern w:val="24"/>
                <w:sz w:val="24"/>
                <w:highlight w:val="none"/>
                <w:lang w:eastAsia="zh-CN"/>
              </w:rPr>
              <w:t>蒸汽发生器</w:t>
            </w:r>
            <w:r>
              <w:rPr>
                <w:rFonts w:hint="eastAsia"/>
                <w:color w:val="auto"/>
                <w:kern w:val="24"/>
                <w:sz w:val="24"/>
                <w:highlight w:val="none"/>
              </w:rPr>
              <w:t>排污量以蒸汽产生量的2%计，则排污量为</w:t>
            </w:r>
            <w:r>
              <w:rPr>
                <w:rFonts w:hint="eastAsia"/>
                <w:color w:val="auto"/>
                <w:kern w:val="24"/>
                <w:sz w:val="24"/>
                <w:highlight w:val="none"/>
                <w:lang w:val="en-US" w:eastAsia="zh-CN"/>
              </w:rPr>
              <w:t>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/a。则项目需制备软水</w:t>
            </w:r>
            <w:r>
              <w:rPr>
                <w:rFonts w:hint="eastAsia"/>
                <w:color w:val="auto"/>
                <w:kern w:val="24"/>
                <w:sz w:val="24"/>
                <w:highlight w:val="none"/>
                <w:lang w:val="en-US" w:eastAsia="zh-CN"/>
              </w:rPr>
              <w:t>30.6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9180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p>
          <w:p w14:paraId="1A905D7A">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本项目软水制备采用“阳离子交换树脂”制备工艺，无其他过滤工艺，软水产出率可等效为100%，则自来水消耗量为</w:t>
            </w:r>
            <w:r>
              <w:rPr>
                <w:rFonts w:hint="eastAsia"/>
                <w:color w:val="auto"/>
                <w:kern w:val="24"/>
                <w:sz w:val="24"/>
                <w:highlight w:val="none"/>
                <w:lang w:val="en-US" w:eastAsia="zh-CN"/>
              </w:rPr>
              <w:t>30.6.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9180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/a，该过程无废水产生。</w:t>
            </w:r>
          </w:p>
          <w:p w14:paraId="59DBB100">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（2）离子交换树脂再生用水</w:t>
            </w:r>
          </w:p>
          <w:p w14:paraId="24BEC567">
            <w:pPr>
              <w:adjustRightInd w:val="0"/>
              <w:snapToGrid w:val="0"/>
              <w:spacing w:line="360" w:lineRule="auto"/>
              <w:ind w:firstLine="480" w:firstLineChars="200"/>
              <w:rPr>
                <w:rFonts w:hint="eastAsia"/>
                <w:color w:val="auto"/>
                <w:kern w:val="24"/>
                <w:sz w:val="24"/>
                <w:highlight w:val="none"/>
                <w:lang w:eastAsia="zh-CN"/>
              </w:rPr>
            </w:pPr>
            <w:r>
              <w:rPr>
                <w:rFonts w:hint="eastAsia"/>
                <w:color w:val="auto"/>
                <w:kern w:val="24"/>
                <w:sz w:val="24"/>
                <w:highlight w:val="none"/>
              </w:rPr>
              <w:t>软水制备系统中在钠离子交换器内有树脂颗粒，可以吸附水中分离出来的钙、镁离子。项目采用酸性阳离子交换树脂，为维持离子交换树脂的置换能力，需定期用NaCl溶液该树脂进行再生清洗，20天左右清洗一次，每次用水量约1.5m</w:t>
            </w:r>
            <w:r>
              <w:rPr>
                <w:rFonts w:hint="eastAsia"/>
                <w:color w:val="auto"/>
                <w:kern w:val="24"/>
                <w:sz w:val="24"/>
                <w:highlight w:val="none"/>
                <w:vertAlign w:val="superscript"/>
              </w:rPr>
              <w:t>3</w:t>
            </w:r>
            <w:r>
              <w:rPr>
                <w:rFonts w:hint="eastAsia"/>
                <w:color w:val="auto"/>
                <w:kern w:val="24"/>
                <w:sz w:val="24"/>
                <w:highlight w:val="none"/>
              </w:rPr>
              <w:t>，每年约清洗</w:t>
            </w:r>
            <w:r>
              <w:rPr>
                <w:rFonts w:hint="eastAsia"/>
                <w:color w:val="auto"/>
                <w:kern w:val="24"/>
                <w:sz w:val="24"/>
                <w:highlight w:val="none"/>
                <w:lang w:val="en-US" w:eastAsia="zh-CN"/>
              </w:rPr>
              <w:t>13</w:t>
            </w:r>
            <w:r>
              <w:rPr>
                <w:rFonts w:hint="eastAsia"/>
                <w:color w:val="auto"/>
                <w:kern w:val="24"/>
                <w:sz w:val="24"/>
                <w:highlight w:val="none"/>
              </w:rPr>
              <w:t>次，软水制备系统反清洗用水量共为</w:t>
            </w:r>
            <w:r>
              <w:rPr>
                <w:rFonts w:hint="eastAsia"/>
                <w:color w:val="auto"/>
                <w:kern w:val="24"/>
                <w:sz w:val="24"/>
                <w:highlight w:val="none"/>
                <w:lang w:val="en-US" w:eastAsia="zh-CN"/>
              </w:rPr>
              <w:t>19.5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/a；废水按90%计，则清洗废水产生量为</w:t>
            </w:r>
            <w:r>
              <w:rPr>
                <w:rFonts w:hint="eastAsia"/>
                <w:color w:val="auto"/>
                <w:kern w:val="24"/>
                <w:sz w:val="24"/>
                <w:highlight w:val="none"/>
                <w:lang w:val="en-US" w:eastAsia="zh-CN"/>
              </w:rPr>
              <w:t>17.55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/a（1.35m</w:t>
            </w:r>
            <w:r>
              <w:rPr>
                <w:rFonts w:hint="eastAsia"/>
                <w:color w:val="auto"/>
                <w:kern w:val="24"/>
                <w:sz w:val="24"/>
                <w:highlight w:val="none"/>
                <w:vertAlign w:val="superscript"/>
              </w:rPr>
              <w:t>3</w:t>
            </w:r>
            <w:r>
              <w:rPr>
                <w:rFonts w:hint="eastAsia"/>
                <w:color w:val="auto"/>
                <w:kern w:val="24"/>
                <w:sz w:val="24"/>
                <w:highlight w:val="none"/>
              </w:rPr>
              <w:t>/次）</w:t>
            </w:r>
            <w:r>
              <w:rPr>
                <w:rFonts w:hint="eastAsia"/>
                <w:color w:val="auto"/>
                <w:kern w:val="24"/>
                <w:sz w:val="24"/>
                <w:highlight w:val="none"/>
                <w:lang w:eastAsia="zh-CN"/>
              </w:rPr>
              <w:t>。</w:t>
            </w:r>
          </w:p>
          <w:p w14:paraId="561DCA3F">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（3）员工生活用水</w:t>
            </w:r>
          </w:p>
          <w:p w14:paraId="538E2769">
            <w:pPr>
              <w:adjustRightInd w:val="0"/>
              <w:snapToGrid w:val="0"/>
              <w:spacing w:line="360" w:lineRule="auto"/>
              <w:ind w:firstLine="480" w:firstLineChars="200"/>
              <w:rPr>
                <w:rFonts w:hint="eastAsia"/>
                <w:color w:val="auto"/>
                <w:kern w:val="24"/>
                <w:sz w:val="24"/>
                <w:highlight w:val="none"/>
                <w:lang w:val="en-US" w:eastAsia="zh-CN"/>
              </w:rPr>
            </w:pPr>
            <w:r>
              <w:rPr>
                <w:rFonts w:hint="eastAsia"/>
                <w:color w:val="auto"/>
                <w:kern w:val="24"/>
                <w:sz w:val="24"/>
                <w:highlight w:val="none"/>
              </w:rPr>
              <w:t>本项目劳动定员</w:t>
            </w:r>
            <w:r>
              <w:rPr>
                <w:rFonts w:hint="eastAsia"/>
                <w:color w:val="auto"/>
                <w:kern w:val="24"/>
                <w:sz w:val="24"/>
                <w:highlight w:val="none"/>
                <w:lang w:val="en-US" w:eastAsia="zh-CN"/>
              </w:rPr>
              <w:t>2</w:t>
            </w:r>
            <w:r>
              <w:rPr>
                <w:rFonts w:hint="eastAsia"/>
                <w:color w:val="auto"/>
                <w:kern w:val="24"/>
                <w:sz w:val="24"/>
                <w:highlight w:val="none"/>
              </w:rPr>
              <w:t>人，均不在厂区内食宿</w:t>
            </w:r>
            <w:r>
              <w:rPr>
                <w:rFonts w:hint="eastAsia"/>
                <w:color w:val="auto"/>
                <w:kern w:val="24"/>
                <w:sz w:val="24"/>
                <w:highlight w:val="none"/>
                <w:lang w:val="en-US" w:eastAsia="zh-CN"/>
              </w:rPr>
              <w:t>，职工办公用水量按30L/人·d计，则用水量为0.06m</w:t>
            </w:r>
            <w:r>
              <w:rPr>
                <w:rFonts w:hint="eastAsia"/>
                <w:color w:val="auto"/>
                <w:kern w:val="24"/>
                <w:sz w:val="24"/>
                <w:highlight w:val="none"/>
                <w:vertAlign w:val="superscript"/>
                <w:lang w:val="en-US" w:eastAsia="zh-CN"/>
              </w:rPr>
              <w:t>3</w:t>
            </w:r>
            <w:r>
              <w:rPr>
                <w:rFonts w:hint="eastAsia"/>
                <w:color w:val="auto"/>
                <w:kern w:val="24"/>
                <w:sz w:val="24"/>
                <w:highlight w:val="none"/>
                <w:lang w:val="en-US" w:eastAsia="zh-CN"/>
              </w:rPr>
              <w:t>/d、18m</w:t>
            </w:r>
            <w:r>
              <w:rPr>
                <w:rFonts w:hint="eastAsia"/>
                <w:color w:val="auto"/>
                <w:kern w:val="24"/>
                <w:sz w:val="24"/>
                <w:highlight w:val="none"/>
                <w:vertAlign w:val="superscript"/>
                <w:lang w:val="en-US" w:eastAsia="zh-CN"/>
              </w:rPr>
              <w:t>3</w:t>
            </w:r>
            <w:r>
              <w:rPr>
                <w:rFonts w:hint="eastAsia"/>
                <w:color w:val="auto"/>
                <w:kern w:val="24"/>
                <w:sz w:val="24"/>
                <w:highlight w:val="none"/>
                <w:lang w:val="en-US" w:eastAsia="zh-CN"/>
              </w:rPr>
              <w:t>/a；污水量以80%计，则职工办公污水产生量为0.048m</w:t>
            </w:r>
            <w:r>
              <w:rPr>
                <w:rFonts w:hint="eastAsia"/>
                <w:color w:val="auto"/>
                <w:kern w:val="24"/>
                <w:sz w:val="24"/>
                <w:highlight w:val="none"/>
                <w:vertAlign w:val="superscript"/>
                <w:lang w:val="en-US" w:eastAsia="zh-CN"/>
              </w:rPr>
              <w:t>3</w:t>
            </w:r>
            <w:r>
              <w:rPr>
                <w:rFonts w:hint="eastAsia"/>
                <w:color w:val="auto"/>
                <w:kern w:val="24"/>
                <w:sz w:val="24"/>
                <w:highlight w:val="none"/>
                <w:lang w:val="en-US" w:eastAsia="zh-CN"/>
              </w:rPr>
              <w:t>/d、14.4m</w:t>
            </w:r>
            <w:r>
              <w:rPr>
                <w:rFonts w:hint="eastAsia"/>
                <w:color w:val="auto"/>
                <w:kern w:val="24"/>
                <w:sz w:val="24"/>
                <w:highlight w:val="none"/>
                <w:vertAlign w:val="superscript"/>
                <w:lang w:val="en-US" w:eastAsia="zh-CN"/>
              </w:rPr>
              <w:t>3</w:t>
            </w:r>
            <w:r>
              <w:rPr>
                <w:rFonts w:hint="eastAsia"/>
                <w:color w:val="auto"/>
                <w:kern w:val="24"/>
                <w:sz w:val="24"/>
                <w:highlight w:val="none"/>
                <w:lang w:val="en-US" w:eastAsia="zh-CN"/>
              </w:rPr>
              <w:t>/a。</w:t>
            </w:r>
          </w:p>
          <w:p w14:paraId="4A1965B5">
            <w:pPr>
              <w:adjustRightInd w:val="0"/>
              <w:snapToGrid w:val="0"/>
              <w:spacing w:line="360" w:lineRule="auto"/>
              <w:ind w:firstLine="482" w:firstLineChars="200"/>
              <w:rPr>
                <w:b/>
                <w:color w:val="auto"/>
                <w:sz w:val="24"/>
                <w:highlight w:val="none"/>
              </w:rPr>
            </w:pPr>
            <w:r>
              <w:rPr>
                <w:rFonts w:hint="eastAsia"/>
                <w:b/>
                <w:bCs/>
                <w:color w:val="auto"/>
                <w:kern w:val="24"/>
                <w:sz w:val="24"/>
                <w:highlight w:val="none"/>
              </w:rPr>
              <w:t>2、</w:t>
            </w:r>
            <w:r>
              <w:rPr>
                <w:rFonts w:hint="eastAsia"/>
                <w:b/>
                <w:color w:val="auto"/>
                <w:sz w:val="24"/>
                <w:highlight w:val="none"/>
              </w:rPr>
              <w:t>废水量</w:t>
            </w:r>
          </w:p>
          <w:p w14:paraId="3CA61E16">
            <w:pPr>
              <w:adjustRightInd w:val="0"/>
              <w:snapToGrid w:val="0"/>
              <w:spacing w:line="360" w:lineRule="auto"/>
              <w:ind w:firstLine="480" w:firstLineChars="200"/>
              <w:rPr>
                <w:rFonts w:hint="default"/>
                <w:color w:val="auto"/>
                <w:kern w:val="24"/>
                <w:sz w:val="24"/>
                <w:highlight w:val="none"/>
                <w:lang w:val="en-US"/>
              </w:rPr>
            </w:pPr>
            <w:r>
              <w:rPr>
                <w:rFonts w:hint="eastAsia"/>
                <w:color w:val="auto"/>
                <w:kern w:val="24"/>
                <w:sz w:val="24"/>
                <w:highlight w:val="none"/>
              </w:rPr>
              <w:t>本项目</w:t>
            </w:r>
            <w:r>
              <w:rPr>
                <w:color w:val="auto"/>
                <w:kern w:val="24"/>
                <w:sz w:val="24"/>
                <w:highlight w:val="none"/>
              </w:rPr>
              <w:t>废水主要为</w:t>
            </w:r>
            <w:r>
              <w:rPr>
                <w:rFonts w:hint="eastAsia"/>
                <w:color w:val="auto"/>
                <w:kern w:val="24"/>
                <w:sz w:val="24"/>
                <w:highlight w:val="none"/>
                <w:lang w:eastAsia="zh-CN"/>
              </w:rPr>
              <w:t>蒸汽发生器</w:t>
            </w:r>
            <w:r>
              <w:rPr>
                <w:rFonts w:hint="eastAsia"/>
                <w:color w:val="auto"/>
                <w:kern w:val="24"/>
                <w:sz w:val="24"/>
                <w:highlight w:val="none"/>
              </w:rPr>
              <w:t>排水、离子交换树脂再生废水、生活污水。</w:t>
            </w:r>
            <w:r>
              <w:rPr>
                <w:rFonts w:hint="eastAsia"/>
                <w:color w:val="auto"/>
                <w:sz w:val="24"/>
                <w:szCs w:val="24"/>
                <w:lang w:val="en-US" w:eastAsia="zh-CN"/>
              </w:rPr>
              <w:t>本</w:t>
            </w:r>
            <w:r>
              <w:rPr>
                <w:rFonts w:hint="eastAsia"/>
                <w:color w:val="auto"/>
                <w:kern w:val="24"/>
                <w:sz w:val="24"/>
                <w:highlight w:val="none"/>
                <w:lang w:val="en-US" w:eastAsia="zh-CN"/>
              </w:rPr>
              <w:t>项目生物质燃料暂存区和灰渣暂存区均位于锅炉房内，项目区不存在裸露地块，雨水顺着锅炉房厂房屋檐流入置厂区内的雨水沟后进入钧澄公司雨水收集系统，因此本项目环评不再核算初期雨水量。</w:t>
            </w:r>
          </w:p>
          <w:p w14:paraId="48CE9C0E">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（1）</w:t>
            </w:r>
            <w:r>
              <w:rPr>
                <w:rFonts w:hint="eastAsia"/>
                <w:color w:val="auto"/>
                <w:kern w:val="24"/>
                <w:sz w:val="24"/>
                <w:highlight w:val="none"/>
                <w:lang w:eastAsia="zh-CN"/>
              </w:rPr>
              <w:t>蒸汽发生器</w:t>
            </w:r>
            <w:r>
              <w:rPr>
                <w:rFonts w:hint="eastAsia"/>
                <w:color w:val="auto"/>
                <w:kern w:val="24"/>
                <w:sz w:val="24"/>
                <w:highlight w:val="none"/>
              </w:rPr>
              <w:t>排水</w:t>
            </w:r>
          </w:p>
          <w:p w14:paraId="12763E86">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项目生物质</w:t>
            </w:r>
            <w:r>
              <w:rPr>
                <w:rFonts w:hint="eastAsia"/>
                <w:color w:val="auto"/>
                <w:kern w:val="24"/>
                <w:sz w:val="24"/>
                <w:highlight w:val="none"/>
                <w:lang w:eastAsia="zh-CN"/>
              </w:rPr>
              <w:t>蒸汽发生器</w:t>
            </w:r>
            <w:r>
              <w:rPr>
                <w:rFonts w:hint="eastAsia"/>
                <w:color w:val="auto"/>
                <w:kern w:val="24"/>
                <w:sz w:val="24"/>
                <w:highlight w:val="none"/>
              </w:rPr>
              <w:t>年运转3</w:t>
            </w:r>
            <w:r>
              <w:rPr>
                <w:rFonts w:hint="eastAsia"/>
                <w:color w:val="auto"/>
                <w:kern w:val="24"/>
                <w:sz w:val="24"/>
                <w:highlight w:val="none"/>
                <w:lang w:val="en-US" w:eastAsia="zh-CN"/>
              </w:rPr>
              <w:t>0</w:t>
            </w:r>
            <w:r>
              <w:rPr>
                <w:rFonts w:hint="eastAsia"/>
                <w:color w:val="auto"/>
                <w:kern w:val="24"/>
                <w:sz w:val="24"/>
                <w:highlight w:val="none"/>
              </w:rPr>
              <w:t>0天，</w:t>
            </w:r>
            <w:r>
              <w:rPr>
                <w:rFonts w:hint="eastAsia"/>
                <w:color w:val="auto"/>
                <w:kern w:val="24"/>
                <w:sz w:val="24"/>
                <w:highlight w:val="none"/>
                <w:lang w:val="en-US" w:eastAsia="zh-CN"/>
              </w:rPr>
              <w:t>年运行1200</w:t>
            </w:r>
            <w:r>
              <w:rPr>
                <w:rFonts w:hint="eastAsia"/>
                <w:color w:val="auto"/>
                <w:kern w:val="24"/>
                <w:sz w:val="24"/>
                <w:highlight w:val="none"/>
              </w:rPr>
              <w:t>小时，年提供蒸汽</w:t>
            </w:r>
            <w:r>
              <w:rPr>
                <w:rFonts w:hint="eastAsia"/>
                <w:color w:val="auto"/>
                <w:kern w:val="24"/>
                <w:sz w:val="24"/>
                <w:highlight w:val="none"/>
                <w:lang w:val="en-US" w:eastAsia="zh-CN"/>
              </w:rPr>
              <w:t>9000</w:t>
            </w:r>
            <w:r>
              <w:rPr>
                <w:rFonts w:hint="eastAsia"/>
                <w:color w:val="auto"/>
                <w:kern w:val="24"/>
                <w:sz w:val="24"/>
                <w:highlight w:val="none"/>
              </w:rPr>
              <w:t>吨</w:t>
            </w:r>
            <w:r>
              <w:rPr>
                <w:rFonts w:hint="eastAsia"/>
                <w:color w:val="auto"/>
                <w:kern w:val="24"/>
                <w:sz w:val="24"/>
                <w:highlight w:val="none"/>
                <w:lang w:eastAsia="zh-CN"/>
              </w:rPr>
              <w:t>，</w:t>
            </w:r>
            <w:r>
              <w:rPr>
                <w:rFonts w:hint="eastAsia"/>
                <w:bCs/>
                <w:color w:val="auto"/>
                <w:sz w:val="24"/>
                <w:szCs w:val="20"/>
                <w:highlight w:val="none"/>
              </w:rPr>
              <w:t>平均</w:t>
            </w:r>
            <w:r>
              <w:rPr>
                <w:rFonts w:hint="eastAsia"/>
                <w:bCs/>
                <w:color w:val="auto"/>
                <w:sz w:val="24"/>
                <w:szCs w:val="20"/>
                <w:highlight w:val="none"/>
                <w:lang w:val="en-US" w:eastAsia="zh-CN"/>
              </w:rPr>
              <w:t>每天提供蒸汽30</w:t>
            </w:r>
            <w:r>
              <w:rPr>
                <w:rFonts w:hint="eastAsia"/>
                <w:bCs/>
                <w:color w:val="auto"/>
                <w:sz w:val="24"/>
                <w:szCs w:val="20"/>
                <w:highlight w:val="none"/>
              </w:rPr>
              <w:t>t</w:t>
            </w:r>
            <w:r>
              <w:rPr>
                <w:rFonts w:hint="eastAsia"/>
                <w:color w:val="auto"/>
                <w:kern w:val="24"/>
                <w:sz w:val="24"/>
                <w:highlight w:val="none"/>
              </w:rPr>
              <w:t>。根据设备方提供参数，</w:t>
            </w:r>
            <w:r>
              <w:rPr>
                <w:rFonts w:hint="eastAsia"/>
                <w:color w:val="auto"/>
                <w:kern w:val="24"/>
                <w:sz w:val="24"/>
                <w:highlight w:val="none"/>
                <w:lang w:eastAsia="zh-CN"/>
              </w:rPr>
              <w:t>蒸汽发生器</w:t>
            </w:r>
            <w:r>
              <w:rPr>
                <w:rFonts w:hint="eastAsia"/>
                <w:color w:val="auto"/>
                <w:kern w:val="24"/>
                <w:sz w:val="24"/>
                <w:highlight w:val="none"/>
              </w:rPr>
              <w:t>运行后每天早上日常启动会排污，排污量为约</w:t>
            </w:r>
            <w:r>
              <w:rPr>
                <w:rFonts w:hint="eastAsia"/>
                <w:color w:val="auto"/>
                <w:kern w:val="24"/>
                <w:sz w:val="24"/>
                <w:highlight w:val="none"/>
                <w:lang w:val="en-US" w:eastAsia="zh-CN"/>
              </w:rPr>
              <w:t>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eastAsia="zh-CN"/>
              </w:rPr>
              <w:t>，</w:t>
            </w:r>
            <w:r>
              <w:rPr>
                <w:rFonts w:hint="eastAsia"/>
                <w:color w:val="auto"/>
                <w:kern w:val="24"/>
                <w:sz w:val="24"/>
                <w:highlight w:val="none"/>
              </w:rPr>
              <w:t>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w:t>
            </w:r>
            <w:r>
              <w:rPr>
                <w:rFonts w:hint="eastAsia"/>
                <w:color w:val="auto"/>
                <w:kern w:val="24"/>
                <w:sz w:val="24"/>
                <w:highlight w:val="none"/>
              </w:rPr>
              <w:t>。</w:t>
            </w:r>
          </w:p>
          <w:p w14:paraId="0E799F1C">
            <w:pPr>
              <w:pStyle w:val="13"/>
              <w:rPr>
                <w:color w:val="auto"/>
                <w:highlight w:val="none"/>
              </w:rPr>
            </w:pPr>
            <w:r>
              <w:rPr>
                <w:rFonts w:hint="eastAsia"/>
                <w:color w:val="auto"/>
                <w:kern w:val="24"/>
                <w:sz w:val="24"/>
                <w:highlight w:val="none"/>
              </w:rPr>
              <w:t xml:space="preserve">   （2）离子交换树脂再生废水</w:t>
            </w:r>
          </w:p>
          <w:p w14:paraId="72AEB3E1">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离子交换树脂再生废水产生量</w:t>
            </w:r>
            <w:r>
              <w:rPr>
                <w:color w:val="auto"/>
                <w:kern w:val="24"/>
                <w:sz w:val="24"/>
                <w:highlight w:val="none"/>
              </w:rPr>
              <w:t>按用水量的</w:t>
            </w:r>
            <w:r>
              <w:rPr>
                <w:rFonts w:hint="eastAsia"/>
                <w:color w:val="auto"/>
                <w:kern w:val="24"/>
                <w:sz w:val="24"/>
                <w:highlight w:val="none"/>
                <w:lang w:val="en-US" w:eastAsia="zh-CN"/>
              </w:rPr>
              <w:t>90</w:t>
            </w:r>
            <w:r>
              <w:rPr>
                <w:rFonts w:hint="eastAsia"/>
                <w:color w:val="auto"/>
                <w:kern w:val="24"/>
                <w:sz w:val="24"/>
                <w:highlight w:val="none"/>
              </w:rPr>
              <w:t>%计，则清洗废水产生量为</w:t>
            </w:r>
            <w:r>
              <w:rPr>
                <w:rFonts w:hint="eastAsia"/>
                <w:color w:val="auto"/>
                <w:kern w:val="24"/>
                <w:sz w:val="24"/>
                <w:highlight w:val="none"/>
                <w:lang w:val="en-US" w:eastAsia="zh-CN"/>
              </w:rPr>
              <w:t>17.55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val="en-US" w:eastAsia="zh-CN"/>
              </w:rPr>
              <w:t>1.35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/次）</w:t>
            </w:r>
            <w:r>
              <w:rPr>
                <w:rFonts w:hint="eastAsia"/>
                <w:color w:val="auto"/>
                <w:sz w:val="24"/>
                <w:szCs w:val="36"/>
                <w:highlight w:val="none"/>
                <w:lang w:eastAsia="zh-CN"/>
              </w:rPr>
              <w:t>，</w:t>
            </w:r>
            <w:r>
              <w:rPr>
                <w:rFonts w:hint="eastAsia"/>
                <w:color w:val="auto"/>
                <w:kern w:val="24"/>
                <w:sz w:val="24"/>
                <w:highlight w:val="none"/>
              </w:rPr>
              <w:t>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w:t>
            </w:r>
            <w:r>
              <w:rPr>
                <w:rFonts w:hint="eastAsia"/>
                <w:color w:val="auto"/>
                <w:kern w:val="24"/>
                <w:sz w:val="24"/>
                <w:highlight w:val="none"/>
              </w:rPr>
              <w:t>。</w:t>
            </w:r>
          </w:p>
          <w:p w14:paraId="288363DF">
            <w:pPr>
              <w:adjustRightInd w:val="0"/>
              <w:snapToGrid w:val="0"/>
              <w:spacing w:line="360" w:lineRule="auto"/>
              <w:ind w:firstLine="480" w:firstLineChars="200"/>
              <w:rPr>
                <w:color w:val="auto"/>
                <w:kern w:val="24"/>
                <w:sz w:val="24"/>
                <w:highlight w:val="none"/>
              </w:rPr>
            </w:pPr>
            <w:r>
              <w:rPr>
                <w:color w:val="auto"/>
                <w:kern w:val="24"/>
                <w:sz w:val="24"/>
                <w:highlight w:val="none"/>
              </w:rPr>
              <w:t>（3）</w:t>
            </w:r>
            <w:r>
              <w:rPr>
                <w:rFonts w:hint="eastAsia"/>
                <w:color w:val="auto"/>
                <w:kern w:val="24"/>
                <w:sz w:val="24"/>
                <w:highlight w:val="none"/>
              </w:rPr>
              <w:t>员工生活污水</w:t>
            </w:r>
          </w:p>
          <w:p w14:paraId="22825E16">
            <w:pPr>
              <w:adjustRightInd w:val="0"/>
              <w:snapToGrid w:val="0"/>
              <w:spacing w:line="360" w:lineRule="auto"/>
              <w:ind w:firstLine="480" w:firstLineChars="200"/>
              <w:rPr>
                <w:color w:val="auto"/>
                <w:kern w:val="24"/>
                <w:sz w:val="24"/>
                <w:highlight w:val="none"/>
              </w:rPr>
            </w:pPr>
            <w:r>
              <w:rPr>
                <w:color w:val="auto"/>
                <w:kern w:val="24"/>
                <w:sz w:val="24"/>
                <w:highlight w:val="none"/>
              </w:rPr>
              <w:t>生活污水</w:t>
            </w:r>
            <w:r>
              <w:rPr>
                <w:rFonts w:hint="eastAsia"/>
                <w:color w:val="auto"/>
                <w:kern w:val="24"/>
                <w:sz w:val="24"/>
                <w:highlight w:val="none"/>
              </w:rPr>
              <w:t>产生量</w:t>
            </w:r>
            <w:r>
              <w:rPr>
                <w:color w:val="auto"/>
                <w:kern w:val="24"/>
                <w:sz w:val="24"/>
                <w:highlight w:val="none"/>
              </w:rPr>
              <w:t>按用水量的</w:t>
            </w:r>
            <w:r>
              <w:rPr>
                <w:rFonts w:hint="eastAsia"/>
                <w:color w:val="auto"/>
                <w:kern w:val="24"/>
                <w:sz w:val="24"/>
                <w:highlight w:val="none"/>
              </w:rPr>
              <w:t>85</w:t>
            </w:r>
            <w:r>
              <w:rPr>
                <w:color w:val="auto"/>
                <w:kern w:val="24"/>
                <w:sz w:val="24"/>
                <w:highlight w:val="none"/>
              </w:rPr>
              <w:t>%计算，</w:t>
            </w:r>
            <w:r>
              <w:rPr>
                <w:rFonts w:hint="eastAsia"/>
                <w:color w:val="auto"/>
                <w:kern w:val="24"/>
                <w:sz w:val="24"/>
                <w:highlight w:val="none"/>
              </w:rPr>
              <w:t>则生活污水产生量为</w:t>
            </w:r>
            <w:r>
              <w:rPr>
                <w:rFonts w:hint="eastAsia"/>
                <w:color w:val="auto"/>
                <w:kern w:val="24"/>
                <w:sz w:val="24"/>
                <w:highlight w:val="none"/>
                <w:lang w:val="en-US" w:eastAsia="zh-CN"/>
              </w:rPr>
              <w:t>0.048</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14.4</w:t>
            </w:r>
            <w:r>
              <w:rPr>
                <w:color w:val="auto"/>
                <w:kern w:val="24"/>
                <w:sz w:val="24"/>
                <w:highlight w:val="none"/>
              </w:rPr>
              <w:t>m³/a</w:t>
            </w:r>
            <w:r>
              <w:rPr>
                <w:rFonts w:hint="eastAsia"/>
                <w:color w:val="auto"/>
                <w:kern w:val="24"/>
                <w:sz w:val="24"/>
                <w:highlight w:val="none"/>
              </w:rPr>
              <w:t>，经化粪池处理后</w:t>
            </w:r>
            <w:r>
              <w:rPr>
                <w:rFonts w:hint="eastAsia"/>
                <w:color w:val="auto"/>
                <w:kern w:val="24"/>
                <w:sz w:val="24"/>
                <w:highlight w:val="none"/>
                <w:lang w:val="en-US" w:eastAsia="zh-CN"/>
              </w:rPr>
              <w:t>综合利用</w:t>
            </w:r>
            <w:r>
              <w:rPr>
                <w:rFonts w:hint="eastAsia"/>
                <w:color w:val="auto"/>
                <w:kern w:val="24"/>
                <w:sz w:val="24"/>
                <w:highlight w:val="none"/>
              </w:rPr>
              <w:t>。</w:t>
            </w:r>
          </w:p>
          <w:p w14:paraId="2F673D08">
            <w:pPr>
              <w:adjustRightInd w:val="0"/>
              <w:snapToGrid w:val="0"/>
              <w:spacing w:line="360" w:lineRule="auto"/>
              <w:ind w:firstLine="482" w:firstLineChars="200"/>
              <w:rPr>
                <w:b/>
                <w:color w:val="auto"/>
                <w:sz w:val="24"/>
                <w:highlight w:val="none"/>
              </w:rPr>
            </w:pPr>
            <w:r>
              <w:rPr>
                <w:rFonts w:hint="eastAsia"/>
                <w:b/>
                <w:bCs/>
                <w:color w:val="auto"/>
                <w:kern w:val="24"/>
                <w:sz w:val="24"/>
                <w:highlight w:val="none"/>
              </w:rPr>
              <w:t>3、</w:t>
            </w:r>
            <w:r>
              <w:rPr>
                <w:rFonts w:hint="eastAsia"/>
                <w:b/>
                <w:color w:val="auto"/>
                <w:sz w:val="24"/>
                <w:highlight w:val="none"/>
              </w:rPr>
              <w:t>废水排放去向</w:t>
            </w:r>
          </w:p>
          <w:p w14:paraId="0953FC68">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color w:val="auto"/>
                <w:kern w:val="24"/>
                <w:sz w:val="24"/>
                <w:highlight w:val="none"/>
              </w:rPr>
              <w:t>项目</w:t>
            </w:r>
            <w:r>
              <w:rPr>
                <w:rFonts w:hint="eastAsia"/>
                <w:color w:val="auto"/>
                <w:kern w:val="24"/>
                <w:sz w:val="24"/>
                <w:highlight w:val="none"/>
                <w:lang w:eastAsia="zh-CN"/>
              </w:rPr>
              <w:t>依托</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已建雨污分流系统</w:t>
            </w:r>
            <w:r>
              <w:rPr>
                <w:color w:val="auto"/>
                <w:kern w:val="24"/>
                <w:sz w:val="24"/>
                <w:highlight w:val="none"/>
              </w:rPr>
              <w:t>，雨水经雨水管道收集后排至</w:t>
            </w:r>
            <w:r>
              <w:rPr>
                <w:rFonts w:hint="eastAsia"/>
                <w:color w:val="auto"/>
                <w:kern w:val="24"/>
                <w:sz w:val="24"/>
                <w:highlight w:val="none"/>
                <w:lang w:val="en-US" w:eastAsia="zh-CN"/>
              </w:rPr>
              <w:t>钧澄</w:t>
            </w:r>
            <w:r>
              <w:rPr>
                <w:color w:val="auto"/>
                <w:kern w:val="24"/>
                <w:sz w:val="24"/>
                <w:highlight w:val="none"/>
              </w:rPr>
              <w:t>雨水管网。</w:t>
            </w:r>
            <w:r>
              <w:rPr>
                <w:rFonts w:hint="eastAsia"/>
                <w:color w:val="auto"/>
                <w:kern w:val="24"/>
                <w:sz w:val="24"/>
                <w:highlight w:val="none"/>
              </w:rPr>
              <w:t>生活污水排入</w:t>
            </w:r>
            <w:r>
              <w:rPr>
                <w:rFonts w:hint="eastAsia"/>
                <w:color w:val="auto"/>
                <w:kern w:val="24"/>
                <w:sz w:val="24"/>
                <w:highlight w:val="none"/>
                <w:lang w:val="en-US" w:eastAsia="zh-CN"/>
              </w:rPr>
              <w:t>钧澄公司</w:t>
            </w:r>
            <w:r>
              <w:rPr>
                <w:rFonts w:hint="eastAsia"/>
                <w:color w:val="auto"/>
                <w:kern w:val="24"/>
                <w:sz w:val="24"/>
                <w:highlight w:val="none"/>
              </w:rPr>
              <w:t>化粪池处理</w:t>
            </w:r>
            <w:r>
              <w:rPr>
                <w:rFonts w:hint="eastAsia"/>
                <w:color w:val="auto"/>
                <w:kern w:val="24"/>
                <w:sz w:val="24"/>
                <w:highlight w:val="none"/>
                <w:lang w:val="en-US" w:eastAsia="zh-CN"/>
              </w:rPr>
              <w:t>后综合利用</w:t>
            </w:r>
            <w:r>
              <w:rPr>
                <w:rFonts w:hint="eastAsia"/>
                <w:color w:val="auto"/>
                <w:kern w:val="24"/>
                <w:sz w:val="24"/>
                <w:highlight w:val="none"/>
              </w:rPr>
              <w:t>；</w:t>
            </w:r>
            <w:r>
              <w:rPr>
                <w:rFonts w:hint="eastAsia"/>
                <w:color w:val="auto"/>
                <w:kern w:val="24"/>
                <w:sz w:val="24"/>
                <w:highlight w:val="none"/>
                <w:lang w:eastAsia="zh-CN"/>
              </w:rPr>
              <w:t>蒸汽发生器</w:t>
            </w:r>
            <w:r>
              <w:rPr>
                <w:rFonts w:hint="eastAsia"/>
                <w:color w:val="auto"/>
                <w:kern w:val="24"/>
                <w:sz w:val="24"/>
                <w:highlight w:val="none"/>
              </w:rPr>
              <w:t>排水、离子交换树脂再生废水经絮凝沉淀后排入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w:t>
            </w:r>
            <w:r>
              <w:rPr>
                <w:rFonts w:hint="eastAsia" w:ascii="宋体" w:hAnsi="宋体" w:eastAsia="宋体" w:cs="宋体"/>
                <w:color w:val="auto"/>
                <w:sz w:val="24"/>
                <w:szCs w:val="24"/>
                <w:highlight w:val="none"/>
                <w:lang w:eastAsia="zh-CN"/>
              </w:rPr>
              <w:t>。</w:t>
            </w:r>
          </w:p>
          <w:p w14:paraId="2ADC4DA2">
            <w:pPr>
              <w:pStyle w:val="81"/>
              <w:spacing w:after="120"/>
              <w:rPr>
                <w:rFonts w:hint="default" w:ascii="Times New Roman" w:hAnsi="Times New Roman" w:eastAsia="宋体" w:cs="Times New Roman"/>
                <w:b/>
                <w:bCs/>
                <w:color w:val="auto"/>
                <w:spacing w:val="0"/>
                <w:kern w:val="24"/>
                <w:highlight w:val="none"/>
                <w:lang w:val="zh-CN"/>
              </w:rPr>
            </w:pPr>
            <w:r>
              <w:rPr>
                <w:rFonts w:ascii="Times New Roman" w:hAnsi="Times New Roman" w:eastAsia="宋体" w:cs="Times New Roman"/>
                <w:b/>
                <w:bCs/>
                <w:color w:val="auto"/>
                <w:spacing w:val="0"/>
                <w:kern w:val="24"/>
                <w:highlight w:val="none"/>
                <w:lang w:val="zh-CN"/>
              </w:rPr>
              <w:t>表2-</w:t>
            </w:r>
            <w:r>
              <w:rPr>
                <w:rFonts w:hint="eastAsia" w:ascii="Times New Roman" w:hAnsi="Times New Roman" w:eastAsia="宋体" w:cs="Times New Roman"/>
                <w:b/>
                <w:bCs/>
                <w:color w:val="auto"/>
                <w:spacing w:val="0"/>
                <w:kern w:val="24"/>
                <w:highlight w:val="none"/>
                <w:lang w:val="en-US" w:eastAsia="zh-CN"/>
              </w:rPr>
              <w:t xml:space="preserve">4 </w:t>
            </w:r>
            <w:r>
              <w:rPr>
                <w:rFonts w:ascii="Times New Roman" w:hAnsi="Times New Roman" w:eastAsia="宋体" w:cs="Times New Roman"/>
                <w:b/>
                <w:bCs/>
                <w:color w:val="auto"/>
                <w:spacing w:val="0"/>
                <w:kern w:val="24"/>
                <w:highlight w:val="none"/>
                <w:lang w:val="zh-CN"/>
              </w:rPr>
              <w:t xml:space="preserve"> 项目</w:t>
            </w:r>
            <w:r>
              <w:rPr>
                <w:rFonts w:ascii="Times New Roman" w:hAnsi="Times New Roman" w:eastAsia="宋体" w:cs="Times New Roman"/>
                <w:b/>
                <w:bCs/>
                <w:color w:val="auto"/>
                <w:spacing w:val="0"/>
                <w:kern w:val="24"/>
                <w:highlight w:val="none"/>
              </w:rPr>
              <w:t>生产</w:t>
            </w:r>
            <w:r>
              <w:rPr>
                <w:rFonts w:ascii="Times New Roman" w:hAnsi="Times New Roman" w:eastAsia="宋体" w:cs="Times New Roman"/>
                <w:b/>
                <w:bCs/>
                <w:color w:val="auto"/>
                <w:spacing w:val="0"/>
                <w:kern w:val="24"/>
                <w:highlight w:val="none"/>
                <w:lang w:val="zh-CN"/>
              </w:rPr>
              <w:t>用水量及排放量估算表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474"/>
              <w:gridCol w:w="1637"/>
              <w:gridCol w:w="1621"/>
              <w:gridCol w:w="1653"/>
            </w:tblGrid>
            <w:tr w14:paraId="189E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Align w:val="center"/>
                </w:tcPr>
                <w:p w14:paraId="3A1AC0A8">
                  <w:pPr>
                    <w:jc w:val="center"/>
                    <w:rPr>
                      <w:color w:val="auto"/>
                      <w:highlight w:val="none"/>
                    </w:rPr>
                  </w:pPr>
                  <w:r>
                    <w:rPr>
                      <w:rFonts w:hint="eastAsia"/>
                      <w:color w:val="auto"/>
                      <w:highlight w:val="none"/>
                    </w:rPr>
                    <w:t>用水类型</w:t>
                  </w:r>
                </w:p>
              </w:tc>
              <w:tc>
                <w:tcPr>
                  <w:tcW w:w="1535" w:type="dxa"/>
                  <w:vAlign w:val="center"/>
                </w:tcPr>
                <w:p w14:paraId="31ED2879">
                  <w:pPr>
                    <w:jc w:val="center"/>
                    <w:rPr>
                      <w:color w:val="auto"/>
                      <w:highlight w:val="none"/>
                    </w:rPr>
                  </w:pPr>
                  <w:r>
                    <w:rPr>
                      <w:color w:val="auto"/>
                      <w:highlight w:val="none"/>
                    </w:rPr>
                    <w:t>日用水量</w:t>
                  </w:r>
                </w:p>
                <w:p w14:paraId="79F73604">
                  <w:pPr>
                    <w:jc w:val="center"/>
                    <w:rPr>
                      <w:color w:val="auto"/>
                      <w:highlight w:val="none"/>
                    </w:rPr>
                  </w:pPr>
                  <w:r>
                    <w:rPr>
                      <w:color w:val="auto"/>
                      <w:highlight w:val="none"/>
                    </w:rPr>
                    <w:t>（</w:t>
                  </w:r>
                  <w:r>
                    <w:rPr>
                      <w:rFonts w:hint="eastAsia"/>
                      <w:color w:val="auto"/>
                      <w:highlight w:val="none"/>
                    </w:rPr>
                    <w:t>m³</w:t>
                  </w:r>
                  <w:r>
                    <w:rPr>
                      <w:color w:val="auto"/>
                      <w:highlight w:val="none"/>
                    </w:rPr>
                    <w:t>）</w:t>
                  </w:r>
                </w:p>
              </w:tc>
              <w:tc>
                <w:tcPr>
                  <w:tcW w:w="1716" w:type="dxa"/>
                  <w:vAlign w:val="center"/>
                </w:tcPr>
                <w:p w14:paraId="740E1AB0">
                  <w:pPr>
                    <w:jc w:val="center"/>
                    <w:rPr>
                      <w:color w:val="auto"/>
                      <w:highlight w:val="none"/>
                    </w:rPr>
                  </w:pPr>
                  <w:r>
                    <w:rPr>
                      <w:color w:val="auto"/>
                      <w:highlight w:val="none"/>
                    </w:rPr>
                    <w:t>年用水量（</w:t>
                  </w:r>
                  <w:r>
                    <w:rPr>
                      <w:rFonts w:hint="eastAsia"/>
                      <w:color w:val="auto"/>
                      <w:highlight w:val="none"/>
                    </w:rPr>
                    <w:t>m³</w:t>
                  </w:r>
                  <w:r>
                    <w:rPr>
                      <w:color w:val="auto"/>
                      <w:highlight w:val="none"/>
                    </w:rPr>
                    <w:t>）</w:t>
                  </w:r>
                </w:p>
              </w:tc>
              <w:tc>
                <w:tcPr>
                  <w:tcW w:w="1698" w:type="dxa"/>
                  <w:vAlign w:val="center"/>
                </w:tcPr>
                <w:p w14:paraId="73623D90">
                  <w:pPr>
                    <w:jc w:val="center"/>
                    <w:rPr>
                      <w:color w:val="auto"/>
                      <w:highlight w:val="none"/>
                    </w:rPr>
                  </w:pPr>
                  <w:r>
                    <w:rPr>
                      <w:color w:val="auto"/>
                      <w:highlight w:val="none"/>
                    </w:rPr>
                    <w:t>日</w:t>
                  </w:r>
                  <w:r>
                    <w:rPr>
                      <w:rFonts w:hint="eastAsia"/>
                      <w:color w:val="auto"/>
                      <w:highlight w:val="none"/>
                    </w:rPr>
                    <w:t>排放</w:t>
                  </w:r>
                  <w:r>
                    <w:rPr>
                      <w:color w:val="auto"/>
                      <w:highlight w:val="none"/>
                    </w:rPr>
                    <w:t>量（</w:t>
                  </w:r>
                  <w:r>
                    <w:rPr>
                      <w:rFonts w:hint="eastAsia"/>
                      <w:color w:val="auto"/>
                      <w:highlight w:val="none"/>
                    </w:rPr>
                    <w:t>m³</w:t>
                  </w:r>
                  <w:r>
                    <w:rPr>
                      <w:color w:val="auto"/>
                      <w:highlight w:val="none"/>
                    </w:rPr>
                    <w:t>）</w:t>
                  </w:r>
                </w:p>
              </w:tc>
              <w:tc>
                <w:tcPr>
                  <w:tcW w:w="1734" w:type="dxa"/>
                  <w:vAlign w:val="center"/>
                </w:tcPr>
                <w:p w14:paraId="73873441">
                  <w:pPr>
                    <w:jc w:val="center"/>
                    <w:rPr>
                      <w:color w:val="auto"/>
                      <w:highlight w:val="none"/>
                    </w:rPr>
                  </w:pPr>
                  <w:r>
                    <w:rPr>
                      <w:color w:val="auto"/>
                      <w:highlight w:val="none"/>
                    </w:rPr>
                    <w:t>年</w:t>
                  </w:r>
                  <w:r>
                    <w:rPr>
                      <w:rFonts w:hint="eastAsia"/>
                      <w:color w:val="auto"/>
                      <w:highlight w:val="none"/>
                    </w:rPr>
                    <w:t>排放</w:t>
                  </w:r>
                  <w:r>
                    <w:rPr>
                      <w:color w:val="auto"/>
                      <w:highlight w:val="none"/>
                    </w:rPr>
                    <w:t>量（</w:t>
                  </w:r>
                  <w:r>
                    <w:rPr>
                      <w:rFonts w:hint="eastAsia"/>
                      <w:color w:val="auto"/>
                      <w:highlight w:val="none"/>
                    </w:rPr>
                    <w:t>m³</w:t>
                  </w:r>
                  <w:r>
                    <w:rPr>
                      <w:color w:val="auto"/>
                      <w:highlight w:val="none"/>
                    </w:rPr>
                    <w:t>）</w:t>
                  </w:r>
                </w:p>
              </w:tc>
            </w:tr>
            <w:tr w14:paraId="147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9" w:type="dxa"/>
                  <w:vAlign w:val="center"/>
                </w:tcPr>
                <w:p w14:paraId="5809C208">
                  <w:pPr>
                    <w:jc w:val="center"/>
                    <w:rPr>
                      <w:color w:val="auto"/>
                      <w:highlight w:val="none"/>
                    </w:rPr>
                  </w:pPr>
                  <w:r>
                    <w:rPr>
                      <w:rFonts w:hint="eastAsia"/>
                      <w:color w:val="auto"/>
                      <w:highlight w:val="none"/>
                    </w:rPr>
                    <w:t>生活用水</w:t>
                  </w:r>
                </w:p>
              </w:tc>
              <w:tc>
                <w:tcPr>
                  <w:tcW w:w="1535" w:type="dxa"/>
                  <w:vAlign w:val="center"/>
                </w:tcPr>
                <w:p w14:paraId="19AE013F">
                  <w:pPr>
                    <w:jc w:val="center"/>
                    <w:rPr>
                      <w:rFonts w:hint="default" w:eastAsia="宋体"/>
                      <w:color w:val="auto"/>
                      <w:highlight w:val="none"/>
                      <w:lang w:val="en-US" w:eastAsia="zh-CN"/>
                    </w:rPr>
                  </w:pPr>
                  <w:r>
                    <w:rPr>
                      <w:rFonts w:hint="eastAsia"/>
                      <w:color w:val="auto"/>
                      <w:highlight w:val="none"/>
                      <w:lang w:val="en-US" w:eastAsia="zh-CN"/>
                    </w:rPr>
                    <w:t>0.06</w:t>
                  </w:r>
                </w:p>
              </w:tc>
              <w:tc>
                <w:tcPr>
                  <w:tcW w:w="1716" w:type="dxa"/>
                  <w:vAlign w:val="center"/>
                </w:tcPr>
                <w:p w14:paraId="3CC59F0C">
                  <w:pPr>
                    <w:jc w:val="center"/>
                    <w:rPr>
                      <w:rFonts w:hint="default" w:eastAsia="宋体"/>
                      <w:color w:val="auto"/>
                      <w:highlight w:val="none"/>
                      <w:lang w:val="en-US" w:eastAsia="zh-CN"/>
                    </w:rPr>
                  </w:pPr>
                  <w:r>
                    <w:rPr>
                      <w:rFonts w:hint="eastAsia"/>
                      <w:color w:val="auto"/>
                      <w:highlight w:val="none"/>
                      <w:lang w:val="en-US" w:eastAsia="zh-CN"/>
                    </w:rPr>
                    <w:t>18</w:t>
                  </w:r>
                </w:p>
              </w:tc>
              <w:tc>
                <w:tcPr>
                  <w:tcW w:w="1698" w:type="dxa"/>
                  <w:vAlign w:val="center"/>
                </w:tcPr>
                <w:p w14:paraId="13C7E9C8">
                  <w:pPr>
                    <w:jc w:val="center"/>
                    <w:rPr>
                      <w:rFonts w:hint="default" w:eastAsia="宋体"/>
                      <w:color w:val="auto"/>
                      <w:highlight w:val="none"/>
                      <w:lang w:val="en-US" w:eastAsia="zh-CN"/>
                    </w:rPr>
                  </w:pPr>
                  <w:r>
                    <w:rPr>
                      <w:rFonts w:hint="eastAsia"/>
                      <w:color w:val="auto"/>
                      <w:highlight w:val="none"/>
                      <w:lang w:val="en-US" w:eastAsia="zh-CN"/>
                    </w:rPr>
                    <w:t>0.048</w:t>
                  </w:r>
                </w:p>
              </w:tc>
              <w:tc>
                <w:tcPr>
                  <w:tcW w:w="1734" w:type="dxa"/>
                  <w:vAlign w:val="center"/>
                </w:tcPr>
                <w:p w14:paraId="0060C016">
                  <w:pPr>
                    <w:jc w:val="center"/>
                    <w:rPr>
                      <w:rFonts w:hint="default" w:eastAsia="宋体"/>
                      <w:color w:val="auto"/>
                      <w:highlight w:val="none"/>
                      <w:lang w:val="en-US" w:eastAsia="zh-CN"/>
                    </w:rPr>
                  </w:pPr>
                  <w:r>
                    <w:rPr>
                      <w:rFonts w:hint="eastAsia"/>
                      <w:color w:val="auto"/>
                      <w:highlight w:val="none"/>
                      <w:lang w:val="en-US" w:eastAsia="zh-CN"/>
                    </w:rPr>
                    <w:t>14.4</w:t>
                  </w:r>
                </w:p>
              </w:tc>
            </w:tr>
            <w:tr w14:paraId="03E2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29" w:type="dxa"/>
                  <w:vAlign w:val="center"/>
                </w:tcPr>
                <w:p w14:paraId="0867A36A">
                  <w:pPr>
                    <w:jc w:val="center"/>
                    <w:rPr>
                      <w:color w:val="auto"/>
                      <w:highlight w:val="none"/>
                    </w:rPr>
                  </w:pPr>
                  <w:r>
                    <w:rPr>
                      <w:rFonts w:hint="eastAsia"/>
                      <w:color w:val="auto"/>
                      <w:highlight w:val="none"/>
                    </w:rPr>
                    <w:t>软水制备用水</w:t>
                  </w:r>
                </w:p>
              </w:tc>
              <w:tc>
                <w:tcPr>
                  <w:tcW w:w="1535" w:type="dxa"/>
                  <w:vAlign w:val="center"/>
                </w:tcPr>
                <w:p w14:paraId="04F6502F">
                  <w:pPr>
                    <w:jc w:val="center"/>
                    <w:rPr>
                      <w:rFonts w:hint="default" w:eastAsia="宋体"/>
                      <w:color w:val="auto"/>
                      <w:highlight w:val="none"/>
                      <w:lang w:val="en-US" w:eastAsia="zh-CN"/>
                    </w:rPr>
                  </w:pPr>
                  <w:r>
                    <w:rPr>
                      <w:rFonts w:hint="eastAsia"/>
                      <w:color w:val="auto"/>
                      <w:highlight w:val="none"/>
                      <w:lang w:val="en-US" w:eastAsia="zh-CN"/>
                    </w:rPr>
                    <w:t>30.6</w:t>
                  </w:r>
                </w:p>
              </w:tc>
              <w:tc>
                <w:tcPr>
                  <w:tcW w:w="1716" w:type="dxa"/>
                  <w:vAlign w:val="center"/>
                </w:tcPr>
                <w:p w14:paraId="42CAF8CA">
                  <w:pPr>
                    <w:jc w:val="center"/>
                    <w:rPr>
                      <w:rFonts w:hint="default" w:eastAsia="宋体"/>
                      <w:color w:val="auto"/>
                      <w:highlight w:val="none"/>
                      <w:lang w:val="en-US" w:eastAsia="zh-CN"/>
                    </w:rPr>
                  </w:pPr>
                  <w:r>
                    <w:rPr>
                      <w:rFonts w:hint="eastAsia"/>
                      <w:color w:val="auto"/>
                      <w:highlight w:val="none"/>
                      <w:lang w:val="en-US" w:eastAsia="zh-CN"/>
                    </w:rPr>
                    <w:t>9180</w:t>
                  </w:r>
                </w:p>
              </w:tc>
              <w:tc>
                <w:tcPr>
                  <w:tcW w:w="1698" w:type="dxa"/>
                  <w:vAlign w:val="center"/>
                </w:tcPr>
                <w:p w14:paraId="3F962BED">
                  <w:pPr>
                    <w:jc w:val="center"/>
                    <w:rPr>
                      <w:color w:val="auto"/>
                      <w:highlight w:val="none"/>
                    </w:rPr>
                  </w:pPr>
                  <w:r>
                    <w:rPr>
                      <w:rFonts w:hint="eastAsia"/>
                      <w:color w:val="auto"/>
                      <w:highlight w:val="none"/>
                    </w:rPr>
                    <w:t>/</w:t>
                  </w:r>
                </w:p>
              </w:tc>
              <w:tc>
                <w:tcPr>
                  <w:tcW w:w="1734" w:type="dxa"/>
                  <w:vAlign w:val="center"/>
                </w:tcPr>
                <w:p w14:paraId="61CF4EB2">
                  <w:pPr>
                    <w:jc w:val="center"/>
                    <w:rPr>
                      <w:color w:val="auto"/>
                      <w:highlight w:val="none"/>
                    </w:rPr>
                  </w:pPr>
                  <w:r>
                    <w:rPr>
                      <w:rFonts w:hint="eastAsia"/>
                      <w:color w:val="auto"/>
                      <w:highlight w:val="none"/>
                    </w:rPr>
                    <w:t>/</w:t>
                  </w:r>
                </w:p>
              </w:tc>
            </w:tr>
            <w:tr w14:paraId="0B3D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829" w:type="dxa"/>
                  <w:vAlign w:val="center"/>
                </w:tcPr>
                <w:p w14:paraId="2D88CCB4">
                  <w:pPr>
                    <w:jc w:val="center"/>
                    <w:rPr>
                      <w:color w:val="auto"/>
                      <w:highlight w:val="none"/>
                    </w:rPr>
                  </w:pPr>
                  <w:r>
                    <w:rPr>
                      <w:rFonts w:hint="eastAsia"/>
                      <w:color w:val="auto"/>
                      <w:highlight w:val="none"/>
                      <w:lang w:eastAsia="zh-CN"/>
                    </w:rPr>
                    <w:t>蒸汽发生器</w:t>
                  </w:r>
                  <w:r>
                    <w:rPr>
                      <w:rFonts w:hint="eastAsia"/>
                      <w:color w:val="auto"/>
                      <w:highlight w:val="none"/>
                    </w:rPr>
                    <w:t>排水</w:t>
                  </w:r>
                </w:p>
              </w:tc>
              <w:tc>
                <w:tcPr>
                  <w:tcW w:w="1535" w:type="dxa"/>
                  <w:vAlign w:val="center"/>
                </w:tcPr>
                <w:p w14:paraId="74FE8546">
                  <w:pPr>
                    <w:jc w:val="center"/>
                    <w:rPr>
                      <w:color w:val="auto"/>
                      <w:highlight w:val="none"/>
                    </w:rPr>
                  </w:pPr>
                  <w:r>
                    <w:rPr>
                      <w:rFonts w:hint="eastAsia"/>
                      <w:color w:val="auto"/>
                      <w:highlight w:val="none"/>
                    </w:rPr>
                    <w:t>/</w:t>
                  </w:r>
                </w:p>
              </w:tc>
              <w:tc>
                <w:tcPr>
                  <w:tcW w:w="1716" w:type="dxa"/>
                  <w:vAlign w:val="center"/>
                </w:tcPr>
                <w:p w14:paraId="05BB1871">
                  <w:pPr>
                    <w:jc w:val="center"/>
                    <w:rPr>
                      <w:color w:val="auto"/>
                      <w:highlight w:val="none"/>
                    </w:rPr>
                  </w:pPr>
                  <w:r>
                    <w:rPr>
                      <w:rFonts w:hint="eastAsia"/>
                      <w:color w:val="auto"/>
                      <w:highlight w:val="none"/>
                    </w:rPr>
                    <w:t>/</w:t>
                  </w:r>
                </w:p>
              </w:tc>
              <w:tc>
                <w:tcPr>
                  <w:tcW w:w="1698" w:type="dxa"/>
                  <w:vAlign w:val="center"/>
                </w:tcPr>
                <w:p w14:paraId="366ED375">
                  <w:pPr>
                    <w:jc w:val="center"/>
                    <w:rPr>
                      <w:rFonts w:hint="default" w:eastAsia="宋体"/>
                      <w:color w:val="auto"/>
                      <w:highlight w:val="none"/>
                      <w:lang w:val="en-US" w:eastAsia="zh-CN"/>
                    </w:rPr>
                  </w:pPr>
                  <w:r>
                    <w:rPr>
                      <w:rFonts w:hint="eastAsia"/>
                      <w:color w:val="auto"/>
                      <w:highlight w:val="none"/>
                      <w:lang w:val="en-US" w:eastAsia="zh-CN"/>
                    </w:rPr>
                    <w:t>0.6</w:t>
                  </w:r>
                </w:p>
              </w:tc>
              <w:tc>
                <w:tcPr>
                  <w:tcW w:w="1734" w:type="dxa"/>
                  <w:vAlign w:val="center"/>
                </w:tcPr>
                <w:p w14:paraId="1D75B662">
                  <w:pPr>
                    <w:jc w:val="center"/>
                    <w:rPr>
                      <w:rFonts w:hint="default" w:eastAsia="宋体"/>
                      <w:color w:val="auto"/>
                      <w:highlight w:val="none"/>
                      <w:lang w:val="en-US" w:eastAsia="zh-CN"/>
                    </w:rPr>
                  </w:pPr>
                  <w:r>
                    <w:rPr>
                      <w:rFonts w:hint="eastAsia"/>
                      <w:color w:val="auto"/>
                      <w:highlight w:val="none"/>
                      <w:lang w:val="en-US" w:eastAsia="zh-CN"/>
                    </w:rPr>
                    <w:t>180</w:t>
                  </w:r>
                </w:p>
              </w:tc>
            </w:tr>
            <w:tr w14:paraId="3655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829" w:type="dxa"/>
                  <w:vAlign w:val="center"/>
                </w:tcPr>
                <w:p w14:paraId="51686B84">
                  <w:pPr>
                    <w:jc w:val="center"/>
                    <w:rPr>
                      <w:color w:val="auto"/>
                      <w:szCs w:val="21"/>
                      <w:highlight w:val="none"/>
                    </w:rPr>
                  </w:pPr>
                  <w:r>
                    <w:rPr>
                      <w:rFonts w:hint="eastAsia"/>
                      <w:color w:val="auto"/>
                      <w:szCs w:val="21"/>
                      <w:highlight w:val="none"/>
                    </w:rPr>
                    <w:t>离子交换树脂再生用水</w:t>
                  </w:r>
                </w:p>
              </w:tc>
              <w:tc>
                <w:tcPr>
                  <w:tcW w:w="1535" w:type="dxa"/>
                  <w:vAlign w:val="center"/>
                </w:tcPr>
                <w:p w14:paraId="5843FB59">
                  <w:pPr>
                    <w:jc w:val="center"/>
                    <w:rPr>
                      <w:color w:val="auto"/>
                      <w:szCs w:val="21"/>
                      <w:highlight w:val="none"/>
                    </w:rPr>
                  </w:pPr>
                  <w:r>
                    <w:rPr>
                      <w:rFonts w:hint="eastAsia"/>
                      <w:color w:val="auto"/>
                      <w:kern w:val="24"/>
                      <w:szCs w:val="21"/>
                      <w:highlight w:val="none"/>
                      <w:lang w:val="en-US" w:eastAsia="zh-CN"/>
                    </w:rPr>
                    <w:t>1.5</w:t>
                  </w:r>
                  <w:r>
                    <w:rPr>
                      <w:rFonts w:hint="eastAsia"/>
                      <w:color w:val="auto"/>
                      <w:kern w:val="24"/>
                      <w:szCs w:val="21"/>
                      <w:highlight w:val="none"/>
                    </w:rPr>
                    <w:t>m</w:t>
                  </w:r>
                  <w:r>
                    <w:rPr>
                      <w:rFonts w:hint="eastAsia"/>
                      <w:color w:val="auto"/>
                      <w:kern w:val="24"/>
                      <w:szCs w:val="21"/>
                      <w:highlight w:val="none"/>
                      <w:vertAlign w:val="superscript"/>
                    </w:rPr>
                    <w:t>3</w:t>
                  </w:r>
                  <w:r>
                    <w:rPr>
                      <w:rFonts w:hint="eastAsia"/>
                      <w:color w:val="auto"/>
                      <w:szCs w:val="21"/>
                      <w:highlight w:val="none"/>
                    </w:rPr>
                    <w:t>/次</w:t>
                  </w:r>
                </w:p>
              </w:tc>
              <w:tc>
                <w:tcPr>
                  <w:tcW w:w="1716" w:type="dxa"/>
                  <w:vAlign w:val="center"/>
                </w:tcPr>
                <w:p w14:paraId="350F7C15">
                  <w:pPr>
                    <w:jc w:val="center"/>
                    <w:rPr>
                      <w:rFonts w:hint="default" w:eastAsia="宋体"/>
                      <w:color w:val="auto"/>
                      <w:highlight w:val="none"/>
                      <w:lang w:val="en-US" w:eastAsia="zh-CN"/>
                    </w:rPr>
                  </w:pPr>
                  <w:r>
                    <w:rPr>
                      <w:rFonts w:hint="eastAsia"/>
                      <w:color w:val="auto"/>
                      <w:highlight w:val="none"/>
                      <w:lang w:val="en-US" w:eastAsia="zh-CN"/>
                    </w:rPr>
                    <w:t>19.5</w:t>
                  </w:r>
                </w:p>
              </w:tc>
              <w:tc>
                <w:tcPr>
                  <w:tcW w:w="1698" w:type="dxa"/>
                  <w:vAlign w:val="center"/>
                </w:tcPr>
                <w:p w14:paraId="0A28D1CB">
                  <w:pPr>
                    <w:jc w:val="center"/>
                    <w:rPr>
                      <w:color w:val="auto"/>
                      <w:highlight w:val="none"/>
                    </w:rPr>
                  </w:pPr>
                  <w:r>
                    <w:rPr>
                      <w:rFonts w:hint="eastAsia"/>
                      <w:color w:val="auto"/>
                      <w:kern w:val="24"/>
                      <w:szCs w:val="21"/>
                      <w:highlight w:val="none"/>
                      <w:lang w:val="en-US" w:eastAsia="zh-CN"/>
                    </w:rPr>
                    <w:t>1.35</w:t>
                  </w:r>
                  <w:r>
                    <w:rPr>
                      <w:rFonts w:hint="eastAsia"/>
                      <w:color w:val="auto"/>
                      <w:kern w:val="24"/>
                      <w:szCs w:val="21"/>
                      <w:highlight w:val="none"/>
                    </w:rPr>
                    <w:t>m</w:t>
                  </w:r>
                  <w:r>
                    <w:rPr>
                      <w:rFonts w:hint="eastAsia"/>
                      <w:color w:val="auto"/>
                      <w:kern w:val="24"/>
                      <w:szCs w:val="21"/>
                      <w:highlight w:val="none"/>
                      <w:vertAlign w:val="superscript"/>
                    </w:rPr>
                    <w:t>3</w:t>
                  </w:r>
                  <w:r>
                    <w:rPr>
                      <w:rFonts w:hint="eastAsia"/>
                      <w:color w:val="auto"/>
                      <w:szCs w:val="21"/>
                      <w:highlight w:val="none"/>
                    </w:rPr>
                    <w:t>/次</w:t>
                  </w:r>
                </w:p>
              </w:tc>
              <w:tc>
                <w:tcPr>
                  <w:tcW w:w="1734" w:type="dxa"/>
                  <w:vAlign w:val="center"/>
                </w:tcPr>
                <w:p w14:paraId="73213B2E">
                  <w:pPr>
                    <w:jc w:val="center"/>
                    <w:rPr>
                      <w:rFonts w:hint="default" w:eastAsia="宋体"/>
                      <w:color w:val="auto"/>
                      <w:highlight w:val="none"/>
                      <w:lang w:val="en-US" w:eastAsia="zh-CN"/>
                    </w:rPr>
                  </w:pPr>
                  <w:r>
                    <w:rPr>
                      <w:rFonts w:hint="eastAsia"/>
                      <w:color w:val="auto"/>
                      <w:highlight w:val="none"/>
                      <w:lang w:val="en-US" w:eastAsia="zh-CN"/>
                    </w:rPr>
                    <w:t>17.55</w:t>
                  </w:r>
                </w:p>
              </w:tc>
            </w:tr>
          </w:tbl>
          <w:p w14:paraId="214C7D5E">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1B747CE0">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37DE8731">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7A672E15">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488877C9">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070C8760">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7E6A9449">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1A3C6A10">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51A2992C">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1D417C8A">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437ED8E4">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53450C97">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23C1497A">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338DE1FF">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5E38223E">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rFonts w:hint="eastAsia"/>
                <w:color w:val="auto"/>
                <w:kern w:val="0"/>
                <w:sz w:val="24"/>
                <w:szCs w:val="21"/>
                <w:highlight w:val="none"/>
              </w:rPr>
            </w:pPr>
          </w:p>
          <w:p w14:paraId="1B58F46F">
            <w:pPr>
              <w:pStyle w:val="2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color w:val="auto"/>
                <w:kern w:val="0"/>
                <w:sz w:val="24"/>
                <w:szCs w:val="21"/>
                <w:highlight w:val="none"/>
              </w:rPr>
            </w:pPr>
            <w:r>
              <w:rPr>
                <w:rFonts w:hint="eastAsia"/>
                <w:color w:val="auto"/>
                <w:kern w:val="0"/>
                <w:sz w:val="24"/>
                <w:szCs w:val="21"/>
                <w:highlight w:val="none"/>
              </w:rPr>
              <w:t>项目水平衡图如下所示：</w:t>
            </w:r>
          </w:p>
          <w:p w14:paraId="5DEB596C">
            <w:pPr>
              <w:pStyle w:val="24"/>
              <w:keepNext w:val="0"/>
              <w:keepLines w:val="0"/>
              <w:pageBreakBefore w:val="0"/>
              <w:widowControl w:val="0"/>
              <w:kinsoku/>
              <w:wordWrap/>
              <w:overflowPunct/>
              <w:topLinePunct w:val="0"/>
              <w:autoSpaceDE/>
              <w:autoSpaceDN/>
              <w:bidi w:val="0"/>
              <w:adjustRightInd w:val="0"/>
              <w:snapToGrid w:val="0"/>
              <w:spacing w:after="0"/>
              <w:ind w:firstLine="480" w:firstLineChars="200"/>
              <w:textAlignment w:val="auto"/>
              <w:rPr>
                <w:color w:val="auto"/>
                <w:kern w:val="24"/>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26035</wp:posOffset>
                      </wp:positionV>
                      <wp:extent cx="612140" cy="416560"/>
                      <wp:effectExtent l="0" t="0" r="0" b="0"/>
                      <wp:wrapNone/>
                      <wp:docPr id="2" name="自选图形 16"/>
                      <wp:cNvGraphicFramePr/>
                      <a:graphic xmlns:a="http://schemas.openxmlformats.org/drawingml/2006/main">
                        <a:graphicData uri="http://schemas.microsoft.com/office/word/2010/wordprocessingShape">
                          <wps:wsp>
                            <wps:cNvSpPr/>
                            <wps:spPr>
                              <a:xfrm>
                                <a:off x="0" y="0"/>
                                <a:ext cx="612140" cy="416560"/>
                              </a:xfrm>
                              <a:prstGeom prst="flowChartProcess">
                                <a:avLst/>
                              </a:prstGeom>
                              <a:noFill/>
                              <a:ln>
                                <a:noFill/>
                              </a:ln>
                            </wps:spPr>
                            <wps:txbx>
                              <w:txbxContent>
                                <w:p w14:paraId="466748C5">
                                  <w:pPr>
                                    <w:jc w:val="center"/>
                                    <w:rPr>
                                      <w:rFonts w:hint="default" w:eastAsia="宋体"/>
                                      <w:lang w:val="en-US" w:eastAsia="zh-CN"/>
                                    </w:rPr>
                                  </w:pPr>
                                  <w:r>
                                    <w:rPr>
                                      <w:rFonts w:hint="eastAsia"/>
                                    </w:rPr>
                                    <w:t>自来水</w:t>
                                  </w:r>
                                  <w:r>
                                    <w:rPr>
                                      <w:rFonts w:hint="eastAsia"/>
                                      <w:lang w:val="en-US" w:eastAsia="zh-CN"/>
                                    </w:rPr>
                                    <w:t>32.16</w:t>
                                  </w:r>
                                </w:p>
                              </w:txbxContent>
                            </wps:txbx>
                            <wps:bodyPr upright="1"/>
                          </wps:wsp>
                        </a:graphicData>
                      </a:graphic>
                    </wp:anchor>
                  </w:drawing>
                </mc:Choice>
                <mc:Fallback>
                  <w:pict>
                    <v:shape id="自选图形 16" o:spid="_x0000_s1026" o:spt="109" type="#_x0000_t109" style="position:absolute;left:0pt;margin-left:8.4pt;margin-top:2.05pt;height:32.8pt;width:48.2pt;z-index:251660288;mso-width-relative:page;mso-height-relative:page;" filled="f" stroked="f" coordsize="21600,21600" o:gfxdata="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sa2tPT&#10;AAAABwEAAA8AAAAAAAAAAQAgAAAAIgAAAGRycy9kb3ducmV2LnhtbFBLAQIUABQAAAAIAIdO4kDh&#10;j9tXswEAAFMDAAAOAAAAAAAAAAEAIAAAACIBAABkcnMvZTJvRG9jLnhtbFBLBQYAAAAABgAGAFkB&#10;AABHBQAAAAA=&#10;">
                      <v:fill on="f" focussize="0,0"/>
                      <v:stroke on="f"/>
                      <v:imagedata o:title=""/>
                      <o:lock v:ext="edit" aspectratio="f"/>
                      <v:textbox>
                        <w:txbxContent>
                          <w:p w14:paraId="466748C5">
                            <w:pPr>
                              <w:jc w:val="center"/>
                              <w:rPr>
                                <w:rFonts w:hint="default" w:eastAsia="宋体"/>
                                <w:lang w:val="en-US" w:eastAsia="zh-CN"/>
                              </w:rPr>
                            </w:pPr>
                            <w:r>
                              <w:rPr>
                                <w:rFonts w:hint="eastAsia"/>
                              </w:rPr>
                              <w:t>自来水</w:t>
                            </w:r>
                            <w:r>
                              <w:rPr>
                                <w:rFonts w:hint="eastAsia"/>
                                <w:lang w:val="en-US" w:eastAsia="zh-CN"/>
                              </w:rPr>
                              <w:t>32.16</w:t>
                            </w:r>
                          </w:p>
                        </w:txbxContent>
                      </v:textbox>
                    </v:shape>
                  </w:pict>
                </mc:Fallback>
              </mc:AlternateContent>
            </w:r>
          </w:p>
          <w:p w14:paraId="7CE77EDF">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3122930</wp:posOffset>
                      </wp:positionH>
                      <wp:positionV relativeFrom="paragraph">
                        <wp:posOffset>224155</wp:posOffset>
                      </wp:positionV>
                      <wp:extent cx="510540" cy="673735"/>
                      <wp:effectExtent l="4445" t="4445" r="18415" b="7620"/>
                      <wp:wrapNone/>
                      <wp:docPr id="9" name="自选图形 137"/>
                      <wp:cNvGraphicFramePr/>
                      <a:graphic xmlns:a="http://schemas.openxmlformats.org/drawingml/2006/main">
                        <a:graphicData uri="http://schemas.microsoft.com/office/word/2010/wordprocessingShape">
                          <wps:wsp>
                            <wps:cNvSpPr/>
                            <wps:spPr>
                              <a:xfrm>
                                <a:off x="0" y="0"/>
                                <a:ext cx="510540" cy="67373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3076CE8">
                                  <w:pPr>
                                    <w:pStyle w:val="25"/>
                                    <w:ind w:left="0" w:leftChars="0" w:firstLine="0" w:firstLineChars="0"/>
                                    <w:jc w:val="both"/>
                                    <w:rPr>
                                      <w:rFonts w:hint="default" w:eastAsia="宋体"/>
                                      <w:lang w:val="en-US" w:eastAsia="zh-CN"/>
                                    </w:rPr>
                                  </w:pPr>
                                  <w:r>
                                    <w:rPr>
                                      <w:rFonts w:hint="eastAsia"/>
                                      <w:lang w:val="en-US" w:eastAsia="zh-CN"/>
                                    </w:rPr>
                                    <w:t>蒸汽发生器</w:t>
                                  </w:r>
                                </w:p>
                              </w:txbxContent>
                            </wps:txbx>
                            <wps:bodyPr upright="1"/>
                          </wps:wsp>
                        </a:graphicData>
                      </a:graphic>
                    </wp:anchor>
                  </w:drawing>
                </mc:Choice>
                <mc:Fallback>
                  <w:pict>
                    <v:shape id="自选图形 137" o:spid="_x0000_s1026" o:spt="109" type="#_x0000_t109" style="position:absolute;left:0pt;margin-left:245.9pt;margin-top:17.65pt;height:53.05pt;width:40.2pt;z-index:251666432;mso-width-relative:page;mso-height-relative:page;" fillcolor="#FFFFFF" filled="t" stroked="t" coordsize="21600,21600" o:gfxdata="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N2Wr2QAAAAoBAAAPAAAA&#10;AAAAAAEAIAAAACIAAABkcnMvZG93bnJldi54bWxQSwECFAAUAAAACACHTuJAPqv9xBQCAAA8BAAA&#10;DgAAAAAAAAABACAAAAAoAQAAZHJzL2Uyb0RvYy54bWxQSwUGAAAAAAYABgBZAQAArgUAAAAA&#10;">
                      <v:fill on="t" focussize="0,0"/>
                      <v:stroke color="#000000" joinstyle="miter"/>
                      <v:imagedata o:title=""/>
                      <o:lock v:ext="edit" aspectratio="f"/>
                      <v:textbox>
                        <w:txbxContent>
                          <w:p w14:paraId="33076CE8">
                            <w:pPr>
                              <w:pStyle w:val="25"/>
                              <w:ind w:left="0" w:leftChars="0" w:firstLine="0" w:firstLineChars="0"/>
                              <w:jc w:val="both"/>
                              <w:rPr>
                                <w:rFonts w:hint="default" w:eastAsia="宋体"/>
                                <w:lang w:val="en-US" w:eastAsia="zh-CN"/>
                              </w:rPr>
                            </w:pPr>
                            <w:r>
                              <w:rPr>
                                <w:rFonts w:hint="eastAsia"/>
                                <w:lang w:val="en-US" w:eastAsia="zh-CN"/>
                              </w:rPr>
                              <w:t>蒸汽发生器</w:t>
                            </w:r>
                          </w:p>
                        </w:txbxContent>
                      </v:textbox>
                    </v:shape>
                  </w:pict>
                </mc:Fallback>
              </mc:AlternateContent>
            </w:r>
            <w:r>
              <w:rPr>
                <w:color w:val="auto"/>
                <w:sz w:val="24"/>
                <w:highlight w:val="none"/>
              </w:rPr>
              <mc:AlternateContent>
                <mc:Choice Requires="wps">
                  <w:drawing>
                    <wp:anchor distT="0" distB="0" distL="114300" distR="114300" simplePos="0" relativeHeight="251715584" behindDoc="0" locked="0" layoutInCell="1" allowOverlap="1">
                      <wp:simplePos x="0" y="0"/>
                      <wp:positionH relativeFrom="column">
                        <wp:posOffset>1290320</wp:posOffset>
                      </wp:positionH>
                      <wp:positionV relativeFrom="paragraph">
                        <wp:posOffset>135890</wp:posOffset>
                      </wp:positionV>
                      <wp:extent cx="446405" cy="255270"/>
                      <wp:effectExtent l="0" t="0" r="0" b="0"/>
                      <wp:wrapNone/>
                      <wp:docPr id="57" name="自选图形 306"/>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455D46F8">
                                  <w:pPr>
                                    <w:jc w:val="center"/>
                                    <w:rPr>
                                      <w:rFonts w:hint="default" w:eastAsia="宋体"/>
                                      <w:lang w:val="en-US" w:eastAsia="zh-CN"/>
                                    </w:rPr>
                                  </w:pPr>
                                  <w:r>
                                    <w:rPr>
                                      <w:rFonts w:hint="eastAsia"/>
                                      <w:lang w:val="en-US" w:eastAsia="zh-CN"/>
                                    </w:rPr>
                                    <w:t>0.15</w:t>
                                  </w:r>
                                </w:p>
                              </w:txbxContent>
                            </wps:txbx>
                            <wps:bodyPr upright="1"/>
                          </wps:wsp>
                        </a:graphicData>
                      </a:graphic>
                    </wp:anchor>
                  </w:drawing>
                </mc:Choice>
                <mc:Fallback>
                  <w:pict>
                    <v:shape id="自选图形 306" o:spid="_x0000_s1026" o:spt="109" type="#_x0000_t109" style="position:absolute;left:0pt;margin-left:101.6pt;margin-top:10.7pt;height:20.1pt;width:35.15pt;z-index:251715584;mso-width-relative:page;mso-height-relative:page;" filled="f" stroked="f" coordsize="21600,21600" o:gfxdata="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6GPaTXAAAACQEAAA8AAAAAAAAAAQAgAAAAIgAAAGRycy9kb3ducmV2LnhtbFBLAQIUABQA&#10;AAAIAIdO4kC6KDTpuAEAAFUDAAAOAAAAAAAAAAEAIAAAACYBAABkcnMvZTJvRG9jLnhtbFBLBQYA&#10;AAAABgAGAFkBAABQBQAAAAA=&#10;">
                      <v:fill on="f" focussize="0,0"/>
                      <v:stroke on="f"/>
                      <v:imagedata o:title=""/>
                      <o:lock v:ext="edit" aspectratio="f"/>
                      <v:textbox>
                        <w:txbxContent>
                          <w:p w14:paraId="455D46F8">
                            <w:pPr>
                              <w:jc w:val="center"/>
                              <w:rPr>
                                <w:rFonts w:hint="default" w:eastAsia="宋体"/>
                                <w:lang w:val="en-US" w:eastAsia="zh-CN"/>
                              </w:rPr>
                            </w:pPr>
                            <w:r>
                              <w:rPr>
                                <w:rFonts w:hint="eastAsia"/>
                                <w:lang w:val="en-US" w:eastAsia="zh-CN"/>
                              </w:rPr>
                              <w:t>0.15</w:t>
                            </w:r>
                          </w:p>
                        </w:txbxContent>
                      </v:textbox>
                    </v:shape>
                  </w:pict>
                </mc:Fallback>
              </mc:AlternateContent>
            </w: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4566920</wp:posOffset>
                      </wp:positionH>
                      <wp:positionV relativeFrom="paragraph">
                        <wp:posOffset>15875</wp:posOffset>
                      </wp:positionV>
                      <wp:extent cx="446405" cy="255270"/>
                      <wp:effectExtent l="0" t="0" r="0" b="0"/>
                      <wp:wrapNone/>
                      <wp:docPr id="12" name="自选图形 146"/>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6E902462">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146" o:spid="_x0000_s1026" o:spt="109" type="#_x0000_t109" style="position:absolute;left:0pt;margin-left:359.6pt;margin-top:1.25pt;height:20.1pt;width:35.15pt;z-index:251669504;mso-width-relative:page;mso-height-relative:page;" filled="f" stroked="f" coordsize="21600,21600" o:gfxdata="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fLTMdcAAAAIAQAADwAAAAAAAAABACAAAAAiAAAAZHJzL2Rvd25yZXYueG1sUEsBAhQAFAAA&#10;AAgAh07iQKJ3o123AQAAVQMAAA4AAAAAAAAAAQAgAAAAJgEAAGRycy9lMm9Eb2MueG1sUEsFBgAA&#10;AAAGAAYAWQEAAE8FAAAAAA==&#10;">
                      <v:fill on="f" focussize="0,0"/>
                      <v:stroke on="f"/>
                      <v:imagedata o:title=""/>
                      <o:lock v:ext="edit" aspectratio="f"/>
                      <v:textbox>
                        <w:txbxContent>
                          <w:p w14:paraId="6E902462">
                            <w:pPr>
                              <w:jc w:val="center"/>
                              <w:rPr>
                                <w:rFonts w:hint="default" w:eastAsia="宋体"/>
                                <w:lang w:val="en-US" w:eastAsia="zh-CN"/>
                              </w:rPr>
                            </w:pPr>
                            <w:r>
                              <w:rPr>
                                <w:rFonts w:hint="eastAsia"/>
                                <w:lang w:val="en-US" w:eastAsia="zh-CN"/>
                              </w:rPr>
                              <w:t>30</w:t>
                            </w:r>
                          </w:p>
                        </w:txbxContent>
                      </v:textbox>
                    </v:shape>
                  </w:pict>
                </mc:Fallback>
              </mc:AlternateContent>
            </w: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4580890</wp:posOffset>
                      </wp:positionH>
                      <wp:positionV relativeFrom="paragraph">
                        <wp:posOffset>225425</wp:posOffset>
                      </wp:positionV>
                      <wp:extent cx="177165" cy="120015"/>
                      <wp:effectExtent l="6350" t="0" r="26035" b="13335"/>
                      <wp:wrapNone/>
                      <wp:docPr id="11" name="任意多边形 145"/>
                      <wp:cNvGraphicFramePr/>
                      <a:graphic xmlns:a="http://schemas.openxmlformats.org/drawingml/2006/main">
                        <a:graphicData uri="http://schemas.microsoft.com/office/word/2010/wordprocessingShape">
                          <wps:wsp>
                            <wps:cNvSpPr/>
                            <wps:spPr>
                              <a:xfrm>
                                <a:off x="0" y="0"/>
                                <a:ext cx="177165" cy="120015"/>
                              </a:xfrm>
                              <a:custGeom>
                                <a:avLst/>
                                <a:gdLst/>
                                <a:ahLst/>
                                <a:cxnLst/>
                                <a:pathLst>
                                  <a:path w="641" h="434">
                                    <a:moveTo>
                                      <a:pt x="0" y="341"/>
                                    </a:moveTo>
                                    <a:cubicBezTo>
                                      <a:pt x="56" y="307"/>
                                      <a:pt x="202" y="180"/>
                                      <a:pt x="300" y="191"/>
                                    </a:cubicBezTo>
                                    <a:cubicBezTo>
                                      <a:pt x="398" y="202"/>
                                      <a:pt x="423" y="434"/>
                                      <a:pt x="491" y="396"/>
                                    </a:cubicBezTo>
                                    <a:cubicBezTo>
                                      <a:pt x="559" y="358"/>
                                      <a:pt x="608" y="104"/>
                                      <a:pt x="641" y="0"/>
                                    </a:cubicBezTo>
                                  </a:path>
                                </a:pathLst>
                              </a:custGeom>
                              <a:noFill/>
                              <a:ln w="9525" cap="sq" cmpd="sng">
                                <a:solidFill>
                                  <a:srgbClr val="000000"/>
                                </a:solidFill>
                                <a:prstDash val="sysDot"/>
                                <a:headEnd type="none" w="med" len="med"/>
                                <a:tailEnd type="triangle" w="med" len="med"/>
                              </a:ln>
                            </wps:spPr>
                            <wps:bodyPr upright="1"/>
                          </wps:wsp>
                        </a:graphicData>
                      </a:graphic>
                    </wp:anchor>
                  </w:drawing>
                </mc:Choice>
                <mc:Fallback>
                  <w:pict>
                    <v:shape id="任意多边形 145" o:spid="_x0000_s1026" o:spt="100" style="position:absolute;left:0pt;margin-left:360.7pt;margin-top:17.75pt;height:9.45pt;width:13.95pt;z-index:251668480;mso-width-relative:page;mso-height-relative:page;" filled="f" stroked="t" coordsize="641,434" o:gfxdata="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kpQGfYAAAACQEAAA8AAAAAAAAAAQAgAAAAIgAAAGRycy9kb3ducmV2LnhtbFBLAQIU&#10;ABQAAAAIAIdO4kBzF/4GngIAAJEFAAAOAAAAAAAAAAEAIAAAACcBAABkcnMvZTJvRG9jLnhtbFBL&#10;BQYAAAAABgAGAFkBAAA3BgAAAAA=&#10;" path="m0,341c56,307,202,180,300,191c398,202,423,434,491,396c559,358,608,104,641,0e">
                      <v:fill on="f" focussize="0,0"/>
                      <v:stroke color="#000000" joinstyle="round" dashstyle="1 1" endcap="square" endarrow="block"/>
                      <v:imagedata o:title=""/>
                      <o:lock v:ext="edit" aspectratio="f"/>
                    </v:shape>
                  </w:pict>
                </mc:Fallback>
              </mc:AlternateContent>
            </w:r>
            <w:r>
              <w:rPr>
                <w:color w:val="auto"/>
                <w:sz w:val="24"/>
                <w:highlight w:val="none"/>
              </w:rPr>
              <mc:AlternateContent>
                <mc:Choice Requires="wps">
                  <w:drawing>
                    <wp:anchor distT="0" distB="0" distL="114300" distR="114300" simplePos="0" relativeHeight="251686912" behindDoc="0" locked="0" layoutInCell="1" allowOverlap="1">
                      <wp:simplePos x="0" y="0"/>
                      <wp:positionH relativeFrom="column">
                        <wp:posOffset>395605</wp:posOffset>
                      </wp:positionH>
                      <wp:positionV relativeFrom="paragraph">
                        <wp:posOffset>114935</wp:posOffset>
                      </wp:positionV>
                      <wp:extent cx="11430" cy="2679700"/>
                      <wp:effectExtent l="4445" t="0" r="22225" b="6350"/>
                      <wp:wrapNone/>
                      <wp:docPr id="29" name="直线 220"/>
                      <wp:cNvGraphicFramePr/>
                      <a:graphic xmlns:a="http://schemas.openxmlformats.org/drawingml/2006/main">
                        <a:graphicData uri="http://schemas.microsoft.com/office/word/2010/wordprocessingShape">
                          <wps:wsp>
                            <wps:cNvCnPr/>
                            <wps:spPr>
                              <a:xfrm>
                                <a:off x="0" y="0"/>
                                <a:ext cx="11430" cy="26797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0" o:spid="_x0000_s1026" o:spt="20" style="position:absolute;left:0pt;margin-left:31.15pt;margin-top:9.05pt;height:211pt;width:0.9pt;z-index:251686912;mso-width-relative:page;mso-height-relative:page;" filled="f" stroked="t" coordsize="21600,21600" o:gfxdata="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b9/ADXAAAACAEAAA8AAAAAAAAAAQAgAAAAIgAAAGRycy9kb3ducmV2LnhtbFBLAQIUABQAAAAI&#10;AIdO4kCqbPmR7gEAAOIDAAAOAAAAAAAAAAEAIAAAACYBAABkcnMvZTJvRG9jLnhtbFBLBQYAAAAA&#10;BgAGAFkBAACGBQAAAAA=&#10;">
                      <v:fill on="f" focussize="0,0"/>
                      <v:stroke color="#000000" joinstyle="round"/>
                      <v:imagedata o:title=""/>
                      <o:lock v:ext="edit" aspectratio="f"/>
                    </v:line>
                  </w:pict>
                </mc:Fallback>
              </mc:AlternateContent>
            </w:r>
          </w:p>
          <w:p w14:paraId="12AB29E0">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714560" behindDoc="0" locked="0" layoutInCell="1" allowOverlap="1">
                      <wp:simplePos x="0" y="0"/>
                      <wp:positionH relativeFrom="column">
                        <wp:posOffset>1237615</wp:posOffset>
                      </wp:positionH>
                      <wp:positionV relativeFrom="paragraph">
                        <wp:posOffset>132080</wp:posOffset>
                      </wp:positionV>
                      <wp:extent cx="177165" cy="120015"/>
                      <wp:effectExtent l="6350" t="0" r="26035" b="13335"/>
                      <wp:wrapNone/>
                      <wp:docPr id="56" name="任意多边形 305"/>
                      <wp:cNvGraphicFramePr/>
                      <a:graphic xmlns:a="http://schemas.openxmlformats.org/drawingml/2006/main">
                        <a:graphicData uri="http://schemas.microsoft.com/office/word/2010/wordprocessingShape">
                          <wps:wsp>
                            <wps:cNvSpPr/>
                            <wps:spPr>
                              <a:xfrm>
                                <a:off x="0" y="0"/>
                                <a:ext cx="177165" cy="120015"/>
                              </a:xfrm>
                              <a:custGeom>
                                <a:avLst/>
                                <a:gdLst/>
                                <a:ahLst/>
                                <a:cxnLst/>
                                <a:pathLst>
                                  <a:path w="641" h="434">
                                    <a:moveTo>
                                      <a:pt x="0" y="341"/>
                                    </a:moveTo>
                                    <a:cubicBezTo>
                                      <a:pt x="56" y="307"/>
                                      <a:pt x="202" y="180"/>
                                      <a:pt x="300" y="191"/>
                                    </a:cubicBezTo>
                                    <a:cubicBezTo>
                                      <a:pt x="398" y="202"/>
                                      <a:pt x="423" y="434"/>
                                      <a:pt x="491" y="396"/>
                                    </a:cubicBezTo>
                                    <a:cubicBezTo>
                                      <a:pt x="559" y="358"/>
                                      <a:pt x="608" y="104"/>
                                      <a:pt x="641" y="0"/>
                                    </a:cubicBezTo>
                                  </a:path>
                                </a:pathLst>
                              </a:custGeom>
                              <a:noFill/>
                              <a:ln w="9525" cap="sq" cmpd="sng">
                                <a:solidFill>
                                  <a:srgbClr val="000000"/>
                                </a:solidFill>
                                <a:prstDash val="sysDot"/>
                                <a:headEnd type="none" w="med" len="med"/>
                                <a:tailEnd type="triangle" w="med" len="med"/>
                              </a:ln>
                            </wps:spPr>
                            <wps:bodyPr upright="1"/>
                          </wps:wsp>
                        </a:graphicData>
                      </a:graphic>
                    </wp:anchor>
                  </w:drawing>
                </mc:Choice>
                <mc:Fallback>
                  <w:pict>
                    <v:shape id="任意多边形 305" o:spid="_x0000_s1026" o:spt="100" style="position:absolute;left:0pt;margin-left:97.45pt;margin-top:10.4pt;height:9.45pt;width:13.95pt;z-index:251714560;mso-width-relative:page;mso-height-relative:page;" filled="f" stroked="t" coordsize="641,434" o:gfxdata="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NlhCNNUAAAAJAQAADwAAAAAAAAABACAAAAAiAAAAZHJzL2Rvd25yZXYueG1sUEsBAhQAFAAA&#10;AAgAh07iQFem8AedAgAAkQUAAA4AAAAAAAAAAQAgAAAAJAEAAGRycy9lMm9Eb2MueG1sUEsFBgAA&#10;AAAGAAYAWQEAADMGAAAAAA==&#10;" path="m0,341c56,307,202,180,300,191c398,202,423,434,491,396c559,358,608,104,641,0e">
                      <v:fill on="f" focussize="0,0"/>
                      <v:stroke color="#000000" joinstyle="round" dashstyle="1 1" endcap="square" endarrow="block"/>
                      <v:imagedata o:title=""/>
                      <o:lock v:ext="edit" aspectratio="f"/>
                    </v:shape>
                  </w:pict>
                </mc:Fallback>
              </mc:AlternateContent>
            </w: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4063365</wp:posOffset>
                      </wp:positionH>
                      <wp:positionV relativeFrom="paragraph">
                        <wp:posOffset>73660</wp:posOffset>
                      </wp:positionV>
                      <wp:extent cx="1080135" cy="598170"/>
                      <wp:effectExtent l="5080" t="4445" r="19685" b="6985"/>
                      <wp:wrapNone/>
                      <wp:docPr id="13" name="自选图形 149"/>
                      <wp:cNvGraphicFramePr/>
                      <a:graphic xmlns:a="http://schemas.openxmlformats.org/drawingml/2006/main">
                        <a:graphicData uri="http://schemas.microsoft.com/office/word/2010/wordprocessingShape">
                          <wps:wsp>
                            <wps:cNvSpPr/>
                            <wps:spPr>
                              <a:xfrm>
                                <a:off x="0" y="0"/>
                                <a:ext cx="1080135" cy="5981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A0D9A82">
                                  <w:pPr>
                                    <w:rPr>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玉溪钧澄经贸有限公司</w:t>
                                  </w:r>
                                  <w:r>
                                    <w:rPr>
                                      <w:rFonts w:hint="eastAsia" w:ascii="宋体" w:hAnsi="宋体" w:cs="宋体"/>
                                      <w:color w:val="000000" w:themeColor="text1"/>
                                      <w:szCs w:val="21"/>
                                      <w14:textFill>
                                        <w14:solidFill>
                                          <w14:schemeClr w14:val="tx1"/>
                                        </w14:solidFill>
                                      </w14:textFill>
                                    </w:rPr>
                                    <w:t>使用</w:t>
                                  </w:r>
                                </w:p>
                                <w:p w14:paraId="50A6F4C7"/>
                              </w:txbxContent>
                            </wps:txbx>
                            <wps:bodyPr upright="1"/>
                          </wps:wsp>
                        </a:graphicData>
                      </a:graphic>
                    </wp:anchor>
                  </w:drawing>
                </mc:Choice>
                <mc:Fallback>
                  <w:pict>
                    <v:shape id="自选图形 149" o:spid="_x0000_s1026" o:spt="109" type="#_x0000_t109" style="position:absolute;left:0pt;margin-left:319.95pt;margin-top:5.8pt;height:47.1pt;width:85.05pt;z-index:251670528;mso-width-relative:page;mso-height-relative:page;" fillcolor="#FFFFFF" filled="t" stroked="t" coordsize="21600,21600" o:gfxdata="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QMW47ZAAAACgEA&#10;AA8AAAAAAAAAAQAgAAAAIgAAAGRycy9kb3ducmV2LnhtbFBLAQIUABQAAAAIAIdO4kDO3DhqGQIA&#10;AD4EAAAOAAAAAAAAAAEAIAAAACgBAABkcnMvZTJvRG9jLnhtbFBLBQYAAAAABgAGAFkBAACzBQAA&#10;AAA=&#10;">
                      <v:fill on="t" focussize="0,0"/>
                      <v:stroke color="#000000" joinstyle="miter"/>
                      <v:imagedata o:title=""/>
                      <o:lock v:ext="edit" aspectratio="f"/>
                      <v:textbox>
                        <w:txbxContent>
                          <w:p w14:paraId="0A0D9A82">
                            <w:pPr>
                              <w:rPr>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玉溪钧澄经贸有限公司</w:t>
                            </w:r>
                            <w:r>
                              <w:rPr>
                                <w:rFonts w:hint="eastAsia" w:ascii="宋体" w:hAnsi="宋体" w:cs="宋体"/>
                                <w:color w:val="000000" w:themeColor="text1"/>
                                <w:szCs w:val="21"/>
                                <w14:textFill>
                                  <w14:solidFill>
                                    <w14:schemeClr w14:val="tx1"/>
                                  </w14:solidFill>
                                </w14:textFill>
                              </w:rPr>
                              <w:t>使用</w:t>
                            </w:r>
                          </w:p>
                          <w:p w14:paraId="50A6F4C7"/>
                        </w:txbxContent>
                      </v:textbox>
                    </v:shape>
                  </w:pict>
                </mc:Fallback>
              </mc:AlternateContent>
            </w:r>
            <w:r>
              <w:rPr>
                <w:color w:val="auto"/>
                <w:sz w:val="24"/>
                <w:highlight w:val="none"/>
              </w:rPr>
              <mc:AlternateContent>
                <mc:Choice Requires="wps">
                  <w:drawing>
                    <wp:anchor distT="0" distB="0" distL="114300" distR="114300" simplePos="0" relativeHeight="251685888" behindDoc="0" locked="0" layoutInCell="1" allowOverlap="1">
                      <wp:simplePos x="0" y="0"/>
                      <wp:positionH relativeFrom="column">
                        <wp:posOffset>1577340</wp:posOffset>
                      </wp:positionH>
                      <wp:positionV relativeFrom="paragraph">
                        <wp:posOffset>164465</wp:posOffset>
                      </wp:positionV>
                      <wp:extent cx="617855" cy="255270"/>
                      <wp:effectExtent l="0" t="0" r="0" b="0"/>
                      <wp:wrapNone/>
                      <wp:docPr id="28" name="自选图形 180"/>
                      <wp:cNvGraphicFramePr/>
                      <a:graphic xmlns:a="http://schemas.openxmlformats.org/drawingml/2006/main">
                        <a:graphicData uri="http://schemas.microsoft.com/office/word/2010/wordprocessingShape">
                          <wps:wsp>
                            <wps:cNvSpPr/>
                            <wps:spPr>
                              <a:xfrm>
                                <a:off x="0" y="0"/>
                                <a:ext cx="617855" cy="255270"/>
                              </a:xfrm>
                              <a:prstGeom prst="flowChartProcess">
                                <a:avLst/>
                              </a:prstGeom>
                              <a:noFill/>
                              <a:ln>
                                <a:noFill/>
                              </a:ln>
                            </wps:spPr>
                            <wps:txbx>
                              <w:txbxContent>
                                <w:p w14:paraId="637D5A6A">
                                  <w:pPr>
                                    <w:jc w:val="center"/>
                                    <w:rPr>
                                      <w:rFonts w:hint="default" w:eastAsia="宋体"/>
                                      <w:lang w:val="en-US" w:eastAsia="zh-CN"/>
                                    </w:rPr>
                                  </w:pPr>
                                  <w:r>
                                    <w:rPr>
                                      <w:rFonts w:hint="eastAsia"/>
                                      <w:lang w:val="en-US" w:eastAsia="zh-CN"/>
                                    </w:rPr>
                                    <w:t>30.6</w:t>
                                  </w:r>
                                </w:p>
                              </w:txbxContent>
                            </wps:txbx>
                            <wps:bodyPr upright="1"/>
                          </wps:wsp>
                        </a:graphicData>
                      </a:graphic>
                    </wp:anchor>
                  </w:drawing>
                </mc:Choice>
                <mc:Fallback>
                  <w:pict>
                    <v:shape id="自选图形 180" o:spid="_x0000_s1026" o:spt="109" type="#_x0000_t109" style="position:absolute;left:0pt;margin-left:124.2pt;margin-top:12.95pt;height:20.1pt;width:48.65pt;z-index:251685888;mso-width-relative:page;mso-height-relative:page;" filled="f" stroked="f" coordsize="21600,21600" o:gfxdata="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tIG1wAAAAkBAAAPAAAAAAAAAAEAIAAAACIAAABkcnMvZG93bnJldi54bWxQSwECFAAUAAAA&#10;CACHTuJAzT2UWLYBAABVAwAADgAAAAAAAAABACAAAAAmAQAAZHJzL2Uyb0RvYy54bWxQSwUGAAAA&#10;AAYABgBZAQAATgUAAAAA&#10;">
                      <v:fill on="f" focussize="0,0"/>
                      <v:stroke on="f"/>
                      <v:imagedata o:title=""/>
                      <o:lock v:ext="edit" aspectratio="f"/>
                      <v:textbox>
                        <w:txbxContent>
                          <w:p w14:paraId="637D5A6A">
                            <w:pPr>
                              <w:jc w:val="center"/>
                              <w:rPr>
                                <w:rFonts w:hint="default" w:eastAsia="宋体"/>
                                <w:lang w:val="en-US" w:eastAsia="zh-CN"/>
                              </w:rPr>
                            </w:pPr>
                            <w:r>
                              <w:rPr>
                                <w:rFonts w:hint="eastAsia"/>
                                <w:lang w:val="en-US" w:eastAsia="zh-CN"/>
                              </w:rPr>
                              <w:t>30.6</w:t>
                            </w:r>
                          </w:p>
                        </w:txbxContent>
                      </v:textbox>
                    </v:shape>
                  </w:pict>
                </mc:Fallback>
              </mc:AlternateContent>
            </w:r>
            <w:r>
              <w:rPr>
                <w:color w:val="auto"/>
                <w:sz w:val="24"/>
                <w:highlight w:val="none"/>
              </w:rPr>
              <mc:AlternateContent>
                <mc:Choice Requires="wps">
                  <w:drawing>
                    <wp:anchor distT="0" distB="0" distL="114300" distR="114300" simplePos="0" relativeHeight="251696128" behindDoc="0" locked="0" layoutInCell="1" allowOverlap="1">
                      <wp:simplePos x="0" y="0"/>
                      <wp:positionH relativeFrom="column">
                        <wp:posOffset>297815</wp:posOffset>
                      </wp:positionH>
                      <wp:positionV relativeFrom="paragraph">
                        <wp:posOffset>145415</wp:posOffset>
                      </wp:positionV>
                      <wp:extent cx="617855" cy="255270"/>
                      <wp:effectExtent l="0" t="0" r="0" b="0"/>
                      <wp:wrapNone/>
                      <wp:docPr id="38" name="自选图形 269"/>
                      <wp:cNvGraphicFramePr/>
                      <a:graphic xmlns:a="http://schemas.openxmlformats.org/drawingml/2006/main">
                        <a:graphicData uri="http://schemas.microsoft.com/office/word/2010/wordprocessingShape">
                          <wps:wsp>
                            <wps:cNvSpPr/>
                            <wps:spPr>
                              <a:xfrm>
                                <a:off x="0" y="0"/>
                                <a:ext cx="617855" cy="255270"/>
                              </a:xfrm>
                              <a:prstGeom prst="flowChartProcess">
                                <a:avLst/>
                              </a:prstGeom>
                              <a:noFill/>
                              <a:ln>
                                <a:noFill/>
                              </a:ln>
                            </wps:spPr>
                            <wps:txbx>
                              <w:txbxContent>
                                <w:p w14:paraId="65439E19">
                                  <w:pPr>
                                    <w:jc w:val="center"/>
                                    <w:rPr>
                                      <w:rFonts w:hint="default" w:eastAsia="宋体"/>
                                      <w:lang w:val="en-US" w:eastAsia="zh-CN"/>
                                    </w:rPr>
                                  </w:pPr>
                                  <w:r>
                                    <w:rPr>
                                      <w:rFonts w:hint="eastAsia"/>
                                      <w:lang w:val="en-US" w:eastAsia="zh-CN"/>
                                    </w:rPr>
                                    <w:t>32.1</w:t>
                                  </w:r>
                                </w:p>
                              </w:txbxContent>
                            </wps:txbx>
                            <wps:bodyPr upright="1"/>
                          </wps:wsp>
                        </a:graphicData>
                      </a:graphic>
                    </wp:anchor>
                  </w:drawing>
                </mc:Choice>
                <mc:Fallback>
                  <w:pict>
                    <v:shape id="自选图形 269" o:spid="_x0000_s1026" o:spt="109" type="#_x0000_t109" style="position:absolute;left:0pt;margin-left:23.45pt;margin-top:11.45pt;height:20.1pt;width:48.65pt;z-index:251696128;mso-width-relative:page;mso-height-relative:page;" filled="f" stroked="f" coordsize="21600,21600" o:gfxdata="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X01VD1gAAAAgBAAAPAAAAAAAAAAEAIAAAACIAAABkcnMvZG93bnJldi54bWxQSwECFAAUAAAA&#10;CACHTuJAWZ0w3bcBAABVAwAADgAAAAAAAAABACAAAAAlAQAAZHJzL2Uyb0RvYy54bWxQSwUGAAAA&#10;AAYABgBZAQAATgUAAAAA&#10;">
                      <v:fill on="f" focussize="0,0"/>
                      <v:stroke on="f"/>
                      <v:imagedata o:title=""/>
                      <o:lock v:ext="edit" aspectratio="f"/>
                      <v:textbox>
                        <w:txbxContent>
                          <w:p w14:paraId="65439E19">
                            <w:pPr>
                              <w:jc w:val="center"/>
                              <w:rPr>
                                <w:rFonts w:hint="default" w:eastAsia="宋体"/>
                                <w:lang w:val="en-US" w:eastAsia="zh-CN"/>
                              </w:rPr>
                            </w:pPr>
                            <w:r>
                              <w:rPr>
                                <w:rFonts w:hint="eastAsia"/>
                                <w:lang w:val="en-US" w:eastAsia="zh-CN"/>
                              </w:rPr>
                              <w:t>32.1</w:t>
                            </w:r>
                          </w:p>
                        </w:txbxContent>
                      </v:textbox>
                    </v:shape>
                  </w:pict>
                </mc:Fallback>
              </mc:AlternateContent>
            </w:r>
            <w:r>
              <w:rPr>
                <w:color w:val="auto"/>
                <w:sz w:val="24"/>
                <w:highlight w:val="none"/>
              </w:rPr>
              <mc:AlternateContent>
                <mc:Choice Requires="wps">
                  <w:drawing>
                    <wp:anchor distT="0" distB="0" distL="114300" distR="114300" simplePos="0" relativeHeight="251672576" behindDoc="0" locked="0" layoutInCell="1" allowOverlap="1">
                      <wp:simplePos x="0" y="0"/>
                      <wp:positionH relativeFrom="column">
                        <wp:posOffset>2615565</wp:posOffset>
                      </wp:positionH>
                      <wp:positionV relativeFrom="paragraph">
                        <wp:posOffset>193040</wp:posOffset>
                      </wp:positionV>
                      <wp:extent cx="617855" cy="255270"/>
                      <wp:effectExtent l="0" t="0" r="0" b="0"/>
                      <wp:wrapNone/>
                      <wp:docPr id="15" name="自选图形 158"/>
                      <wp:cNvGraphicFramePr/>
                      <a:graphic xmlns:a="http://schemas.openxmlformats.org/drawingml/2006/main">
                        <a:graphicData uri="http://schemas.microsoft.com/office/word/2010/wordprocessingShape">
                          <wps:wsp>
                            <wps:cNvSpPr/>
                            <wps:spPr>
                              <a:xfrm>
                                <a:off x="0" y="0"/>
                                <a:ext cx="617855" cy="255270"/>
                              </a:xfrm>
                              <a:prstGeom prst="flowChartProcess">
                                <a:avLst/>
                              </a:prstGeom>
                              <a:noFill/>
                              <a:ln>
                                <a:noFill/>
                              </a:ln>
                            </wps:spPr>
                            <wps:txbx>
                              <w:txbxContent>
                                <w:p w14:paraId="586321BC">
                                  <w:pPr>
                                    <w:jc w:val="center"/>
                                    <w:rPr>
                                      <w:rFonts w:hint="default" w:eastAsia="宋体"/>
                                      <w:lang w:val="en-US" w:eastAsia="zh-CN"/>
                                    </w:rPr>
                                  </w:pPr>
                                  <w:r>
                                    <w:rPr>
                                      <w:rFonts w:hint="eastAsia"/>
                                      <w:lang w:val="en-US" w:eastAsia="zh-CN"/>
                                    </w:rPr>
                                    <w:t>30.6</w:t>
                                  </w:r>
                                </w:p>
                              </w:txbxContent>
                            </wps:txbx>
                            <wps:bodyPr upright="1"/>
                          </wps:wsp>
                        </a:graphicData>
                      </a:graphic>
                    </wp:anchor>
                  </w:drawing>
                </mc:Choice>
                <mc:Fallback>
                  <w:pict>
                    <v:shape id="自选图形 158" o:spid="_x0000_s1026" o:spt="109" type="#_x0000_t109" style="position:absolute;left:0pt;margin-left:205.95pt;margin-top:15.2pt;height:20.1pt;width:48.65pt;z-index:251672576;mso-width-relative:page;mso-height-relative:page;" filled="f" stroked="f" coordsize="21600,21600" o:gfxdata="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F0Wc9cAAAAJAQAADwAAAAAAAAABACAAAAAiAAAAZHJzL2Rvd25yZXYueG1sUEsBAhQAFAAA&#10;AAgAh07iQNaR7gu3AQAAVQMAAA4AAAAAAAAAAQAgAAAAJgEAAGRycy9lMm9Eb2MueG1sUEsFBgAA&#10;AAAGAAYAWQEAAE8FAAAAAA==&#10;">
                      <v:fill on="f" focussize="0,0"/>
                      <v:stroke on="f"/>
                      <v:imagedata o:title=""/>
                      <o:lock v:ext="edit" aspectratio="f"/>
                      <v:textbox>
                        <w:txbxContent>
                          <w:p w14:paraId="586321BC">
                            <w:pPr>
                              <w:jc w:val="center"/>
                              <w:rPr>
                                <w:rFonts w:hint="default" w:eastAsia="宋体"/>
                                <w:lang w:val="en-US" w:eastAsia="zh-CN"/>
                              </w:rPr>
                            </w:pPr>
                            <w:r>
                              <w:rPr>
                                <w:rFonts w:hint="eastAsia"/>
                                <w:lang w:val="en-US" w:eastAsia="zh-CN"/>
                              </w:rPr>
                              <w:t>30.6</w:t>
                            </w:r>
                          </w:p>
                        </w:txbxContent>
                      </v:textbox>
                    </v:shape>
                  </w:pict>
                </mc:Fallback>
              </mc:AlternateContent>
            </w:r>
            <w:r>
              <w:rPr>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3596640</wp:posOffset>
                      </wp:positionH>
                      <wp:positionV relativeFrom="paragraph">
                        <wp:posOffset>193040</wp:posOffset>
                      </wp:positionV>
                      <wp:extent cx="446405" cy="255270"/>
                      <wp:effectExtent l="0" t="0" r="0" b="0"/>
                      <wp:wrapNone/>
                      <wp:docPr id="14" name="自选图形 157"/>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3AD5DBA0">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157" o:spid="_x0000_s1026" o:spt="109" type="#_x0000_t109" style="position:absolute;left:0pt;margin-left:283.2pt;margin-top:15.2pt;height:20.1pt;width:35.15pt;z-index:251671552;mso-width-relative:page;mso-height-relative:page;" filled="f" stroked="f" coordsize="21600,21600" o:gfxdata="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34YjdYAAAAJAQAADwAAAAAAAAABACAAAAAiAAAAZHJzL2Rvd25yZXYueG1sUEsBAhQAFAAA&#10;AAgAh07iQDMAmDe4AQAAVQMAAA4AAAAAAAAAAQAgAAAAJQEAAGRycy9lMm9Eb2MueG1sUEsFBgAA&#10;AAAGAAYAWQEAAE8FAAAAAA==&#10;">
                      <v:fill on="f" focussize="0,0"/>
                      <v:stroke on="f"/>
                      <v:imagedata o:title=""/>
                      <o:lock v:ext="edit" aspectratio="f"/>
                      <v:textbox>
                        <w:txbxContent>
                          <w:p w14:paraId="3AD5DBA0">
                            <w:pPr>
                              <w:jc w:val="center"/>
                              <w:rPr>
                                <w:rFonts w:hint="default" w:eastAsia="宋体"/>
                                <w:lang w:val="en-US" w:eastAsia="zh-CN"/>
                              </w:rPr>
                            </w:pPr>
                            <w:r>
                              <w:rPr>
                                <w:rFonts w:hint="eastAsia"/>
                                <w:lang w:val="en-US" w:eastAsia="zh-CN"/>
                              </w:rPr>
                              <w:t>30</w:t>
                            </w:r>
                          </w:p>
                        </w:txbxContent>
                      </v:textbox>
                    </v:shape>
                  </w:pict>
                </mc:Fallback>
              </mc:AlternateContent>
            </w: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2075180</wp:posOffset>
                      </wp:positionH>
                      <wp:positionV relativeFrom="paragraph">
                        <wp:posOffset>247650</wp:posOffset>
                      </wp:positionV>
                      <wp:extent cx="681355" cy="267335"/>
                      <wp:effectExtent l="4445" t="4445" r="19050" b="13970"/>
                      <wp:wrapNone/>
                      <wp:docPr id="7" name="自选图形 135"/>
                      <wp:cNvGraphicFramePr/>
                      <a:graphic xmlns:a="http://schemas.openxmlformats.org/drawingml/2006/main">
                        <a:graphicData uri="http://schemas.microsoft.com/office/word/2010/wordprocessingShape">
                          <wps:wsp>
                            <wps:cNvSpPr/>
                            <wps:spPr>
                              <a:xfrm>
                                <a:off x="0" y="0"/>
                                <a:ext cx="681355" cy="26733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B4A198D">
                                  <w:pPr>
                                    <w:pStyle w:val="25"/>
                                    <w:ind w:left="0" w:leftChars="0" w:firstLine="0" w:firstLineChars="0"/>
                                    <w:jc w:val="both"/>
                                  </w:pPr>
                                  <w:r>
                                    <w:rPr>
                                      <w:rFonts w:hint="eastAsia"/>
                                    </w:rPr>
                                    <w:t>软水箱</w:t>
                                  </w:r>
                                </w:p>
                              </w:txbxContent>
                            </wps:txbx>
                            <wps:bodyPr upright="1"/>
                          </wps:wsp>
                        </a:graphicData>
                      </a:graphic>
                    </wp:anchor>
                  </w:drawing>
                </mc:Choice>
                <mc:Fallback>
                  <w:pict>
                    <v:shape id="自选图形 135" o:spid="_x0000_s1026" o:spt="109" type="#_x0000_t109" style="position:absolute;left:0pt;margin-left:163.4pt;margin-top:19.5pt;height:21.05pt;width:53.65pt;z-index:251664384;mso-width-relative:page;mso-height-relative:page;" fillcolor="#FFFFFF" filled="t" stroked="t" coordsize="21600,21600" o:gfxdata="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SVsHNkAAAAJAQAADwAA&#10;AAAAAAABACAAAAAiAAAAZHJzL2Rvd25yZXYueG1sUEsBAhQAFAAAAAgAh07iQLKN5vMVAgAAPAQA&#10;AA4AAAAAAAAAAQAgAAAAKAEAAGRycy9lMm9Eb2MueG1sUEsFBgAAAAAGAAYAWQEAAK8FAAAAAA==&#10;">
                      <v:fill on="t" focussize="0,0"/>
                      <v:stroke color="#000000" joinstyle="miter"/>
                      <v:imagedata o:title=""/>
                      <o:lock v:ext="edit" aspectratio="f"/>
                      <v:textbox>
                        <w:txbxContent>
                          <w:p w14:paraId="4B4A198D">
                            <w:pPr>
                              <w:pStyle w:val="25"/>
                              <w:ind w:left="0" w:leftChars="0" w:firstLine="0" w:firstLineChars="0"/>
                              <w:jc w:val="both"/>
                            </w:pPr>
                            <w:r>
                              <w:rPr>
                                <w:rFonts w:hint="eastAsia"/>
                              </w:rPr>
                              <w:t>软水箱</w:t>
                            </w:r>
                          </w:p>
                        </w:txbxContent>
                      </v:textbox>
                    </v:shape>
                  </w:pict>
                </mc:Fallback>
              </mc:AlternateContent>
            </w:r>
          </w:p>
          <w:p w14:paraId="6DE2256D">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908050</wp:posOffset>
                      </wp:positionH>
                      <wp:positionV relativeFrom="paragraph">
                        <wp:posOffset>17780</wp:posOffset>
                      </wp:positionV>
                      <wp:extent cx="782320" cy="283845"/>
                      <wp:effectExtent l="5080" t="4445" r="12700" b="16510"/>
                      <wp:wrapNone/>
                      <wp:docPr id="5" name="自选图形 133"/>
                      <wp:cNvGraphicFramePr/>
                      <a:graphic xmlns:a="http://schemas.openxmlformats.org/drawingml/2006/main">
                        <a:graphicData uri="http://schemas.microsoft.com/office/word/2010/wordprocessingShape">
                          <wps:wsp>
                            <wps:cNvSpPr/>
                            <wps:spPr>
                              <a:xfrm>
                                <a:off x="0" y="0"/>
                                <a:ext cx="782320" cy="2838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DBB7F29">
                                  <w:pPr>
                                    <w:jc w:val="center"/>
                                  </w:pPr>
                                  <w:r>
                                    <w:rPr>
                                      <w:rFonts w:hint="eastAsia"/>
                                    </w:rPr>
                                    <w:t>软水制备</w:t>
                                  </w:r>
                                </w:p>
                              </w:txbxContent>
                            </wps:txbx>
                            <wps:bodyPr upright="1"/>
                          </wps:wsp>
                        </a:graphicData>
                      </a:graphic>
                    </wp:anchor>
                  </w:drawing>
                </mc:Choice>
                <mc:Fallback>
                  <w:pict>
                    <v:shape id="自选图形 133" o:spid="_x0000_s1026" o:spt="109" type="#_x0000_t109" style="position:absolute;left:0pt;margin-left:71.5pt;margin-top:1.4pt;height:22.35pt;width:61.6pt;z-index:251662336;mso-width-relative:page;mso-height-relative:page;" fillcolor="#FFFFFF" filled="t" stroked="t" coordsize="21600,21600" o:gfxdata="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b5E6NcAAAAIAQAADwAAAAAA&#10;AAABACAAAAAiAAAAZHJzL2Rvd25yZXYueG1sUEsBAhQAFAAAAAgAh07iQBAQJ2oUAgAAPAQAAA4A&#10;AAAAAAAAAQAgAAAAJgEAAGRycy9lMm9Eb2MueG1sUEsFBgAAAAAGAAYAWQEAAKwFAAAAAA==&#10;">
                      <v:fill on="t" focussize="0,0"/>
                      <v:stroke color="#000000" joinstyle="miter"/>
                      <v:imagedata o:title=""/>
                      <o:lock v:ext="edit" aspectratio="f"/>
                      <v:textbox>
                        <w:txbxContent>
                          <w:p w14:paraId="5DBB7F29">
                            <w:pPr>
                              <w:jc w:val="center"/>
                            </w:pPr>
                            <w:r>
                              <w:rPr>
                                <w:rFonts w:hint="eastAsia"/>
                              </w:rPr>
                              <w:t>软水制备</w:t>
                            </w:r>
                          </w:p>
                        </w:txbxContent>
                      </v:textbox>
                    </v:shape>
                  </w:pict>
                </mc:Fallback>
              </mc:AlternateContent>
            </w: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415290</wp:posOffset>
                      </wp:positionH>
                      <wp:positionV relativeFrom="paragraph">
                        <wp:posOffset>142240</wp:posOffset>
                      </wp:positionV>
                      <wp:extent cx="494030" cy="635"/>
                      <wp:effectExtent l="0" t="37465" r="1270" b="38100"/>
                      <wp:wrapNone/>
                      <wp:docPr id="3" name="直线 132"/>
                      <wp:cNvGraphicFramePr/>
                      <a:graphic xmlns:a="http://schemas.openxmlformats.org/drawingml/2006/main">
                        <a:graphicData uri="http://schemas.microsoft.com/office/word/2010/wordprocessingShape">
                          <wps:wsp>
                            <wps:cNvCnPr/>
                            <wps:spPr>
                              <a:xfrm>
                                <a:off x="0" y="0"/>
                                <a:ext cx="49403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2" o:spid="_x0000_s1026" o:spt="20" style="position:absolute;left:0pt;margin-left:32.7pt;margin-top:11.2pt;height:0.05pt;width:38.9pt;z-index:251661312;mso-width-relative:page;mso-height-relative:page;" filled="f" stroked="t" coordsize="21600,21600" o:gfxdata="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y4L29kAAAAIAQAADwAAAAAAAAABACAAAAAiAAAAZHJzL2Rvd25yZXYueG1sUEsBAhQA&#10;FAAAAAgAh07iQGdc/Y/xAQAA4gMAAA4AAAAAAAAAAQAgAAAAKAEAAGRycy9lMm9Eb2MueG1sUEsF&#10;BgAAAAAGAAYAWQEAAIsFA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3637915</wp:posOffset>
                      </wp:positionH>
                      <wp:positionV relativeFrom="paragraph">
                        <wp:posOffset>161290</wp:posOffset>
                      </wp:positionV>
                      <wp:extent cx="424815" cy="635"/>
                      <wp:effectExtent l="0" t="37465" r="13335" b="38100"/>
                      <wp:wrapNone/>
                      <wp:docPr id="10" name="直线 140"/>
                      <wp:cNvGraphicFramePr/>
                      <a:graphic xmlns:a="http://schemas.openxmlformats.org/drawingml/2006/main">
                        <a:graphicData uri="http://schemas.microsoft.com/office/word/2010/wordprocessingShape">
                          <wps:wsp>
                            <wps:cNvCnPr/>
                            <wps:spPr>
                              <a:xfrm>
                                <a:off x="0" y="0"/>
                                <a:ext cx="42481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0" o:spid="_x0000_s1026" o:spt="20" style="position:absolute;left:0pt;margin-left:286.45pt;margin-top:12.7pt;height:0.05pt;width:33.45pt;z-index:251667456;mso-width-relative:page;mso-height-relative:page;" filled="f" stroked="t" coordsize="21600,21600" o:gfxdata="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ZrwudoAAAAJAQAADwAAAAAAAAABACAAAAAiAAAAZHJzL2Rvd25yZXYueG1sUEsBAhQA&#10;FAAAAAgAh07iQMvKq4zwAQAA4wMAAA4AAAAAAAAAAQAgAAAAKQEAAGRycy9lMm9Eb2MueG1sUEsF&#10;BgAAAAAGAAYAWQEAAIsFA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2752090</wp:posOffset>
                      </wp:positionH>
                      <wp:positionV relativeFrom="paragraph">
                        <wp:posOffset>151765</wp:posOffset>
                      </wp:positionV>
                      <wp:extent cx="376555" cy="635"/>
                      <wp:effectExtent l="0" t="37465" r="4445" b="38100"/>
                      <wp:wrapNone/>
                      <wp:docPr id="8" name="直线 136"/>
                      <wp:cNvGraphicFramePr/>
                      <a:graphic xmlns:a="http://schemas.openxmlformats.org/drawingml/2006/main">
                        <a:graphicData uri="http://schemas.microsoft.com/office/word/2010/wordprocessingShape">
                          <wps:wsp>
                            <wps:cNvCnPr/>
                            <wps:spPr>
                              <a:xfrm>
                                <a:off x="0" y="0"/>
                                <a:ext cx="37655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6" o:spid="_x0000_s1026" o:spt="20" style="position:absolute;left:0pt;margin-left:216.7pt;margin-top:11.95pt;height:0.05pt;width:29.65pt;z-index:251665408;mso-width-relative:page;mso-height-relative:page;" filled="f" stroked="t" coordsize="21600,21600" o:gfxdata="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ZrYtoAAAAJAQAADwAAAAAAAAABACAAAAAiAAAAZHJzL2Rvd25yZXYueG1sUEsBAhQA&#10;FAAAAAgAh07iQFqibK/wAQAA4gMAAA4AAAAAAAAAAQAgAAAAKQEAAGRycy9lMm9Eb2MueG1sUEsF&#10;BgAAAAAGAAYAWQEAAIsFA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1694815</wp:posOffset>
                      </wp:positionH>
                      <wp:positionV relativeFrom="paragraph">
                        <wp:posOffset>151765</wp:posOffset>
                      </wp:positionV>
                      <wp:extent cx="376555" cy="635"/>
                      <wp:effectExtent l="0" t="37465" r="4445" b="38100"/>
                      <wp:wrapNone/>
                      <wp:docPr id="6" name="直线 134"/>
                      <wp:cNvGraphicFramePr/>
                      <a:graphic xmlns:a="http://schemas.openxmlformats.org/drawingml/2006/main">
                        <a:graphicData uri="http://schemas.microsoft.com/office/word/2010/wordprocessingShape">
                          <wps:wsp>
                            <wps:cNvCnPr/>
                            <wps:spPr>
                              <a:xfrm>
                                <a:off x="0" y="0"/>
                                <a:ext cx="37655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34" o:spid="_x0000_s1026" o:spt="20" style="position:absolute;left:0pt;margin-left:133.45pt;margin-top:11.95pt;height:0.05pt;width:29.65pt;z-index:251663360;mso-width-relative:page;mso-height-relative:page;" filled="f" stroked="t" coordsize="21600,21600" o:gfxdata="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JJtq2QAAAAkBAAAPAAAAAAAAAAEAIAAAACIAAABkcnMvZG93bnJldi54bWxQSwECFAAU&#10;AAAACACHTuJA05AjN/ABAADiAwAADgAAAAAAAAABACAAAAAoAQAAZHJzL2Uyb0RvYy54bWxQSwUG&#10;AAAAAAYABgBZAQAAigUAAAAA&#10;">
                      <v:fill on="f" focussize="0,0"/>
                      <v:stroke color="#000000" joinstyle="round" endarrow="block"/>
                      <v:imagedata o:title=""/>
                      <o:lock v:ext="edit" aspectratio="f"/>
                    </v:line>
                  </w:pict>
                </mc:Fallback>
              </mc:AlternateContent>
            </w:r>
          </w:p>
          <w:p w14:paraId="7C8EF6B1">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673600" behindDoc="0" locked="0" layoutInCell="1" allowOverlap="1">
                      <wp:simplePos x="0" y="0"/>
                      <wp:positionH relativeFrom="column">
                        <wp:posOffset>3356610</wp:posOffset>
                      </wp:positionH>
                      <wp:positionV relativeFrom="paragraph">
                        <wp:posOffset>151130</wp:posOffset>
                      </wp:positionV>
                      <wp:extent cx="635" cy="447675"/>
                      <wp:effectExtent l="37465" t="0" r="38100" b="9525"/>
                      <wp:wrapNone/>
                      <wp:docPr id="16" name="直线 159"/>
                      <wp:cNvGraphicFramePr/>
                      <a:graphic xmlns:a="http://schemas.openxmlformats.org/drawingml/2006/main">
                        <a:graphicData uri="http://schemas.microsoft.com/office/word/2010/wordprocessingShape">
                          <wps:wsp>
                            <wps:cNvCnPr/>
                            <wps:spPr>
                              <a:xfrm>
                                <a:off x="0" y="0"/>
                                <a:ext cx="635" cy="44767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159" o:spid="_x0000_s1026" o:spt="20" style="position:absolute;left:0pt;margin-left:264.3pt;margin-top:11.9pt;height:35.25pt;width:0.05pt;z-index:251673600;mso-width-relative:page;mso-height-relative:page;" filled="f" stroked="t" coordsize="21600,21600" o:gfxdata="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2sWc2gAAAAkBAAAPAAAAAAAAAAEAIAAAACIAAABkcnMvZG93bnJldi54bWxQSwEC&#10;FAAUAAAACACHTuJAap4OkvIBAADiAwAADgAAAAAAAAABACAAAAApAQAAZHJzL2Uyb0RvYy54bWxQ&#10;SwUGAAAAAAYABgBZAQAAjQUAAAAA&#10;">
                      <v:fill on="f" focussize="0,0"/>
                      <v:stroke color="#000000" joinstyle="round" dashstyle="dash"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874395</wp:posOffset>
                      </wp:positionH>
                      <wp:positionV relativeFrom="paragraph">
                        <wp:posOffset>38100</wp:posOffset>
                      </wp:positionV>
                      <wp:extent cx="446405" cy="255270"/>
                      <wp:effectExtent l="0" t="0" r="0" b="0"/>
                      <wp:wrapNone/>
                      <wp:docPr id="25" name="自选图形 173"/>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7E86BE3F">
                                  <w:pPr>
                                    <w:jc w:val="center"/>
                                    <w:rPr>
                                      <w:rFonts w:hint="default" w:eastAsia="宋体"/>
                                      <w:lang w:val="en-US" w:eastAsia="zh-CN"/>
                                    </w:rPr>
                                  </w:pPr>
                                  <w:r>
                                    <w:rPr>
                                      <w:rFonts w:hint="eastAsia"/>
                                      <w:lang w:val="en-US" w:eastAsia="zh-CN"/>
                                    </w:rPr>
                                    <w:t>1.35</w:t>
                                  </w:r>
                                </w:p>
                              </w:txbxContent>
                            </wps:txbx>
                            <wps:bodyPr upright="1"/>
                          </wps:wsp>
                        </a:graphicData>
                      </a:graphic>
                    </wp:anchor>
                  </w:drawing>
                </mc:Choice>
                <mc:Fallback>
                  <w:pict>
                    <v:shape id="自选图形 173" o:spid="_x0000_s1026" o:spt="109" type="#_x0000_t109" style="position:absolute;left:0pt;margin-left:68.85pt;margin-top:3pt;height:20.1pt;width:35.15pt;z-index:251682816;mso-width-relative:page;mso-height-relative:page;" filled="f" stroked="f" coordsize="21600,21600" o:gfxdata="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R/0XtUAAAAIAQAADwAAAAAAAAABACAAAAAiAAAAZHJzL2Rvd25yZXYueG1sUEsBAhQAFAAAAAgA&#10;h07iQBnvU6S2AQAAVQMAAA4AAAAAAAAAAQAgAAAAJAEAAGRycy9lMm9Eb2MueG1sUEsFBgAAAAAG&#10;AAYAWQEAAEwFAAAAAA==&#10;">
                      <v:fill on="f" focussize="0,0"/>
                      <v:stroke on="f"/>
                      <v:imagedata o:title=""/>
                      <o:lock v:ext="edit" aspectratio="f"/>
                      <v:textbox>
                        <w:txbxContent>
                          <w:p w14:paraId="7E86BE3F">
                            <w:pPr>
                              <w:jc w:val="center"/>
                              <w:rPr>
                                <w:rFonts w:hint="default" w:eastAsia="宋体"/>
                                <w:lang w:val="en-US" w:eastAsia="zh-CN"/>
                              </w:rPr>
                            </w:pPr>
                            <w:r>
                              <w:rPr>
                                <w:rFonts w:hint="eastAsia"/>
                                <w:lang w:val="en-US" w:eastAsia="zh-CN"/>
                              </w:rPr>
                              <w:t>1.35</w:t>
                            </w:r>
                          </w:p>
                        </w:txbxContent>
                      </v:textbox>
                    </v:shape>
                  </w:pict>
                </mc:Fallback>
              </mc:AlternateContent>
            </w:r>
            <w:r>
              <w:rPr>
                <w:color w:val="auto"/>
                <w:sz w:val="24"/>
                <w:highlight w:val="none"/>
              </w:rPr>
              <mc:AlternateContent>
                <mc:Choice Requires="wps">
                  <w:drawing>
                    <wp:anchor distT="0" distB="0" distL="114300" distR="114300" simplePos="0" relativeHeight="251676672" behindDoc="0" locked="0" layoutInCell="1" allowOverlap="1">
                      <wp:simplePos x="0" y="0"/>
                      <wp:positionH relativeFrom="column">
                        <wp:posOffset>1285240</wp:posOffset>
                      </wp:positionH>
                      <wp:positionV relativeFrom="paragraph">
                        <wp:posOffset>27305</wp:posOffset>
                      </wp:positionV>
                      <wp:extent cx="4445" cy="294640"/>
                      <wp:effectExtent l="36830" t="0" r="34925" b="10160"/>
                      <wp:wrapNone/>
                      <wp:docPr id="19" name="直线 162"/>
                      <wp:cNvGraphicFramePr/>
                      <a:graphic xmlns:a="http://schemas.openxmlformats.org/drawingml/2006/main">
                        <a:graphicData uri="http://schemas.microsoft.com/office/word/2010/wordprocessingShape">
                          <wps:wsp>
                            <wps:cNvCnPr/>
                            <wps:spPr>
                              <a:xfrm flipH="1">
                                <a:off x="0" y="0"/>
                                <a:ext cx="4445" cy="294640"/>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162" o:spid="_x0000_s1026" o:spt="20" style="position:absolute;left:0pt;flip:x;margin-left:101.2pt;margin-top:2.15pt;height:23.2pt;width:0.35pt;z-index:251676672;mso-width-relative:page;mso-height-relative:page;" filled="f" stroked="t" coordsize="21600,21600" o:gfxdata="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RY5r1gAAAAgBAAAPAAAAAAAAAAEAIAAAACIAAABkcnMvZG93bnJldi54&#10;bWxQSwECFAAUAAAACACHTuJA/MGuA/wBAADtAwAADgAAAAAAAAABACAAAAAlAQAAZHJzL2Uyb0Rv&#10;Yy54bWxQSwUGAAAAAAYABgBZAQAAkwUAAAAA&#10;">
                      <v:fill on="f" focussize="0,0"/>
                      <v:stroke color="#000000" joinstyle="round" dashstyle="dash"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74624" behindDoc="0" locked="0" layoutInCell="1" allowOverlap="1">
                      <wp:simplePos x="0" y="0"/>
                      <wp:positionH relativeFrom="column">
                        <wp:posOffset>3272790</wp:posOffset>
                      </wp:positionH>
                      <wp:positionV relativeFrom="paragraph">
                        <wp:posOffset>128270</wp:posOffset>
                      </wp:positionV>
                      <wp:extent cx="446405" cy="255270"/>
                      <wp:effectExtent l="0" t="0" r="0" b="0"/>
                      <wp:wrapNone/>
                      <wp:docPr id="17" name="自选图形 160"/>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4F650552">
                                  <w:pPr>
                                    <w:jc w:val="center"/>
                                    <w:rPr>
                                      <w:rFonts w:hint="default" w:eastAsia="宋体"/>
                                      <w:lang w:val="en-US" w:eastAsia="zh-CN"/>
                                    </w:rPr>
                                  </w:pPr>
                                  <w:r>
                                    <w:rPr>
                                      <w:rFonts w:hint="eastAsia"/>
                                      <w:lang w:val="en-US" w:eastAsia="zh-CN"/>
                                    </w:rPr>
                                    <w:t>0.6</w:t>
                                  </w:r>
                                </w:p>
                              </w:txbxContent>
                            </wps:txbx>
                            <wps:bodyPr upright="1"/>
                          </wps:wsp>
                        </a:graphicData>
                      </a:graphic>
                    </wp:anchor>
                  </w:drawing>
                </mc:Choice>
                <mc:Fallback>
                  <w:pict>
                    <v:shape id="自选图形 160" o:spid="_x0000_s1026" o:spt="109" type="#_x0000_t109" style="position:absolute;left:0pt;margin-left:257.7pt;margin-top:10.1pt;height:20.1pt;width:35.15pt;z-index:251674624;mso-width-relative:page;mso-height-relative:page;" filled="f" stroked="f" coordsize="21600,21600" o:gfxdata="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x1P01wAAAAkBAAAPAAAAAAAAAAEAIAAAACIAAABkcnMvZG93bnJldi54bWxQSwECFAAUAAAA&#10;CACHTuJAceqHALYBAABVAwAADgAAAAAAAAABACAAAAAmAQAAZHJzL2Uyb0RvYy54bWxQSwUGAAAA&#10;AAYABgBZAQAATgUAAAAA&#10;">
                      <v:fill on="f" focussize="0,0"/>
                      <v:stroke on="f"/>
                      <v:imagedata o:title=""/>
                      <o:lock v:ext="edit" aspectratio="f"/>
                      <v:textbox>
                        <w:txbxContent>
                          <w:p w14:paraId="4F650552">
                            <w:pPr>
                              <w:jc w:val="center"/>
                              <w:rPr>
                                <w:rFonts w:hint="default" w:eastAsia="宋体"/>
                                <w:lang w:val="en-US" w:eastAsia="zh-CN"/>
                              </w:rPr>
                            </w:pPr>
                            <w:r>
                              <w:rPr>
                                <w:rFonts w:hint="eastAsia"/>
                                <w:lang w:val="en-US" w:eastAsia="zh-CN"/>
                              </w:rPr>
                              <w:t>0.6</w:t>
                            </w:r>
                          </w:p>
                        </w:txbxContent>
                      </v:textbox>
                    </v:shape>
                  </w:pict>
                </mc:Fallback>
              </mc:AlternateContent>
            </w:r>
          </w:p>
          <w:p w14:paraId="70037F0D">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677696" behindDoc="0" locked="0" layoutInCell="1" allowOverlap="1">
                      <wp:simplePos x="0" y="0"/>
                      <wp:positionH relativeFrom="column">
                        <wp:posOffset>875665</wp:posOffset>
                      </wp:positionH>
                      <wp:positionV relativeFrom="paragraph">
                        <wp:posOffset>31115</wp:posOffset>
                      </wp:positionV>
                      <wp:extent cx="896620" cy="436245"/>
                      <wp:effectExtent l="0" t="0" r="0" b="0"/>
                      <wp:wrapNone/>
                      <wp:docPr id="20" name="自选图形 163"/>
                      <wp:cNvGraphicFramePr/>
                      <a:graphic xmlns:a="http://schemas.openxmlformats.org/drawingml/2006/main">
                        <a:graphicData uri="http://schemas.microsoft.com/office/word/2010/wordprocessingShape">
                          <wps:wsp>
                            <wps:cNvSpPr/>
                            <wps:spPr>
                              <a:xfrm>
                                <a:off x="0" y="0"/>
                                <a:ext cx="896620" cy="436245"/>
                              </a:xfrm>
                              <a:prstGeom prst="flowChartProcess">
                                <a:avLst/>
                              </a:prstGeom>
                              <a:noFill/>
                              <a:ln>
                                <a:noFill/>
                              </a:ln>
                            </wps:spPr>
                            <wps:txbx>
                              <w:txbxContent>
                                <w:p w14:paraId="16724EC8">
                                  <w:pPr>
                                    <w:jc w:val="center"/>
                                  </w:pPr>
                                  <w:r>
                                    <w:rPr>
                                      <w:rFonts w:hint="eastAsia"/>
                                    </w:rPr>
                                    <w:t>离子交换树脂再生废水</w:t>
                                  </w:r>
                                </w:p>
                              </w:txbxContent>
                            </wps:txbx>
                            <wps:bodyPr upright="1"/>
                          </wps:wsp>
                        </a:graphicData>
                      </a:graphic>
                    </wp:anchor>
                  </w:drawing>
                </mc:Choice>
                <mc:Fallback>
                  <w:pict>
                    <v:shape id="自选图形 163" o:spid="_x0000_s1026" o:spt="109" type="#_x0000_t109" style="position:absolute;left:0pt;margin-left:68.95pt;margin-top:2.45pt;height:34.35pt;width:70.6pt;z-index:251677696;mso-width-relative:page;mso-height-relative:page;" filled="f" stroked="f" coordsize="21600,21600" o:gfxdata="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m8DWdUAAAAIAQAADwAAAAAAAAABACAAAAAiAAAAZHJzL2Rvd25yZXYueG1sUEsBAhQAFAAAAAgA&#10;h07iQNnHsqm2AQAAVQMAAA4AAAAAAAAAAQAgAAAAJAEAAGRycy9lMm9Eb2MueG1sUEsFBgAAAAAG&#10;AAYAWQEAAEwFAAAAAA==&#10;">
                      <v:fill on="f" focussize="0,0"/>
                      <v:stroke on="f"/>
                      <v:imagedata o:title=""/>
                      <o:lock v:ext="edit" aspectratio="f"/>
                      <v:textbox>
                        <w:txbxContent>
                          <w:p w14:paraId="16724EC8">
                            <w:pPr>
                              <w:jc w:val="center"/>
                            </w:pPr>
                            <w:r>
                              <w:rPr>
                                <w:rFonts w:hint="eastAsia"/>
                              </w:rPr>
                              <w:t>离子交换树脂再生废水</w:t>
                            </w:r>
                          </w:p>
                        </w:txbxContent>
                      </v:textbox>
                    </v:shape>
                  </w:pict>
                </mc:Fallback>
              </mc:AlternateContent>
            </w:r>
          </w:p>
          <w:p w14:paraId="70AC79E4">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675648" behindDoc="0" locked="0" layoutInCell="1" allowOverlap="1">
                      <wp:simplePos x="0" y="0"/>
                      <wp:positionH relativeFrom="column">
                        <wp:posOffset>3132455</wp:posOffset>
                      </wp:positionH>
                      <wp:positionV relativeFrom="paragraph">
                        <wp:posOffset>5080</wp:posOffset>
                      </wp:positionV>
                      <wp:extent cx="1138555" cy="414655"/>
                      <wp:effectExtent l="0" t="0" r="0" b="0"/>
                      <wp:wrapNone/>
                      <wp:docPr id="18" name="自选图形 161"/>
                      <wp:cNvGraphicFramePr/>
                      <a:graphic xmlns:a="http://schemas.openxmlformats.org/drawingml/2006/main">
                        <a:graphicData uri="http://schemas.microsoft.com/office/word/2010/wordprocessingShape">
                          <wps:wsp>
                            <wps:cNvSpPr/>
                            <wps:spPr>
                              <a:xfrm>
                                <a:off x="0" y="0"/>
                                <a:ext cx="1138555" cy="414655"/>
                              </a:xfrm>
                              <a:prstGeom prst="flowChartProcess">
                                <a:avLst/>
                              </a:prstGeom>
                              <a:noFill/>
                              <a:ln>
                                <a:noFill/>
                              </a:ln>
                            </wps:spPr>
                            <wps:txbx>
                              <w:txbxContent>
                                <w:p w14:paraId="44901626">
                                  <w:pPr>
                                    <w:pStyle w:val="25"/>
                                    <w:ind w:firstLine="0" w:firstLineChars="0"/>
                                    <w:jc w:val="center"/>
                                    <w:rPr>
                                      <w:sz w:val="21"/>
                                      <w:szCs w:val="21"/>
                                    </w:rPr>
                                  </w:pPr>
                                  <w:r>
                                    <w:rPr>
                                      <w:rFonts w:hint="eastAsia"/>
                                      <w:sz w:val="21"/>
                                      <w:szCs w:val="21"/>
                                      <w:lang w:val="en-US" w:eastAsia="zh-CN"/>
                                    </w:rPr>
                                    <w:t>蒸汽发生器</w:t>
                                  </w:r>
                                  <w:r>
                                    <w:rPr>
                                      <w:rFonts w:hint="eastAsia"/>
                                      <w:sz w:val="21"/>
                                      <w:szCs w:val="21"/>
                                    </w:rPr>
                                    <w:t>排水</w:t>
                                  </w:r>
                                </w:p>
                              </w:txbxContent>
                            </wps:txbx>
                            <wps:bodyPr upright="1"/>
                          </wps:wsp>
                        </a:graphicData>
                      </a:graphic>
                    </wp:anchor>
                  </w:drawing>
                </mc:Choice>
                <mc:Fallback>
                  <w:pict>
                    <v:shape id="自选图形 161" o:spid="_x0000_s1026" o:spt="109" type="#_x0000_t109" style="position:absolute;left:0pt;margin-left:246.65pt;margin-top:0.4pt;height:32.65pt;width:89.65pt;z-index:251675648;mso-width-relative:page;mso-height-relative:page;" filled="f" stroked="f" coordsize="21600,21600" o:gfxdata="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R3HsNUAAAAHAQAADwAAAAAAAAABACAAAAAiAAAAZHJzL2Rvd25yZXYueG1sUEsBAhQAFAAAAAgA&#10;h07iQPahKKq2AQAAVgMAAA4AAAAAAAAAAQAgAAAAJAEAAGRycy9lMm9Eb2MueG1sUEsFBgAAAAAG&#10;AAYAWQEAAEwFAAAAAA==&#10;">
                      <v:fill on="f" focussize="0,0"/>
                      <v:stroke on="f"/>
                      <v:imagedata o:title=""/>
                      <o:lock v:ext="edit" aspectratio="f"/>
                      <v:textbox>
                        <w:txbxContent>
                          <w:p w14:paraId="44901626">
                            <w:pPr>
                              <w:pStyle w:val="25"/>
                              <w:ind w:firstLine="0" w:firstLineChars="0"/>
                              <w:jc w:val="center"/>
                              <w:rPr>
                                <w:sz w:val="21"/>
                                <w:szCs w:val="21"/>
                              </w:rPr>
                            </w:pPr>
                            <w:r>
                              <w:rPr>
                                <w:rFonts w:hint="eastAsia"/>
                                <w:sz w:val="21"/>
                                <w:szCs w:val="21"/>
                                <w:lang w:val="en-US" w:eastAsia="zh-CN"/>
                              </w:rPr>
                              <w:t>蒸汽发生器</w:t>
                            </w:r>
                            <w:r>
                              <w:rPr>
                                <w:rFonts w:hint="eastAsia"/>
                                <w:sz w:val="21"/>
                                <w:szCs w:val="21"/>
                              </w:rPr>
                              <w:t>排水</w:t>
                            </w:r>
                          </w:p>
                        </w:txbxContent>
                      </v:textbox>
                    </v:shape>
                  </w:pict>
                </mc:Fallback>
              </mc:AlternateContent>
            </w:r>
            <w:r>
              <w:rPr>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1285875</wp:posOffset>
                      </wp:positionH>
                      <wp:positionV relativeFrom="paragraph">
                        <wp:posOffset>161290</wp:posOffset>
                      </wp:positionV>
                      <wp:extent cx="635" cy="311785"/>
                      <wp:effectExtent l="38100" t="0" r="37465" b="12065"/>
                      <wp:wrapNone/>
                      <wp:docPr id="22" name="直线 166"/>
                      <wp:cNvGraphicFramePr/>
                      <a:graphic xmlns:a="http://schemas.openxmlformats.org/drawingml/2006/main">
                        <a:graphicData uri="http://schemas.microsoft.com/office/word/2010/wordprocessingShape">
                          <wps:wsp>
                            <wps:cNvCnPr/>
                            <wps:spPr>
                              <a:xfrm flipH="1">
                                <a:off x="0" y="0"/>
                                <a:ext cx="635" cy="31178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166" o:spid="_x0000_s1026" o:spt="20" style="position:absolute;left:0pt;flip:x;margin-left:101.25pt;margin-top:12.7pt;height:24.55pt;width:0.05pt;z-index:251679744;mso-width-relative:page;mso-height-relative:page;" filled="f" stroked="t" coordsize="21600,21600" o:gfxdata="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pRUBtYAAAAJAQAADwAAAAAAAAABACAAAAAiAAAAZHJzL2Rvd25yZXYueG1s&#10;UEsBAhQAFAAAAAgAh07iQChIZ0T6AQAA7AMAAA4AAAAAAAAAAQAgAAAAJQEAAGRycy9lMm9Eb2Mu&#10;eG1sUEsFBgAAAAAGAAYAWQEAAJEFAAAAAA==&#10;">
                      <v:fill on="f" focussize="0,0"/>
                      <v:stroke color="#000000" joinstyle="round" dashstyle="dash"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78720" behindDoc="0" locked="0" layoutInCell="1" allowOverlap="1">
                      <wp:simplePos x="0" y="0"/>
                      <wp:positionH relativeFrom="column">
                        <wp:posOffset>3356610</wp:posOffset>
                      </wp:positionH>
                      <wp:positionV relativeFrom="paragraph">
                        <wp:posOffset>200660</wp:posOffset>
                      </wp:positionV>
                      <wp:extent cx="635" cy="273050"/>
                      <wp:effectExtent l="37465" t="0" r="38100" b="12700"/>
                      <wp:wrapNone/>
                      <wp:docPr id="21" name="直线 164"/>
                      <wp:cNvGraphicFramePr/>
                      <a:graphic xmlns:a="http://schemas.openxmlformats.org/drawingml/2006/main">
                        <a:graphicData uri="http://schemas.microsoft.com/office/word/2010/wordprocessingShape">
                          <wps:wsp>
                            <wps:cNvCnPr/>
                            <wps:spPr>
                              <a:xfrm>
                                <a:off x="0" y="0"/>
                                <a:ext cx="635" cy="273050"/>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164" o:spid="_x0000_s1026" o:spt="20" style="position:absolute;left:0pt;margin-left:264.3pt;margin-top:15.8pt;height:21.5pt;width:0.05pt;z-index:251678720;mso-width-relative:page;mso-height-relative:page;" filled="f" stroked="t" coordsize="21600,21600" o:gfxdata="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bI+Z/aAAAACQEAAA8AAAAAAAAAAQAgAAAAIgAAAGRycy9kb3ducmV2LnhtbFBL&#10;AQIUABQAAAAIAIdO4kBLsrZu9AEAAOIDAAAOAAAAAAAAAAEAIAAAACkBAABkcnMvZTJvRG9jLnht&#10;bFBLBQYAAAAABgAGAFkBAACPBQAAAAA=&#10;">
                      <v:fill on="f" focussize="0,0"/>
                      <v:stroke color="#000000" joinstyle="round" dashstyle="dash" endarrow="block"/>
                      <v:imagedata o:title=""/>
                      <o:lock v:ext="edit" aspectratio="f"/>
                    </v:line>
                  </w:pict>
                </mc:Fallback>
              </mc:AlternateContent>
            </w:r>
          </w:p>
          <w:p w14:paraId="788447DE">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2319020</wp:posOffset>
                      </wp:positionH>
                      <wp:positionV relativeFrom="paragraph">
                        <wp:posOffset>214630</wp:posOffset>
                      </wp:positionV>
                      <wp:extent cx="635" cy="352425"/>
                      <wp:effectExtent l="37465" t="0" r="38100" b="9525"/>
                      <wp:wrapNone/>
                      <wp:docPr id="24" name="直线 169"/>
                      <wp:cNvGraphicFramePr/>
                      <a:graphic xmlns:a="http://schemas.openxmlformats.org/drawingml/2006/main">
                        <a:graphicData uri="http://schemas.microsoft.com/office/word/2010/wordprocessingShape">
                          <wps:wsp>
                            <wps:cNvCnPr/>
                            <wps:spPr>
                              <a:xfrm>
                                <a:off x="0" y="0"/>
                                <a:ext cx="635" cy="35242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169" o:spid="_x0000_s1026" o:spt="20" style="position:absolute;left:0pt;margin-left:182.6pt;margin-top:16.9pt;height:27.75pt;width:0.05pt;z-index:251681792;mso-width-relative:page;mso-height-relative:page;" filled="f" stroked="t" coordsize="21600,21600" o:gfxdata="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FZk3x2gAAAAkBAAAPAAAAAAAAAAEAIAAAACIAAABkcnMvZG93bnJldi54bWxQSwEC&#10;FAAUAAAACACHTuJAKfw3efIBAADiAwAADgAAAAAAAAABACAAAAApAQAAZHJzL2Uyb0RvYy54bWxQ&#10;SwUGAAAAAAYABgBZAQAAjQUAAAAA&#10;">
                      <v:fill on="f" focussize="0,0"/>
                      <v:stroke color="#000000" joinstyle="round" dashstyle="dash"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1283335</wp:posOffset>
                      </wp:positionH>
                      <wp:positionV relativeFrom="paragraph">
                        <wp:posOffset>217805</wp:posOffset>
                      </wp:positionV>
                      <wp:extent cx="2072005" cy="4445"/>
                      <wp:effectExtent l="0" t="0" r="0" b="0"/>
                      <wp:wrapNone/>
                      <wp:docPr id="23" name="直线 168"/>
                      <wp:cNvGraphicFramePr/>
                      <a:graphic xmlns:a="http://schemas.openxmlformats.org/drawingml/2006/main">
                        <a:graphicData uri="http://schemas.microsoft.com/office/word/2010/wordprocessingShape">
                          <wps:wsp>
                            <wps:cNvCnPr/>
                            <wps:spPr>
                              <a:xfrm flipV="1">
                                <a:off x="0" y="0"/>
                                <a:ext cx="2072005" cy="4445"/>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直线 168" o:spid="_x0000_s1026" o:spt="20" style="position:absolute;left:0pt;flip:y;margin-left:101.05pt;margin-top:17.15pt;height:0.35pt;width:163.15pt;z-index:251680768;mso-width-relative:page;mso-height-relative:page;" filled="f" stroked="t" coordsize="21600,21600" o:gfxdata="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uWx0TVAAAACQEAAA8AAAAAAAAAAQAgAAAAIgAAAGRycy9kb3ducmV2LnhtbFBLAQIUABQA&#10;AAAIAIdO4kB89a9q8wEAAOoDAAAOAAAAAAAAAAEAIAAAACQBAABkcnMvZTJvRG9jLnhtbFBLBQYA&#10;AAAABgAGAFkBAACJBQAAAAA=&#10;">
                      <v:fill on="f" focussize="0,0"/>
                      <v:stroke color="#000000" joinstyle="round" dashstyle="dash"/>
                      <v:imagedata o:title=""/>
                      <o:lock v:ext="edit" aspectratio="f"/>
                    </v:line>
                  </w:pict>
                </mc:Fallback>
              </mc:AlternateContent>
            </w:r>
          </w:p>
          <w:p w14:paraId="34DF596D">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697152" behindDoc="0" locked="0" layoutInCell="1" allowOverlap="1">
                      <wp:simplePos x="0" y="0"/>
                      <wp:positionH relativeFrom="column">
                        <wp:posOffset>2256790</wp:posOffset>
                      </wp:positionH>
                      <wp:positionV relativeFrom="paragraph">
                        <wp:posOffset>19050</wp:posOffset>
                      </wp:positionV>
                      <wp:extent cx="541020" cy="255270"/>
                      <wp:effectExtent l="0" t="0" r="0" b="0"/>
                      <wp:wrapNone/>
                      <wp:docPr id="39" name="自选图形 270"/>
                      <wp:cNvGraphicFramePr/>
                      <a:graphic xmlns:a="http://schemas.openxmlformats.org/drawingml/2006/main">
                        <a:graphicData uri="http://schemas.microsoft.com/office/word/2010/wordprocessingShape">
                          <wps:wsp>
                            <wps:cNvSpPr/>
                            <wps:spPr>
                              <a:xfrm>
                                <a:off x="0" y="0"/>
                                <a:ext cx="541020" cy="255270"/>
                              </a:xfrm>
                              <a:prstGeom prst="flowChartProcess">
                                <a:avLst/>
                              </a:prstGeom>
                              <a:noFill/>
                              <a:ln>
                                <a:noFill/>
                              </a:ln>
                            </wps:spPr>
                            <wps:txbx>
                              <w:txbxContent>
                                <w:p w14:paraId="6A18D9D4">
                                  <w:pPr>
                                    <w:jc w:val="center"/>
                                    <w:rPr>
                                      <w:rFonts w:hint="default" w:eastAsia="宋体"/>
                                      <w:lang w:val="en-US" w:eastAsia="zh-CN"/>
                                    </w:rPr>
                                  </w:pPr>
                                  <w:r>
                                    <w:rPr>
                                      <w:rFonts w:hint="eastAsia"/>
                                      <w:lang w:val="en-US" w:eastAsia="zh-CN"/>
                                    </w:rPr>
                                    <w:t>1.95</w:t>
                                  </w:r>
                                </w:p>
                              </w:txbxContent>
                            </wps:txbx>
                            <wps:bodyPr upright="1"/>
                          </wps:wsp>
                        </a:graphicData>
                      </a:graphic>
                    </wp:anchor>
                  </w:drawing>
                </mc:Choice>
                <mc:Fallback>
                  <w:pict>
                    <v:shape id="自选图形 270" o:spid="_x0000_s1026" o:spt="109" type="#_x0000_t109" style="position:absolute;left:0pt;margin-left:177.7pt;margin-top:1.5pt;height:20.1pt;width:42.6pt;z-index:251697152;mso-width-relative:page;mso-height-relative:page;" filled="f" stroked="f" coordsize="21600,21600" o:gfxdata="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my&#10;ZunVAAAACAEAAA8AAAAAAAAAAQAgAAAAIgAAAGRycy9kb3ducmV2LnhtbFBLAQIUABQAAAAIAIdO&#10;4kCewcyxtAEAAFUDAAAOAAAAAAAAAAEAIAAAACQBAABkcnMvZTJvRG9jLnhtbFBLBQYAAAAABgAG&#10;AFkBAABKBQAAAAA=&#10;">
                      <v:fill on="f" focussize="0,0"/>
                      <v:stroke on="f"/>
                      <v:imagedata o:title=""/>
                      <o:lock v:ext="edit" aspectratio="f"/>
                      <v:textbox>
                        <w:txbxContent>
                          <w:p w14:paraId="6A18D9D4">
                            <w:pPr>
                              <w:jc w:val="center"/>
                              <w:rPr>
                                <w:rFonts w:hint="default" w:eastAsia="宋体"/>
                                <w:lang w:val="en-US" w:eastAsia="zh-CN"/>
                              </w:rPr>
                            </w:pPr>
                            <w:r>
                              <w:rPr>
                                <w:rFonts w:hint="eastAsia"/>
                                <w:lang w:val="en-US" w:eastAsia="zh-CN"/>
                              </w:rPr>
                              <w:t>1.95</w:t>
                            </w:r>
                          </w:p>
                        </w:txbxContent>
                      </v:textbox>
                    </v:shape>
                  </w:pict>
                </mc:Fallback>
              </mc:AlternateContent>
            </w:r>
          </w:p>
          <w:p w14:paraId="633769CF">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683840" behindDoc="0" locked="0" layoutInCell="1" allowOverlap="1">
                      <wp:simplePos x="0" y="0"/>
                      <wp:positionH relativeFrom="column">
                        <wp:posOffset>1814195</wp:posOffset>
                      </wp:positionH>
                      <wp:positionV relativeFrom="paragraph">
                        <wp:posOffset>46355</wp:posOffset>
                      </wp:positionV>
                      <wp:extent cx="951230" cy="262890"/>
                      <wp:effectExtent l="0" t="0" r="0" b="0"/>
                      <wp:wrapNone/>
                      <wp:docPr id="26" name="自选图形 177"/>
                      <wp:cNvGraphicFramePr/>
                      <a:graphic xmlns:a="http://schemas.openxmlformats.org/drawingml/2006/main">
                        <a:graphicData uri="http://schemas.microsoft.com/office/word/2010/wordprocessingShape">
                          <wps:wsp>
                            <wps:cNvSpPr/>
                            <wps:spPr>
                              <a:xfrm>
                                <a:off x="0" y="0"/>
                                <a:ext cx="951230" cy="262890"/>
                              </a:xfrm>
                              <a:prstGeom prst="flowChartProcess">
                                <a:avLst/>
                              </a:prstGeom>
                              <a:noFill/>
                              <a:ln>
                                <a:noFill/>
                              </a:ln>
                            </wps:spPr>
                            <wps:txbx>
                              <w:txbxContent>
                                <w:p w14:paraId="53EF2A34">
                                  <w:pPr>
                                    <w:rPr>
                                      <w:rFonts w:hint="default" w:eastAsia="宋体"/>
                                      <w:sz w:val="24"/>
                                      <w:szCs w:val="24"/>
                                      <w:lang w:val="en-US" w:eastAsia="zh-CN"/>
                                    </w:rPr>
                                  </w:pPr>
                                  <w:r>
                                    <w:rPr>
                                      <w:rFonts w:hint="eastAsia"/>
                                      <w:sz w:val="24"/>
                                      <w:szCs w:val="24"/>
                                      <w:lang w:val="en-US" w:eastAsia="zh-CN"/>
                                    </w:rPr>
                                    <w:t>絮凝沉淀池</w:t>
                                  </w:r>
                                </w:p>
                              </w:txbxContent>
                            </wps:txbx>
                            <wps:bodyPr upright="1"/>
                          </wps:wsp>
                        </a:graphicData>
                      </a:graphic>
                    </wp:anchor>
                  </w:drawing>
                </mc:Choice>
                <mc:Fallback>
                  <w:pict>
                    <v:shape id="自选图形 177" o:spid="_x0000_s1026" o:spt="109" type="#_x0000_t109" style="position:absolute;left:0pt;margin-left:142.85pt;margin-top:3.65pt;height:20.7pt;width:74.9pt;z-index:251683840;mso-width-relative:page;mso-height-relative:page;" filled="f" stroked="f" coordsize="21600,21600" o:gfxdata="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b7Q9YAAAAIAQAADwAAAAAAAAABACAAAAAiAAAAZHJzL2Rvd25yZXYueG1sUEsBAhQAFAAA&#10;AAgAh07iQOXjiee4AQAAVQMAAA4AAAAAAAAAAQAgAAAAJQEAAGRycy9lMm9Eb2MueG1sUEsFBgAA&#10;AAAGAAYAWQEAAE8FAAAAAA==&#10;">
                      <v:fill on="f" focussize="0,0"/>
                      <v:stroke on="f"/>
                      <v:imagedata o:title=""/>
                      <o:lock v:ext="edit" aspectratio="f"/>
                      <v:textbox>
                        <w:txbxContent>
                          <w:p w14:paraId="53EF2A34">
                            <w:pPr>
                              <w:rPr>
                                <w:rFonts w:hint="default" w:eastAsia="宋体"/>
                                <w:sz w:val="24"/>
                                <w:szCs w:val="24"/>
                                <w:lang w:val="en-US" w:eastAsia="zh-CN"/>
                              </w:rPr>
                            </w:pPr>
                            <w:r>
                              <w:rPr>
                                <w:rFonts w:hint="eastAsia"/>
                                <w:sz w:val="24"/>
                                <w:szCs w:val="24"/>
                                <w:lang w:val="en-US" w:eastAsia="zh-CN"/>
                              </w:rPr>
                              <w:t>絮凝沉淀池</w:t>
                            </w:r>
                          </w:p>
                        </w:txbxContent>
                      </v:textbox>
                    </v:shape>
                  </w:pict>
                </mc:Fallback>
              </mc:AlternateContent>
            </w:r>
            <w:r>
              <w:rPr>
                <w:color w:val="auto"/>
                <w:sz w:val="24"/>
                <w:highlight w:val="none"/>
              </w:rPr>
              <mc:AlternateContent>
                <mc:Choice Requires="wps">
                  <w:drawing>
                    <wp:anchor distT="0" distB="0" distL="114300" distR="114300" simplePos="0" relativeHeight="251717632" behindDoc="0" locked="0" layoutInCell="1" allowOverlap="1">
                      <wp:simplePos x="0" y="0"/>
                      <wp:positionH relativeFrom="column">
                        <wp:posOffset>4237355</wp:posOffset>
                      </wp:positionH>
                      <wp:positionV relativeFrom="paragraph">
                        <wp:posOffset>1270</wp:posOffset>
                      </wp:positionV>
                      <wp:extent cx="928370" cy="576580"/>
                      <wp:effectExtent l="0" t="0" r="0" b="0"/>
                      <wp:wrapNone/>
                      <wp:docPr id="59" name="自选图形 310"/>
                      <wp:cNvGraphicFramePr/>
                      <a:graphic xmlns:a="http://schemas.openxmlformats.org/drawingml/2006/main">
                        <a:graphicData uri="http://schemas.microsoft.com/office/word/2010/wordprocessingShape">
                          <wps:wsp>
                            <wps:cNvSpPr/>
                            <wps:spPr>
                              <a:xfrm>
                                <a:off x="0" y="0"/>
                                <a:ext cx="928370" cy="576580"/>
                              </a:xfrm>
                              <a:prstGeom prst="flowChartProcess">
                                <a:avLst/>
                              </a:prstGeom>
                              <a:noFill/>
                              <a:ln>
                                <a:noFill/>
                              </a:ln>
                            </wps:spPr>
                            <wps:txbx>
                              <w:txbxContent>
                                <w:p w14:paraId="16B35C09">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钧澄公司冷却循环使用</w:t>
                                  </w:r>
                                </w:p>
                              </w:txbxContent>
                            </wps:txbx>
                            <wps:bodyPr upright="1"/>
                          </wps:wsp>
                        </a:graphicData>
                      </a:graphic>
                    </wp:anchor>
                  </w:drawing>
                </mc:Choice>
                <mc:Fallback>
                  <w:pict>
                    <v:shape id="自选图形 310" o:spid="_x0000_s1026" o:spt="109" type="#_x0000_t109" style="position:absolute;left:0pt;margin-left:333.65pt;margin-top:0.1pt;height:45.4pt;width:73.1pt;z-index:251717632;mso-width-relative:page;mso-height-relative:page;" filled="f" stroked="f" coordsize="21600,21600" o:gfxdata="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gZu97VAAAABwEAAA8AAAAAAAAAAQAgAAAAIgAAAGRycy9kb3ducmV2LnhtbFBLAQIUABQAAAAI&#10;AIdO4kAGFHfhtwEAAFUDAAAOAAAAAAAAAAEAIAAAACQBAABkcnMvZTJvRG9jLnhtbFBLBQYAAAAA&#10;BgAGAFkBAABNBQAAAAA=&#10;">
                      <v:fill on="f" focussize="0,0"/>
                      <v:stroke on="f"/>
                      <v:imagedata o:title=""/>
                      <o:lock v:ext="edit" aspectratio="f"/>
                      <v:textbox>
                        <w:txbxContent>
                          <w:p w14:paraId="16B35C09">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钧澄公司冷却循环使用</w:t>
                            </w:r>
                          </w:p>
                        </w:txbxContent>
                      </v:textbox>
                    </v:shape>
                  </w:pict>
                </mc:Fallback>
              </mc:AlternateContent>
            </w:r>
            <w:r>
              <w:rPr>
                <w:color w:val="auto"/>
                <w:sz w:val="24"/>
                <w:highlight w:val="none"/>
              </w:rPr>
              <mc:AlternateContent>
                <mc:Choice Requires="wps">
                  <w:drawing>
                    <wp:anchor distT="0" distB="0" distL="114300" distR="114300" simplePos="0" relativeHeight="251716608" behindDoc="0" locked="0" layoutInCell="1" allowOverlap="1">
                      <wp:simplePos x="0" y="0"/>
                      <wp:positionH relativeFrom="column">
                        <wp:posOffset>3919220</wp:posOffset>
                      </wp:positionH>
                      <wp:positionV relativeFrom="paragraph">
                        <wp:posOffset>133350</wp:posOffset>
                      </wp:positionV>
                      <wp:extent cx="376555" cy="635"/>
                      <wp:effectExtent l="0" t="37465" r="4445" b="38100"/>
                      <wp:wrapNone/>
                      <wp:docPr id="58" name="直线 309"/>
                      <wp:cNvGraphicFramePr/>
                      <a:graphic xmlns:a="http://schemas.openxmlformats.org/drawingml/2006/main">
                        <a:graphicData uri="http://schemas.microsoft.com/office/word/2010/wordprocessingShape">
                          <wps:wsp>
                            <wps:cNvCnPr/>
                            <wps:spPr>
                              <a:xfrm>
                                <a:off x="0" y="0"/>
                                <a:ext cx="376555" cy="63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309" o:spid="_x0000_s1026" o:spt="20" style="position:absolute;left:0pt;margin-left:308.6pt;margin-top:10.5pt;height:0.05pt;width:29.65pt;z-index:251716608;mso-width-relative:page;mso-height-relative:page;" filled="f" stroked="t" coordsize="21600,21600" o:gfxdata="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OEcsHZAAAACQEAAA8AAAAAAAAAAQAgAAAAIgAAAGRycy9kb3ducmV2LnhtbFBLAQIU&#10;ABQAAAAIAIdO4kA3D1d18gEAAOIDAAAOAAAAAAAAAAEAIAAAACgBAABkcnMvZTJvRG9jLnhtbFBL&#10;BQYAAAAABgAGAFkBAACMBQAAAAA=&#10;">
                      <v:fill on="f" focussize="0,0"/>
                      <v:stroke color="#000000" joinstyle="round" dashstyle="dash"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712512" behindDoc="0" locked="0" layoutInCell="1" allowOverlap="1">
                      <wp:simplePos x="0" y="0"/>
                      <wp:positionH relativeFrom="column">
                        <wp:posOffset>2970530</wp:posOffset>
                      </wp:positionH>
                      <wp:positionV relativeFrom="paragraph">
                        <wp:posOffset>10795</wp:posOffset>
                      </wp:positionV>
                      <wp:extent cx="1023620" cy="490855"/>
                      <wp:effectExtent l="0" t="0" r="0" b="0"/>
                      <wp:wrapNone/>
                      <wp:docPr id="54" name="自选图形 303"/>
                      <wp:cNvGraphicFramePr/>
                      <a:graphic xmlns:a="http://schemas.openxmlformats.org/drawingml/2006/main">
                        <a:graphicData uri="http://schemas.microsoft.com/office/word/2010/wordprocessingShape">
                          <wps:wsp>
                            <wps:cNvSpPr/>
                            <wps:spPr>
                              <a:xfrm>
                                <a:off x="0" y="0"/>
                                <a:ext cx="1023620" cy="490855"/>
                              </a:xfrm>
                              <a:prstGeom prst="flowChartProcess">
                                <a:avLst/>
                              </a:prstGeom>
                              <a:noFill/>
                              <a:ln>
                                <a:noFill/>
                              </a:ln>
                            </wps:spPr>
                            <wps:txbx>
                              <w:txbxContent>
                                <w:p w14:paraId="50FFB356">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钧澄公司冷却循环水池</w:t>
                                  </w:r>
                                </w:p>
                              </w:txbxContent>
                            </wps:txbx>
                            <wps:bodyPr upright="1"/>
                          </wps:wsp>
                        </a:graphicData>
                      </a:graphic>
                    </wp:anchor>
                  </w:drawing>
                </mc:Choice>
                <mc:Fallback>
                  <w:pict>
                    <v:shape id="自选图形 303" o:spid="_x0000_s1026" o:spt="109" type="#_x0000_t109" style="position:absolute;left:0pt;margin-left:233.9pt;margin-top:0.85pt;height:38.65pt;width:80.6pt;z-index:251712512;mso-width-relative:page;mso-height-relative:page;" filled="f" stroked="f" coordsize="21600,21600" o:gfxdata="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2m/M9UAAAAIAQAADwAAAAAAAAABACAAAAAiAAAAZHJzL2Rvd25yZXYueG1sUEsBAhQAFAAA&#10;AAgAh07iQAM24TS5AQAAVgMAAA4AAAAAAAAAAQAgAAAAJAEAAGRycy9lMm9Eb2MueG1sUEsFBgAA&#10;AAAGAAYAWQEAAE8FAAAAAA==&#10;">
                      <v:fill on="f" focussize="0,0"/>
                      <v:stroke on="f"/>
                      <v:imagedata o:title=""/>
                      <o:lock v:ext="edit" aspectratio="f"/>
                      <v:textbox>
                        <w:txbxContent>
                          <w:p w14:paraId="50FFB356">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钧澄公司冷却循环水池</w:t>
                            </w:r>
                          </w:p>
                        </w:txbxContent>
                      </v:textbox>
                    </v:shape>
                  </w:pict>
                </mc:Fallback>
              </mc:AlternateContent>
            </w:r>
            <w:r>
              <w:rPr>
                <w:color w:val="auto"/>
                <w:sz w:val="24"/>
                <w:highlight w:val="none"/>
              </w:rPr>
              <mc:AlternateContent>
                <mc:Choice Requires="wps">
                  <w:drawing>
                    <wp:anchor distT="0" distB="0" distL="114300" distR="114300" simplePos="0" relativeHeight="251684864" behindDoc="0" locked="0" layoutInCell="1" allowOverlap="1">
                      <wp:simplePos x="0" y="0"/>
                      <wp:positionH relativeFrom="column">
                        <wp:posOffset>2633345</wp:posOffset>
                      </wp:positionH>
                      <wp:positionV relativeFrom="paragraph">
                        <wp:posOffset>165735</wp:posOffset>
                      </wp:positionV>
                      <wp:extent cx="376555" cy="635"/>
                      <wp:effectExtent l="0" t="37465" r="4445" b="38100"/>
                      <wp:wrapNone/>
                      <wp:docPr id="27" name="直线 178"/>
                      <wp:cNvGraphicFramePr/>
                      <a:graphic xmlns:a="http://schemas.openxmlformats.org/drawingml/2006/main">
                        <a:graphicData uri="http://schemas.microsoft.com/office/word/2010/wordprocessingShape">
                          <wps:wsp>
                            <wps:cNvCnPr/>
                            <wps:spPr>
                              <a:xfrm>
                                <a:off x="0" y="0"/>
                                <a:ext cx="376555" cy="63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178" o:spid="_x0000_s1026" o:spt="20" style="position:absolute;left:0pt;margin-left:207.35pt;margin-top:13.05pt;height:0.05pt;width:29.65pt;z-index:251684864;mso-width-relative:page;mso-height-relative:page;" filled="f" stroked="t" coordsize="21600,21600" o:gfxdata="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jk9DnZAAAACQEAAA8AAAAAAAAAAQAgAAAAIgAAAGRycy9kb3ducmV2LnhtbFBLAQIU&#10;ABQAAAAIAIdO4kAld7AU8gEAAOIDAAAOAAAAAAAAAAEAIAAAACgBAABkcnMvZTJvRG9jLnhtbFBL&#10;BQYAAAAABgAGAFkBAACMBQAAAAA=&#10;">
                      <v:fill on="f" focussize="0,0"/>
                      <v:stroke color="#000000" joinstyle="round" dashstyle="dash" endarrow="block"/>
                      <v:imagedata o:title=""/>
                      <o:lock v:ext="edit" aspectratio="f"/>
                    </v:line>
                  </w:pict>
                </mc:Fallback>
              </mc:AlternateContent>
            </w:r>
          </w:p>
          <w:p w14:paraId="696E3588">
            <w:pPr>
              <w:pStyle w:val="59"/>
              <w:spacing w:line="360" w:lineRule="auto"/>
              <w:ind w:firstLine="480" w:firstLineChars="200"/>
              <w:jc w:val="center"/>
              <w:rPr>
                <w:rFonts w:ascii="Times New Roman" w:cs="Times New Roman"/>
                <w:b/>
                <w:color w:val="auto"/>
                <w:kern w:val="24"/>
                <w:sz w:val="24"/>
                <w:highlight w:val="none"/>
              </w:rPr>
            </w:pPr>
            <w:r>
              <w:rPr>
                <w:color w:val="auto"/>
                <w:sz w:val="24"/>
                <w:highlight w:val="none"/>
              </w:rPr>
              <mc:AlternateContent>
                <mc:Choice Requires="wps">
                  <w:drawing>
                    <wp:anchor distT="0" distB="0" distL="114300" distR="114300" simplePos="0" relativeHeight="251691008" behindDoc="0" locked="0" layoutInCell="1" allowOverlap="1">
                      <wp:simplePos x="0" y="0"/>
                      <wp:positionH relativeFrom="column">
                        <wp:posOffset>1031875</wp:posOffset>
                      </wp:positionH>
                      <wp:positionV relativeFrom="paragraph">
                        <wp:posOffset>61595</wp:posOffset>
                      </wp:positionV>
                      <wp:extent cx="636270" cy="255270"/>
                      <wp:effectExtent l="0" t="0" r="0" b="0"/>
                      <wp:wrapNone/>
                      <wp:docPr id="33" name="自选图形 226"/>
                      <wp:cNvGraphicFramePr/>
                      <a:graphic xmlns:a="http://schemas.openxmlformats.org/drawingml/2006/main">
                        <a:graphicData uri="http://schemas.microsoft.com/office/word/2010/wordprocessingShape">
                          <wps:wsp>
                            <wps:cNvSpPr/>
                            <wps:spPr>
                              <a:xfrm>
                                <a:off x="0" y="0"/>
                                <a:ext cx="636270" cy="255270"/>
                              </a:xfrm>
                              <a:prstGeom prst="flowChartProcess">
                                <a:avLst/>
                              </a:prstGeom>
                              <a:noFill/>
                              <a:ln>
                                <a:noFill/>
                              </a:ln>
                            </wps:spPr>
                            <wps:txbx>
                              <w:txbxContent>
                                <w:p w14:paraId="7C15DBA4">
                                  <w:pPr>
                                    <w:jc w:val="center"/>
                                    <w:rPr>
                                      <w:rFonts w:hint="default" w:eastAsia="宋体"/>
                                      <w:lang w:val="en-US" w:eastAsia="zh-CN"/>
                                    </w:rPr>
                                  </w:pPr>
                                  <w:r>
                                    <w:rPr>
                                      <w:rFonts w:hint="eastAsia"/>
                                    </w:rPr>
                                    <w:t>0.</w:t>
                                  </w:r>
                                  <w:r>
                                    <w:rPr>
                                      <w:rFonts w:hint="eastAsia"/>
                                      <w:lang w:val="en-US" w:eastAsia="zh-CN"/>
                                    </w:rPr>
                                    <w:t>012</w:t>
                                  </w:r>
                                </w:p>
                              </w:txbxContent>
                            </wps:txbx>
                            <wps:bodyPr upright="1"/>
                          </wps:wsp>
                        </a:graphicData>
                      </a:graphic>
                    </wp:anchor>
                  </w:drawing>
                </mc:Choice>
                <mc:Fallback>
                  <w:pict>
                    <v:shape id="自选图形 226" o:spid="_x0000_s1026" o:spt="109" type="#_x0000_t109" style="position:absolute;left:0pt;margin-left:81.25pt;margin-top:4.85pt;height:20.1pt;width:50.1pt;z-index:251691008;mso-width-relative:page;mso-height-relative:page;" filled="f" stroked="f" coordsize="21600,21600" o:gfxdata="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iA6PdYAAAAIAQAADwAAAAAAAAABACAAAAAiAAAAZHJzL2Rvd25yZXYueG1sUEsBAhQAFAAAAAgA&#10;h07iQA6C9V+1AQAAVQMAAA4AAAAAAAAAAQAgAAAAJQEAAGRycy9lMm9Eb2MueG1sUEsFBgAAAAAG&#10;AAYAWQEAAEwFAAAAAA==&#10;">
                      <v:fill on="f" focussize="0,0"/>
                      <v:stroke on="f"/>
                      <v:imagedata o:title=""/>
                      <o:lock v:ext="edit" aspectratio="f"/>
                      <v:textbox>
                        <w:txbxContent>
                          <w:p w14:paraId="7C15DBA4">
                            <w:pPr>
                              <w:jc w:val="center"/>
                              <w:rPr>
                                <w:rFonts w:hint="default" w:eastAsia="宋体"/>
                                <w:lang w:val="en-US" w:eastAsia="zh-CN"/>
                              </w:rPr>
                            </w:pPr>
                            <w:r>
                              <w:rPr>
                                <w:rFonts w:hint="eastAsia"/>
                              </w:rPr>
                              <w:t>0.</w:t>
                            </w:r>
                            <w:r>
                              <w:rPr>
                                <w:rFonts w:hint="eastAsia"/>
                                <w:lang w:val="en-US" w:eastAsia="zh-CN"/>
                              </w:rPr>
                              <w:t>012</w:t>
                            </w:r>
                          </w:p>
                        </w:txbxContent>
                      </v:textbox>
                    </v:shape>
                  </w:pict>
                </mc:Fallback>
              </mc:AlternateContent>
            </w:r>
          </w:p>
          <w:p w14:paraId="03B0CE45">
            <w:pPr>
              <w:pStyle w:val="59"/>
              <w:spacing w:line="360" w:lineRule="auto"/>
              <w:ind w:firstLine="480" w:firstLineChars="200"/>
              <w:jc w:val="center"/>
              <w:rPr>
                <w:rFonts w:ascii="Times New Roman" w:cs="Times New Roman"/>
                <w:b/>
                <w:color w:val="auto"/>
                <w:kern w:val="24"/>
                <w:sz w:val="24"/>
                <w:highlight w:val="none"/>
              </w:rPr>
            </w:pPr>
            <w:r>
              <w:rPr>
                <w:color w:val="auto"/>
                <w:sz w:val="24"/>
                <w:highlight w:val="none"/>
              </w:rPr>
              <mc:AlternateContent>
                <mc:Choice Requires="wps">
                  <w:drawing>
                    <wp:anchor distT="0" distB="0" distL="114300" distR="114300" simplePos="0" relativeHeight="251688960" behindDoc="0" locked="0" layoutInCell="1" allowOverlap="1">
                      <wp:simplePos x="0" y="0"/>
                      <wp:positionH relativeFrom="column">
                        <wp:posOffset>873125</wp:posOffset>
                      </wp:positionH>
                      <wp:positionV relativeFrom="paragraph">
                        <wp:posOffset>147955</wp:posOffset>
                      </wp:positionV>
                      <wp:extent cx="782320" cy="255270"/>
                      <wp:effectExtent l="5080" t="5080" r="12700" b="6350"/>
                      <wp:wrapNone/>
                      <wp:docPr id="31" name="自选图形 223"/>
                      <wp:cNvGraphicFramePr/>
                      <a:graphic xmlns:a="http://schemas.openxmlformats.org/drawingml/2006/main">
                        <a:graphicData uri="http://schemas.microsoft.com/office/word/2010/wordprocessingShape">
                          <wps:wsp>
                            <wps:cNvSpPr/>
                            <wps:spPr>
                              <a:xfrm>
                                <a:off x="0" y="0"/>
                                <a:ext cx="782320" cy="2552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BB208C0">
                                  <w:pPr>
                                    <w:jc w:val="center"/>
                                  </w:pPr>
                                  <w:r>
                                    <w:rPr>
                                      <w:rFonts w:hint="eastAsia"/>
                                    </w:rPr>
                                    <w:t>员工生活</w:t>
                                  </w:r>
                                </w:p>
                              </w:txbxContent>
                            </wps:txbx>
                            <wps:bodyPr upright="1"/>
                          </wps:wsp>
                        </a:graphicData>
                      </a:graphic>
                    </wp:anchor>
                  </w:drawing>
                </mc:Choice>
                <mc:Fallback>
                  <w:pict>
                    <v:shape id="自选图形 223" o:spid="_x0000_s1026" o:spt="109" type="#_x0000_t109" style="position:absolute;left:0pt;margin-left:68.75pt;margin-top:11.65pt;height:20.1pt;width:61.6pt;z-index:251688960;mso-width-relative:page;mso-height-relative:page;" fillcolor="#FFFFFF" filled="t" stroked="t" coordsize="21600,21600" o:gfxdata="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KsOoC2AAAAAkBAAAP&#10;AAAAAAAAAAEAIAAAACIAAABkcnMvZG93bnJldi54bWxQSwECFAAUAAAACACHTuJAgVBgJBgCAAA9&#10;BAAADgAAAAAAAAABACAAAAAnAQAAZHJzL2Uyb0RvYy54bWxQSwUGAAAAAAYABgBZAQAAsQUAAAAA&#10;">
                      <v:fill on="t" focussize="0,0"/>
                      <v:stroke color="#000000" joinstyle="miter"/>
                      <v:imagedata o:title=""/>
                      <o:lock v:ext="edit" aspectratio="f"/>
                      <v:textbox>
                        <w:txbxContent>
                          <w:p w14:paraId="6BB208C0">
                            <w:pPr>
                              <w:jc w:val="center"/>
                            </w:pPr>
                            <w:r>
                              <w:rPr>
                                <w:rFonts w:hint="eastAsia"/>
                              </w:rPr>
                              <w:t>员工生活</w:t>
                            </w:r>
                          </w:p>
                        </w:txbxContent>
                      </v:textbox>
                    </v:shape>
                  </w:pict>
                </mc:Fallback>
              </mc:AlternateContent>
            </w:r>
            <w:r>
              <w:rPr>
                <w:color w:val="auto"/>
                <w:sz w:val="24"/>
                <w:highlight w:val="none"/>
              </w:rPr>
              <mc:AlternateContent>
                <mc:Choice Requires="wps">
                  <w:drawing>
                    <wp:anchor distT="0" distB="0" distL="114300" distR="114300" simplePos="0" relativeHeight="251695104" behindDoc="0" locked="0" layoutInCell="1" allowOverlap="1">
                      <wp:simplePos x="0" y="0"/>
                      <wp:positionH relativeFrom="column">
                        <wp:posOffset>3246755</wp:posOffset>
                      </wp:positionH>
                      <wp:positionV relativeFrom="paragraph">
                        <wp:posOffset>254000</wp:posOffset>
                      </wp:positionV>
                      <wp:extent cx="498475" cy="10160"/>
                      <wp:effectExtent l="0" t="29210" r="15875" b="36830"/>
                      <wp:wrapNone/>
                      <wp:docPr id="37" name="直线 230"/>
                      <wp:cNvGraphicFramePr/>
                      <a:graphic xmlns:a="http://schemas.openxmlformats.org/drawingml/2006/main">
                        <a:graphicData uri="http://schemas.microsoft.com/office/word/2010/wordprocessingShape">
                          <wps:wsp>
                            <wps:cNvCnPr/>
                            <wps:spPr>
                              <a:xfrm>
                                <a:off x="0" y="0"/>
                                <a:ext cx="498475" cy="10160"/>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230" o:spid="_x0000_s1026" o:spt="20" style="position:absolute;left:0pt;margin-left:255.65pt;margin-top:20pt;height:0.8pt;width:39.25pt;z-index:251695104;mso-width-relative:page;mso-height-relative:page;" filled="f" stroked="t" coordsize="21600,21600" o:gfxdata="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pGWVNkAAAAJAQAADwAAAAAAAAABACAAAAAiAAAAZHJzL2Rvd25yZXYueG1sUEsB&#10;AhQAFAAAAAgAh07iQCrC+7b0AQAA5AMAAA4AAAAAAAAAAQAgAAAAKAEAAGRycy9lMm9Eb2MueG1s&#10;UEsFBgAAAAAGAAYAWQEAAI4FAAAAAA==&#10;">
                      <v:fill on="f" focussize="0,0"/>
                      <v:stroke color="#000000" joinstyle="round" dashstyle="dash"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99200" behindDoc="0" locked="0" layoutInCell="1" allowOverlap="1">
                      <wp:simplePos x="0" y="0"/>
                      <wp:positionH relativeFrom="column">
                        <wp:posOffset>3086735</wp:posOffset>
                      </wp:positionH>
                      <wp:positionV relativeFrom="paragraph">
                        <wp:posOffset>16510</wp:posOffset>
                      </wp:positionV>
                      <wp:extent cx="601980" cy="255270"/>
                      <wp:effectExtent l="0" t="0" r="0" b="0"/>
                      <wp:wrapNone/>
                      <wp:docPr id="41" name="自选图形 273"/>
                      <wp:cNvGraphicFramePr/>
                      <a:graphic xmlns:a="http://schemas.openxmlformats.org/drawingml/2006/main">
                        <a:graphicData uri="http://schemas.microsoft.com/office/word/2010/wordprocessingShape">
                          <wps:wsp>
                            <wps:cNvSpPr/>
                            <wps:spPr>
                              <a:xfrm>
                                <a:off x="0" y="0"/>
                                <a:ext cx="601980" cy="255270"/>
                              </a:xfrm>
                              <a:prstGeom prst="flowChartProcess">
                                <a:avLst/>
                              </a:prstGeom>
                              <a:noFill/>
                              <a:ln>
                                <a:noFill/>
                              </a:ln>
                            </wps:spPr>
                            <wps:txbx>
                              <w:txbxContent>
                                <w:p w14:paraId="2B788346">
                                  <w:pPr>
                                    <w:jc w:val="center"/>
                                    <w:rPr>
                                      <w:rFonts w:hint="default" w:eastAsia="宋体"/>
                                      <w:lang w:val="en-US" w:eastAsia="zh-CN"/>
                                    </w:rPr>
                                  </w:pPr>
                                  <w:r>
                                    <w:rPr>
                                      <w:rFonts w:hint="eastAsia"/>
                                      <w:lang w:val="en-US" w:eastAsia="zh-CN"/>
                                    </w:rPr>
                                    <w:t>0.048</w:t>
                                  </w:r>
                                </w:p>
                              </w:txbxContent>
                            </wps:txbx>
                            <wps:bodyPr upright="1"/>
                          </wps:wsp>
                        </a:graphicData>
                      </a:graphic>
                    </wp:anchor>
                  </w:drawing>
                </mc:Choice>
                <mc:Fallback>
                  <w:pict>
                    <v:shape id="自选图形 273" o:spid="_x0000_s1026" o:spt="109" type="#_x0000_t109" style="position:absolute;left:0pt;margin-left:243.05pt;margin-top:1.3pt;height:20.1pt;width:47.4pt;z-index:251699200;mso-width-relative:page;mso-height-relative:page;" filled="f" stroked="f" coordsize="21600,21600" o:gfxdata="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TQmvWAAAACAEAAA8AAAAAAAAAAQAgAAAAIgAAAGRycy9kb3ducmV2LnhtbFBLAQIUABQAAAAI&#10;AIdO4kCYu8RutgEAAFUDAAAOAAAAAAAAAAEAIAAAACUBAABkcnMvZTJvRG9jLnhtbFBLBQYAAAAA&#10;BgAGAFkBAABNBQAAAAA=&#10;">
                      <v:fill on="f" focussize="0,0"/>
                      <v:stroke on="f"/>
                      <v:imagedata o:title=""/>
                      <o:lock v:ext="edit" aspectratio="f"/>
                      <v:textbox>
                        <w:txbxContent>
                          <w:p w14:paraId="2B788346">
                            <w:pPr>
                              <w:jc w:val="center"/>
                              <w:rPr>
                                <w:rFonts w:hint="default" w:eastAsia="宋体"/>
                                <w:lang w:val="en-US" w:eastAsia="zh-CN"/>
                              </w:rPr>
                            </w:pPr>
                            <w:r>
                              <w:rPr>
                                <w:rFonts w:hint="eastAsia"/>
                                <w:lang w:val="en-US" w:eastAsia="zh-CN"/>
                              </w:rPr>
                              <w:t>0.048</w:t>
                            </w:r>
                          </w:p>
                        </w:txbxContent>
                      </v:textbox>
                    </v:shape>
                  </w:pict>
                </mc:Fallback>
              </mc:AlternateContent>
            </w:r>
            <w:r>
              <w:rPr>
                <w:color w:val="auto"/>
                <w:sz w:val="24"/>
                <w:highlight w:val="none"/>
              </w:rPr>
              <mc:AlternateContent>
                <mc:Choice Requires="wps">
                  <w:drawing>
                    <wp:anchor distT="0" distB="0" distL="114300" distR="114300" simplePos="0" relativeHeight="251713536" behindDoc="0" locked="0" layoutInCell="1" allowOverlap="1">
                      <wp:simplePos x="0" y="0"/>
                      <wp:positionH relativeFrom="column">
                        <wp:posOffset>3732530</wp:posOffset>
                      </wp:positionH>
                      <wp:positionV relativeFrom="paragraph">
                        <wp:posOffset>112395</wp:posOffset>
                      </wp:positionV>
                      <wp:extent cx="1310005" cy="290830"/>
                      <wp:effectExtent l="0" t="0" r="0" b="0"/>
                      <wp:wrapNone/>
                      <wp:docPr id="55" name="自选图形 304"/>
                      <wp:cNvGraphicFramePr/>
                      <a:graphic xmlns:a="http://schemas.openxmlformats.org/drawingml/2006/main">
                        <a:graphicData uri="http://schemas.microsoft.com/office/word/2010/wordprocessingShape">
                          <wps:wsp>
                            <wps:cNvSpPr/>
                            <wps:spPr>
                              <a:xfrm>
                                <a:off x="0" y="0"/>
                                <a:ext cx="1310005" cy="290830"/>
                              </a:xfrm>
                              <a:prstGeom prst="flowChartProcess">
                                <a:avLst/>
                              </a:prstGeom>
                              <a:noFill/>
                              <a:ln>
                                <a:noFill/>
                              </a:ln>
                            </wps:spPr>
                            <wps:txbx>
                              <w:txbxContent>
                                <w:p w14:paraId="32A68529">
                                  <w:pPr>
                                    <w:pStyle w:val="25"/>
                                    <w:ind w:left="0" w:leftChars="0" w:firstLine="0" w:firstLineChars="0"/>
                                    <w:jc w:val="both"/>
                                    <w:rPr>
                                      <w:sz w:val="21"/>
                                      <w:szCs w:val="21"/>
                                    </w:rPr>
                                  </w:pPr>
                                  <w:r>
                                    <w:rPr>
                                      <w:rFonts w:hint="eastAsia"/>
                                      <w:sz w:val="21"/>
                                      <w:szCs w:val="21"/>
                                      <w:lang w:val="en-US" w:eastAsia="zh-CN"/>
                                    </w:rPr>
                                    <w:t>钧澄公司综合利用</w:t>
                                  </w:r>
                                </w:p>
                              </w:txbxContent>
                            </wps:txbx>
                            <wps:bodyPr upright="1"/>
                          </wps:wsp>
                        </a:graphicData>
                      </a:graphic>
                    </wp:anchor>
                  </w:drawing>
                </mc:Choice>
                <mc:Fallback>
                  <w:pict>
                    <v:shape id="自选图形 304" o:spid="_x0000_s1026" o:spt="109" type="#_x0000_t109" style="position:absolute;left:0pt;margin-left:293.9pt;margin-top:8.85pt;height:22.9pt;width:103.15pt;z-index:251713536;mso-width-relative:page;mso-height-relative:page;" filled="f" stroked="f" coordsize="21600,21600" o:gfxdata="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FpYnfXAAAACQEAAA8AAAAAAAAAAQAgAAAAIgAAAGRycy9kb3ducmV2LnhtbFBLAQIUABQA&#10;AAAIAIdO4kBYbZSeuAEAAFYDAAAOAAAAAAAAAAEAIAAAACYBAABkcnMvZTJvRG9jLnhtbFBLBQYA&#10;AAAABgAGAFkBAABQBQAAAAA=&#10;">
                      <v:fill on="f" focussize="0,0"/>
                      <v:stroke on="f"/>
                      <v:imagedata o:title=""/>
                      <o:lock v:ext="edit" aspectratio="f"/>
                      <v:textbox>
                        <w:txbxContent>
                          <w:p w14:paraId="32A68529">
                            <w:pPr>
                              <w:pStyle w:val="25"/>
                              <w:ind w:left="0" w:leftChars="0" w:firstLine="0" w:firstLineChars="0"/>
                              <w:jc w:val="both"/>
                              <w:rPr>
                                <w:sz w:val="21"/>
                                <w:szCs w:val="21"/>
                              </w:rPr>
                            </w:pPr>
                            <w:r>
                              <w:rPr>
                                <w:rFonts w:hint="eastAsia"/>
                                <w:sz w:val="21"/>
                                <w:szCs w:val="21"/>
                                <w:lang w:val="en-US" w:eastAsia="zh-CN"/>
                              </w:rPr>
                              <w:t>钧澄公司综合利用</w:t>
                            </w:r>
                          </w:p>
                        </w:txbxContent>
                      </v:textbox>
                    </v:shape>
                  </w:pict>
                </mc:Fallback>
              </mc:AlternateContent>
            </w:r>
            <w:r>
              <w:rPr>
                <w:color w:val="auto"/>
                <w:sz w:val="24"/>
                <w:highlight w:val="none"/>
              </w:rPr>
              <mc:AlternateContent>
                <mc:Choice Requires="wps">
                  <w:drawing>
                    <wp:anchor distT="0" distB="0" distL="114300" distR="114300" simplePos="0" relativeHeight="251698176" behindDoc="0" locked="0" layoutInCell="1" allowOverlap="1">
                      <wp:simplePos x="0" y="0"/>
                      <wp:positionH relativeFrom="column">
                        <wp:posOffset>388620</wp:posOffset>
                      </wp:positionH>
                      <wp:positionV relativeFrom="paragraph">
                        <wp:posOffset>36830</wp:posOffset>
                      </wp:positionV>
                      <wp:extent cx="446405" cy="255270"/>
                      <wp:effectExtent l="0" t="0" r="0" b="0"/>
                      <wp:wrapNone/>
                      <wp:docPr id="40" name="自选图形 271"/>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208A8752">
                                  <w:pPr>
                                    <w:jc w:val="center"/>
                                    <w:rPr>
                                      <w:rFonts w:hint="default" w:eastAsia="宋体"/>
                                      <w:lang w:val="en-US" w:eastAsia="zh-CN"/>
                                    </w:rPr>
                                  </w:pPr>
                                  <w:r>
                                    <w:rPr>
                                      <w:rFonts w:hint="eastAsia"/>
                                      <w:lang w:val="en-US" w:eastAsia="zh-CN"/>
                                    </w:rPr>
                                    <w:t>0.06</w:t>
                                  </w:r>
                                </w:p>
                              </w:txbxContent>
                            </wps:txbx>
                            <wps:bodyPr upright="1"/>
                          </wps:wsp>
                        </a:graphicData>
                      </a:graphic>
                    </wp:anchor>
                  </w:drawing>
                </mc:Choice>
                <mc:Fallback>
                  <w:pict>
                    <v:shape id="自选图形 271" o:spid="_x0000_s1026" o:spt="109" type="#_x0000_t109" style="position:absolute;left:0pt;margin-left:30.6pt;margin-top:2.9pt;height:20.1pt;width:35.15pt;z-index:251698176;mso-width-relative:page;mso-height-relative:page;" filled="f" stroked="f" coordsize="21600,21600" o:gfxdata="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sN2i1AAAAAcBAAAPAAAAAAAAAAEAIAAAACIAAABkcnMvZG93bnJldi54bWxQSwECFAAUAAAACACH&#10;TuJANCYfI7YBAABVAwAADgAAAAAAAAABACAAAAAjAQAAZHJzL2Uyb0RvYy54bWxQSwUGAAAAAAYA&#10;BgBZAQAASwUAAAAA&#10;">
                      <v:fill on="f" focussize="0,0"/>
                      <v:stroke on="f"/>
                      <v:imagedata o:title=""/>
                      <o:lock v:ext="edit" aspectratio="f"/>
                      <v:textbox>
                        <w:txbxContent>
                          <w:p w14:paraId="208A8752">
                            <w:pPr>
                              <w:jc w:val="center"/>
                              <w:rPr>
                                <w:rFonts w:hint="default" w:eastAsia="宋体"/>
                                <w:lang w:val="en-US" w:eastAsia="zh-CN"/>
                              </w:rPr>
                            </w:pPr>
                            <w:r>
                              <w:rPr>
                                <w:rFonts w:hint="eastAsia"/>
                                <w:lang w:val="en-US" w:eastAsia="zh-CN"/>
                              </w:rPr>
                              <w:t>0.06</w:t>
                            </w:r>
                          </w:p>
                        </w:txbxContent>
                      </v:textbox>
                    </v:shape>
                  </w:pict>
                </mc:Fallback>
              </mc:AlternateContent>
            </w:r>
            <w:r>
              <w:rPr>
                <w:color w:val="auto"/>
                <w:sz w:val="24"/>
                <w:highlight w:val="none"/>
              </w:rPr>
              <mc:AlternateContent>
                <mc:Choice Requires="wps">
                  <w:drawing>
                    <wp:anchor distT="0" distB="0" distL="114300" distR="114300" simplePos="0" relativeHeight="251694080" behindDoc="0" locked="0" layoutInCell="1" allowOverlap="1">
                      <wp:simplePos x="0" y="0"/>
                      <wp:positionH relativeFrom="column">
                        <wp:posOffset>2165350</wp:posOffset>
                      </wp:positionH>
                      <wp:positionV relativeFrom="paragraph">
                        <wp:posOffset>131445</wp:posOffset>
                      </wp:positionV>
                      <wp:extent cx="1027430" cy="254000"/>
                      <wp:effectExtent l="4445" t="4445" r="15875" b="8255"/>
                      <wp:wrapNone/>
                      <wp:docPr id="36" name="自选图形 229"/>
                      <wp:cNvGraphicFramePr/>
                      <a:graphic xmlns:a="http://schemas.openxmlformats.org/drawingml/2006/main">
                        <a:graphicData uri="http://schemas.microsoft.com/office/word/2010/wordprocessingShape">
                          <wps:wsp>
                            <wps:cNvSpPr/>
                            <wps:spPr>
                              <a:xfrm>
                                <a:off x="0" y="0"/>
                                <a:ext cx="1027430" cy="254000"/>
                              </a:xfrm>
                              <a:prstGeom prst="flowChartProcess">
                                <a:avLst/>
                              </a:prstGeom>
                              <a:noFill/>
                              <a:ln w="9525" cap="flat" cmpd="sng">
                                <a:solidFill>
                                  <a:srgbClr val="000000"/>
                                </a:solidFill>
                                <a:prstDash val="solid"/>
                                <a:miter/>
                                <a:headEnd type="none" w="med" len="med"/>
                                <a:tailEnd type="none" w="med" len="med"/>
                              </a:ln>
                            </wps:spPr>
                            <wps:txbx>
                              <w:txbxContent>
                                <w:p w14:paraId="63FB505E">
                                  <w:pPr>
                                    <w:jc w:val="center"/>
                                    <w:rPr>
                                      <w:sz w:val="18"/>
                                      <w:szCs w:val="18"/>
                                    </w:rPr>
                                  </w:pPr>
                                  <w:r>
                                    <w:rPr>
                                      <w:rFonts w:hint="eastAsia"/>
                                      <w:kern w:val="0"/>
                                      <w:sz w:val="18"/>
                                      <w:szCs w:val="18"/>
                                      <w:lang w:val="en-US" w:eastAsia="zh-CN"/>
                                    </w:rPr>
                                    <w:t>钧澄公司</w:t>
                                  </w:r>
                                  <w:r>
                                    <w:rPr>
                                      <w:rFonts w:hint="eastAsia"/>
                                      <w:kern w:val="0"/>
                                      <w:sz w:val="18"/>
                                      <w:szCs w:val="18"/>
                                    </w:rPr>
                                    <w:t>化粪池</w:t>
                                  </w:r>
                                </w:p>
                                <w:p w14:paraId="03D8259D">
                                  <w:pPr>
                                    <w:rPr>
                                      <w:sz w:val="18"/>
                                      <w:szCs w:val="18"/>
                                    </w:rPr>
                                  </w:pPr>
                                </w:p>
                              </w:txbxContent>
                            </wps:txbx>
                            <wps:bodyPr upright="1"/>
                          </wps:wsp>
                        </a:graphicData>
                      </a:graphic>
                    </wp:anchor>
                  </w:drawing>
                </mc:Choice>
                <mc:Fallback>
                  <w:pict>
                    <v:shape id="自选图形 229" o:spid="_x0000_s1026" o:spt="109" type="#_x0000_t109" style="position:absolute;left:0pt;margin-left:170.5pt;margin-top:10.35pt;height:20pt;width:80.9pt;z-index:251694080;mso-width-relative:page;mso-height-relative:page;" filled="f" stroked="t" coordsize="21600,21600" o:gfxdata="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bvvC1wAAAAkBAAAPAAAAAAAA&#10;AAEAIAAAACIAAABkcnMvZG93bnJldi54bWxQSwECFAAUAAAACACHTuJAFyZKNBMCAAAVBAAADgAA&#10;AAAAAAABACAAAAAmAQAAZHJzL2Uyb0RvYy54bWxQSwUGAAAAAAYABgBZAQAAqwUAAAAA&#10;">
                      <v:fill on="f" focussize="0,0"/>
                      <v:stroke color="#000000" joinstyle="miter"/>
                      <v:imagedata o:title=""/>
                      <o:lock v:ext="edit" aspectratio="f"/>
                      <v:textbox>
                        <w:txbxContent>
                          <w:p w14:paraId="63FB505E">
                            <w:pPr>
                              <w:jc w:val="center"/>
                              <w:rPr>
                                <w:sz w:val="18"/>
                                <w:szCs w:val="18"/>
                              </w:rPr>
                            </w:pPr>
                            <w:r>
                              <w:rPr>
                                <w:rFonts w:hint="eastAsia"/>
                                <w:kern w:val="0"/>
                                <w:sz w:val="18"/>
                                <w:szCs w:val="18"/>
                                <w:lang w:val="en-US" w:eastAsia="zh-CN"/>
                              </w:rPr>
                              <w:t>钧澄公司</w:t>
                            </w:r>
                            <w:r>
                              <w:rPr>
                                <w:rFonts w:hint="eastAsia"/>
                                <w:kern w:val="0"/>
                                <w:sz w:val="18"/>
                                <w:szCs w:val="18"/>
                              </w:rPr>
                              <w:t>化粪池</w:t>
                            </w:r>
                          </w:p>
                          <w:p w14:paraId="03D8259D">
                            <w:pPr>
                              <w:rPr>
                                <w:sz w:val="18"/>
                                <w:szCs w:val="18"/>
                              </w:rPr>
                            </w:pPr>
                          </w:p>
                        </w:txbxContent>
                      </v:textbox>
                    </v:shape>
                  </w:pict>
                </mc:Fallback>
              </mc:AlternateContent>
            </w:r>
            <w:r>
              <w:rPr>
                <w:color w:val="auto"/>
                <w:sz w:val="24"/>
                <w:highlight w:val="none"/>
              </w:rPr>
              <mc:AlternateContent>
                <mc:Choice Requires="wps">
                  <w:drawing>
                    <wp:anchor distT="0" distB="0" distL="114300" distR="114300" simplePos="0" relativeHeight="251693056" behindDoc="0" locked="0" layoutInCell="1" allowOverlap="1">
                      <wp:simplePos x="0" y="0"/>
                      <wp:positionH relativeFrom="column">
                        <wp:posOffset>1619250</wp:posOffset>
                      </wp:positionH>
                      <wp:positionV relativeFrom="paragraph">
                        <wp:posOffset>20955</wp:posOffset>
                      </wp:positionV>
                      <wp:extent cx="560705" cy="255270"/>
                      <wp:effectExtent l="0" t="0" r="0" b="0"/>
                      <wp:wrapNone/>
                      <wp:docPr id="35" name="自选图形 228"/>
                      <wp:cNvGraphicFramePr/>
                      <a:graphic xmlns:a="http://schemas.openxmlformats.org/drawingml/2006/main">
                        <a:graphicData uri="http://schemas.microsoft.com/office/word/2010/wordprocessingShape">
                          <wps:wsp>
                            <wps:cNvSpPr/>
                            <wps:spPr>
                              <a:xfrm>
                                <a:off x="0" y="0"/>
                                <a:ext cx="560705" cy="255270"/>
                              </a:xfrm>
                              <a:prstGeom prst="flowChartProcess">
                                <a:avLst/>
                              </a:prstGeom>
                              <a:noFill/>
                              <a:ln>
                                <a:noFill/>
                              </a:ln>
                            </wps:spPr>
                            <wps:txbx>
                              <w:txbxContent>
                                <w:p w14:paraId="4334C884">
                                  <w:pPr>
                                    <w:jc w:val="center"/>
                                    <w:rPr>
                                      <w:rFonts w:hint="default" w:eastAsia="宋体"/>
                                      <w:lang w:val="en-US" w:eastAsia="zh-CN"/>
                                    </w:rPr>
                                  </w:pPr>
                                  <w:r>
                                    <w:rPr>
                                      <w:rFonts w:hint="eastAsia"/>
                                      <w:lang w:val="en-US" w:eastAsia="zh-CN"/>
                                    </w:rPr>
                                    <w:t>0.048</w:t>
                                  </w:r>
                                </w:p>
                              </w:txbxContent>
                            </wps:txbx>
                            <wps:bodyPr upright="1"/>
                          </wps:wsp>
                        </a:graphicData>
                      </a:graphic>
                    </wp:anchor>
                  </w:drawing>
                </mc:Choice>
                <mc:Fallback>
                  <w:pict>
                    <v:shape id="自选图形 228" o:spid="_x0000_s1026" o:spt="109" type="#_x0000_t109" style="position:absolute;left:0pt;margin-left:127.5pt;margin-top:1.65pt;height:20.1pt;width:44.15pt;z-index:251693056;mso-width-relative:page;mso-height-relative:page;" filled="f" stroked="f" coordsize="21600,21600" o:gfxdata="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nafsfVAAAACAEAAA8AAAAAAAAAAQAgAAAAIgAAAGRycy9kb3ducmV2LnhtbFBLAQIUABQAAAAI&#10;AIdO4kAZv9EFtwEAAFUDAAAOAAAAAAAAAAEAIAAAACQBAABkcnMvZTJvRG9jLnhtbFBLBQYAAAAA&#10;BgAGAFkBAABNBQAAAAA=&#10;">
                      <v:fill on="f" focussize="0,0"/>
                      <v:stroke on="f"/>
                      <v:imagedata o:title=""/>
                      <o:lock v:ext="edit" aspectratio="f"/>
                      <v:textbox>
                        <w:txbxContent>
                          <w:p w14:paraId="4334C884">
                            <w:pPr>
                              <w:jc w:val="center"/>
                              <w:rPr>
                                <w:rFonts w:hint="default" w:eastAsia="宋体"/>
                                <w:lang w:val="en-US" w:eastAsia="zh-CN"/>
                              </w:rPr>
                            </w:pPr>
                            <w:r>
                              <w:rPr>
                                <w:rFonts w:hint="eastAsia"/>
                                <w:lang w:val="en-US" w:eastAsia="zh-CN"/>
                              </w:rPr>
                              <w:t>0.048</w:t>
                            </w:r>
                          </w:p>
                        </w:txbxContent>
                      </v:textbox>
                    </v:shape>
                  </w:pict>
                </mc:Fallback>
              </mc:AlternateContent>
            </w:r>
            <w:r>
              <w:rPr>
                <w:color w:val="auto"/>
                <w:sz w:val="24"/>
                <w:highlight w:val="none"/>
              </w:rPr>
              <mc:AlternateContent>
                <mc:Choice Requires="wps">
                  <w:drawing>
                    <wp:anchor distT="0" distB="0" distL="114300" distR="114300" simplePos="0" relativeHeight="251692032" behindDoc="0" locked="0" layoutInCell="1" allowOverlap="1">
                      <wp:simplePos x="0" y="0"/>
                      <wp:positionH relativeFrom="column">
                        <wp:posOffset>1677670</wp:posOffset>
                      </wp:positionH>
                      <wp:positionV relativeFrom="paragraph">
                        <wp:posOffset>260985</wp:posOffset>
                      </wp:positionV>
                      <wp:extent cx="494030" cy="635"/>
                      <wp:effectExtent l="0" t="37465" r="1270" b="38100"/>
                      <wp:wrapNone/>
                      <wp:docPr id="34" name="直线 227"/>
                      <wp:cNvGraphicFramePr/>
                      <a:graphic xmlns:a="http://schemas.openxmlformats.org/drawingml/2006/main">
                        <a:graphicData uri="http://schemas.microsoft.com/office/word/2010/wordprocessingShape">
                          <wps:wsp>
                            <wps:cNvCnPr/>
                            <wps:spPr>
                              <a:xfrm>
                                <a:off x="0" y="0"/>
                                <a:ext cx="494030" cy="63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直线 227" o:spid="_x0000_s1026" o:spt="20" style="position:absolute;left:0pt;margin-left:132.1pt;margin-top:20.55pt;height:0.05pt;width:38.9pt;z-index:251692032;mso-width-relative:page;mso-height-relative:page;" filled="f" stroked="t" coordsize="21600,21600" o:gfxdata="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vCGx7ZAAAACQEAAA8AAAAAAAAAAQAgAAAAIgAAAGRycy9kb3ducmV2LnhtbFBLAQIU&#10;ABQAAAAIAIdO4kAgdZ2m8gEAAOIDAAAOAAAAAAAAAAEAIAAAACgBAABkcnMvZTJvRG9jLnhtbFBL&#10;BQYAAAAABgAGAFkBAACMBQAAAAA=&#10;">
                      <v:fill on="f" focussize="0,0"/>
                      <v:stroke color="#000000" joinstyle="round" dashstyle="dash"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689984" behindDoc="0" locked="0" layoutInCell="1" allowOverlap="1">
                      <wp:simplePos x="0" y="0"/>
                      <wp:positionH relativeFrom="column">
                        <wp:posOffset>1124585</wp:posOffset>
                      </wp:positionH>
                      <wp:positionV relativeFrom="paragraph">
                        <wp:posOffset>33020</wp:posOffset>
                      </wp:positionV>
                      <wp:extent cx="177165" cy="120015"/>
                      <wp:effectExtent l="6350" t="0" r="26035" b="13335"/>
                      <wp:wrapNone/>
                      <wp:docPr id="32" name="任意多边形 225"/>
                      <wp:cNvGraphicFramePr/>
                      <a:graphic xmlns:a="http://schemas.openxmlformats.org/drawingml/2006/main">
                        <a:graphicData uri="http://schemas.microsoft.com/office/word/2010/wordprocessingShape">
                          <wps:wsp>
                            <wps:cNvSpPr/>
                            <wps:spPr>
                              <a:xfrm>
                                <a:off x="0" y="0"/>
                                <a:ext cx="177165" cy="120015"/>
                              </a:xfrm>
                              <a:custGeom>
                                <a:avLst/>
                                <a:gdLst/>
                                <a:ahLst/>
                                <a:cxnLst/>
                                <a:pathLst>
                                  <a:path w="641" h="434">
                                    <a:moveTo>
                                      <a:pt x="0" y="341"/>
                                    </a:moveTo>
                                    <a:cubicBezTo>
                                      <a:pt x="56" y="307"/>
                                      <a:pt x="202" y="180"/>
                                      <a:pt x="300" y="191"/>
                                    </a:cubicBezTo>
                                    <a:cubicBezTo>
                                      <a:pt x="398" y="202"/>
                                      <a:pt x="423" y="434"/>
                                      <a:pt x="491" y="396"/>
                                    </a:cubicBezTo>
                                    <a:cubicBezTo>
                                      <a:pt x="559" y="358"/>
                                      <a:pt x="608" y="104"/>
                                      <a:pt x="641" y="0"/>
                                    </a:cubicBezTo>
                                  </a:path>
                                </a:pathLst>
                              </a:custGeom>
                              <a:noFill/>
                              <a:ln w="9525" cap="sq" cmpd="sng">
                                <a:solidFill>
                                  <a:srgbClr val="000000"/>
                                </a:solidFill>
                                <a:prstDash val="sysDot"/>
                                <a:headEnd type="none" w="med" len="med"/>
                                <a:tailEnd type="triangle" w="med" len="med"/>
                              </a:ln>
                            </wps:spPr>
                            <wps:bodyPr upright="1"/>
                          </wps:wsp>
                        </a:graphicData>
                      </a:graphic>
                    </wp:anchor>
                  </w:drawing>
                </mc:Choice>
                <mc:Fallback>
                  <w:pict>
                    <v:shape id="任意多边形 225" o:spid="_x0000_s1026" o:spt="100" style="position:absolute;left:0pt;margin-left:88.55pt;margin-top:2.6pt;height:9.45pt;width:13.95pt;z-index:251689984;mso-width-relative:page;mso-height-relative:page;" filled="f" stroked="t" coordsize="641,434" o:gfxdata="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h8S6U1QAAAAgBAAAPAAAAAAAAAAEAIAAAACIAAABkcnMvZG93bnJldi54bWxQSwECFAAU&#10;AAAACACHTuJAQ3ICdZ8CAACRBQAADgAAAAAAAAABACAAAAAkAQAAZHJzL2Uyb0RvYy54bWxQSwUG&#10;AAAAAAYABgBZAQAANQYAAAAA&#10;" path="m0,341c56,307,202,180,300,191c398,202,423,434,491,396c559,358,608,104,641,0e">
                      <v:fill on="f" focussize="0,0"/>
                      <v:stroke color="#000000" joinstyle="round" dashstyle="1 1" endcap="square" endarrow="block"/>
                      <v:imagedata o:title=""/>
                      <o:lock v:ext="edit" aspectratio="f"/>
                    </v:shape>
                  </w:pict>
                </mc:Fallback>
              </mc:AlternateContent>
            </w:r>
          </w:p>
          <w:p w14:paraId="0FAB22FB">
            <w:pPr>
              <w:pStyle w:val="59"/>
              <w:spacing w:line="360" w:lineRule="auto"/>
              <w:ind w:firstLine="480" w:firstLineChars="200"/>
              <w:jc w:val="center"/>
              <w:rPr>
                <w:rFonts w:ascii="Times New Roman" w:cs="Times New Roman"/>
                <w:b/>
                <w:color w:val="auto"/>
                <w:kern w:val="24"/>
                <w:sz w:val="24"/>
                <w:highlight w:val="none"/>
              </w:rPr>
            </w:pPr>
            <w:r>
              <w:rPr>
                <w:color w:val="auto"/>
                <w:sz w:val="24"/>
                <w:highlight w:val="none"/>
              </w:rPr>
              <mc:AlternateContent>
                <mc:Choice Requires="wps">
                  <w:drawing>
                    <wp:anchor distT="0" distB="0" distL="114300" distR="114300" simplePos="0" relativeHeight="251687936" behindDoc="0" locked="0" layoutInCell="1" allowOverlap="1">
                      <wp:simplePos x="0" y="0"/>
                      <wp:positionH relativeFrom="column">
                        <wp:posOffset>407670</wp:posOffset>
                      </wp:positionH>
                      <wp:positionV relativeFrom="paragraph">
                        <wp:posOffset>6350</wp:posOffset>
                      </wp:positionV>
                      <wp:extent cx="494030" cy="635"/>
                      <wp:effectExtent l="0" t="37465" r="1270" b="38100"/>
                      <wp:wrapNone/>
                      <wp:docPr id="30" name="直线 222"/>
                      <wp:cNvGraphicFramePr/>
                      <a:graphic xmlns:a="http://schemas.openxmlformats.org/drawingml/2006/main">
                        <a:graphicData uri="http://schemas.microsoft.com/office/word/2010/wordprocessingShape">
                          <wps:wsp>
                            <wps:cNvCnPr/>
                            <wps:spPr>
                              <a:xfrm>
                                <a:off x="0" y="0"/>
                                <a:ext cx="49403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2" o:spid="_x0000_s1026" o:spt="20" style="position:absolute;left:0pt;margin-left:32.1pt;margin-top:0.5pt;height:0.05pt;width:38.9pt;z-index:251687936;mso-width-relative:page;mso-height-relative:page;" filled="f" stroked="t" coordsize="21600,21600" o:gfxdata="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dCDdYAAAAGAQAADwAAAAAAAAABACAAAAAiAAAAZHJzL2Rvd25yZXYueG1sUEsBAhQAFAAA&#10;AAgAh07iQKvbUKLxAQAA4wMAAA4AAAAAAAAAAQAgAAAAJQEAAGRycy9lMm9Eb2MueG1sUEsFBgAA&#10;AAAGAAYAWQEAAIgFAAAAAA==&#10;">
                      <v:fill on="f" focussize="0,0"/>
                      <v:stroke color="#000000" joinstyle="round" endarrow="block"/>
                      <v:imagedata o:title=""/>
                      <o:lock v:ext="edit" aspectratio="f"/>
                    </v:line>
                  </w:pict>
                </mc:Fallback>
              </mc:AlternateContent>
            </w:r>
          </w:p>
          <w:p w14:paraId="56B39A91">
            <w:pPr>
              <w:pStyle w:val="59"/>
              <w:spacing w:line="360" w:lineRule="auto"/>
              <w:ind w:firstLine="422" w:firstLineChars="200"/>
              <w:jc w:val="center"/>
              <w:rPr>
                <w:rFonts w:ascii="Times New Roman" w:hAnsi="Times New Roman" w:cs="Times New Roman"/>
                <w:color w:val="auto"/>
                <w:szCs w:val="21"/>
                <w:highlight w:val="none"/>
                <w:lang w:val="en-US"/>
              </w:rPr>
            </w:pPr>
            <w:r>
              <w:rPr>
                <w:rFonts w:ascii="Times New Roman" w:cs="Times New Roman"/>
                <w:b/>
                <w:color w:val="auto"/>
                <w:kern w:val="24"/>
                <w:szCs w:val="21"/>
                <w:highlight w:val="none"/>
              </w:rPr>
              <w:t>图</w:t>
            </w:r>
            <w:r>
              <w:rPr>
                <w:rFonts w:hint="eastAsia" w:ascii="Times New Roman" w:hAnsi="Times New Roman" w:cs="Times New Roman"/>
                <w:b/>
                <w:color w:val="auto"/>
                <w:kern w:val="24"/>
                <w:szCs w:val="21"/>
                <w:highlight w:val="none"/>
              </w:rPr>
              <w:t>2-</w:t>
            </w:r>
            <w:r>
              <w:rPr>
                <w:rFonts w:hint="eastAsia" w:ascii="Times New Roman" w:hAnsi="Times New Roman" w:cs="Times New Roman"/>
                <w:b/>
                <w:color w:val="auto"/>
                <w:kern w:val="24"/>
                <w:szCs w:val="21"/>
                <w:highlight w:val="none"/>
                <w:lang w:val="en-US"/>
              </w:rPr>
              <w:t>1</w:t>
            </w:r>
            <w:r>
              <w:rPr>
                <w:rFonts w:ascii="Times New Roman" w:hAnsi="Times New Roman" w:cs="Times New Roman"/>
                <w:b/>
                <w:color w:val="auto"/>
                <w:kern w:val="24"/>
                <w:szCs w:val="21"/>
                <w:highlight w:val="none"/>
              </w:rPr>
              <w:t xml:space="preserve">  </w:t>
            </w:r>
            <w:r>
              <w:rPr>
                <w:rFonts w:hint="eastAsia" w:ascii="Times New Roman" w:hAnsi="Times New Roman" w:cs="Times New Roman"/>
                <w:b/>
                <w:color w:val="auto"/>
                <w:kern w:val="24"/>
                <w:szCs w:val="21"/>
                <w:highlight w:val="none"/>
              </w:rPr>
              <w:t>本项</w:t>
            </w:r>
            <w:r>
              <w:rPr>
                <w:rFonts w:hint="eastAsia" w:ascii="Times New Roman" w:hAnsi="Times New Roman" w:cs="Times New Roman"/>
                <w:b/>
                <w:color w:val="auto"/>
                <w:kern w:val="24"/>
                <w:szCs w:val="21"/>
                <w:highlight w:val="none"/>
                <w:lang w:val="en-US"/>
              </w:rPr>
              <w:t>目水量平衡图</w:t>
            </w:r>
            <w:r>
              <w:rPr>
                <w:rFonts w:ascii="Times New Roman" w:hAnsi="Times New Roman" w:cs="Times New Roman"/>
                <w:b/>
                <w:color w:val="auto"/>
                <w:kern w:val="24"/>
                <w:szCs w:val="21"/>
                <w:highlight w:val="none"/>
              </w:rPr>
              <w:t xml:space="preserve">  </w:t>
            </w:r>
            <w:r>
              <w:rPr>
                <w:rFonts w:ascii="Times New Roman" w:cs="Times New Roman"/>
                <w:b/>
                <w:color w:val="auto"/>
                <w:kern w:val="24"/>
                <w:szCs w:val="21"/>
                <w:highlight w:val="none"/>
              </w:rPr>
              <w:t>单位：</w:t>
            </w:r>
            <w:r>
              <w:rPr>
                <w:rFonts w:hint="eastAsia" w:ascii="Times New Roman" w:hAnsi="Times New Roman" w:cs="Times New Roman"/>
                <w:b/>
                <w:color w:val="auto"/>
                <w:kern w:val="24"/>
                <w:szCs w:val="21"/>
                <w:highlight w:val="none"/>
                <w:lang w:val="en-US"/>
              </w:rPr>
              <w:t>m</w:t>
            </w:r>
            <w:r>
              <w:rPr>
                <w:rFonts w:hint="eastAsia" w:ascii="Times New Roman" w:hAnsi="Times New Roman" w:cs="Times New Roman"/>
                <w:b/>
                <w:color w:val="auto"/>
                <w:kern w:val="24"/>
                <w:szCs w:val="21"/>
                <w:highlight w:val="none"/>
                <w:vertAlign w:val="superscript"/>
                <w:lang w:val="en-US"/>
              </w:rPr>
              <w:t>3</w:t>
            </w:r>
            <w:r>
              <w:rPr>
                <w:rFonts w:hint="eastAsia" w:ascii="Times New Roman" w:hAnsi="Times New Roman" w:cs="Times New Roman"/>
                <w:b/>
                <w:color w:val="auto"/>
                <w:kern w:val="24"/>
                <w:szCs w:val="21"/>
                <w:highlight w:val="none"/>
                <w:lang w:val="en-US"/>
              </w:rPr>
              <w:t>/d</w:t>
            </w:r>
          </w:p>
          <w:p w14:paraId="6DE6DC70">
            <w:pPr>
              <w:pStyle w:val="24"/>
              <w:adjustRightInd w:val="0"/>
              <w:snapToGrid w:val="0"/>
              <w:ind w:firstLine="240"/>
              <w:rPr>
                <w:color w:val="auto"/>
                <w:kern w:val="24"/>
                <w:sz w:val="24"/>
                <w:highlight w:val="none"/>
              </w:rPr>
            </w:pPr>
            <w:r>
              <w:rPr>
                <w:color w:val="auto"/>
                <w:sz w:val="24"/>
                <w:highlight w:val="none"/>
              </w:rPr>
              <mc:AlternateContent>
                <mc:Choice Requires="wps">
                  <w:drawing>
                    <wp:anchor distT="0" distB="0" distL="114300" distR="114300" simplePos="0" relativeHeight="251711488" behindDoc="0" locked="0" layoutInCell="1" allowOverlap="1">
                      <wp:simplePos x="0" y="0"/>
                      <wp:positionH relativeFrom="column">
                        <wp:posOffset>4198620</wp:posOffset>
                      </wp:positionH>
                      <wp:positionV relativeFrom="paragraph">
                        <wp:posOffset>113030</wp:posOffset>
                      </wp:positionV>
                      <wp:extent cx="446405" cy="255270"/>
                      <wp:effectExtent l="0" t="0" r="0" b="0"/>
                      <wp:wrapNone/>
                      <wp:docPr id="53" name="自选图形 301"/>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1BEA295D">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301" o:spid="_x0000_s1026" o:spt="109" type="#_x0000_t109" style="position:absolute;left:0pt;margin-left:330.6pt;margin-top:8.9pt;height:20.1pt;width:35.15pt;z-index:251711488;mso-width-relative:page;mso-height-relative:page;" filled="f" stroked="f" coordsize="21600,21600" o:gfxdata="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oHOr1gAAAAkBAAAPAAAAAAAAAAEAIAAAACIAAABkcnMvZG93bnJldi54bWxQSwECFAAUAAAA&#10;CACHTuJAn0VJ/LcBAABVAwAADgAAAAAAAAABACAAAAAlAQAAZHJzL2Uyb0RvYy54bWxQSwUGAAAA&#10;AAYABgBZAQAATgUAAAAA&#10;">
                      <v:fill on="f" focussize="0,0"/>
                      <v:stroke on="f"/>
                      <v:imagedata o:title=""/>
                      <o:lock v:ext="edit" aspectratio="f"/>
                      <v:textbox>
                        <w:txbxContent>
                          <w:p w14:paraId="1BEA295D">
                            <w:pPr>
                              <w:jc w:val="center"/>
                              <w:rPr>
                                <w:rFonts w:hint="default" w:eastAsia="宋体"/>
                                <w:lang w:val="en-US" w:eastAsia="zh-CN"/>
                              </w:rPr>
                            </w:pPr>
                            <w:r>
                              <w:rPr>
                                <w:rFonts w:hint="eastAsia"/>
                                <w:lang w:val="en-US" w:eastAsia="zh-CN"/>
                              </w:rPr>
                              <w:t>30</w:t>
                            </w:r>
                          </w:p>
                        </w:txbxContent>
                      </v:textbox>
                    </v:shape>
                  </w:pict>
                </mc:Fallback>
              </mc:AlternateContent>
            </w:r>
          </w:p>
          <w:p w14:paraId="2CC08E9B">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704320" behindDoc="0" locked="0" layoutInCell="1" allowOverlap="1">
                      <wp:simplePos x="0" y="0"/>
                      <wp:positionH relativeFrom="column">
                        <wp:posOffset>2516505</wp:posOffset>
                      </wp:positionH>
                      <wp:positionV relativeFrom="paragraph">
                        <wp:posOffset>233680</wp:posOffset>
                      </wp:positionV>
                      <wp:extent cx="948690" cy="290830"/>
                      <wp:effectExtent l="4445" t="5080" r="18415" b="8890"/>
                      <wp:wrapNone/>
                      <wp:docPr id="46" name="自选图形 288"/>
                      <wp:cNvGraphicFramePr/>
                      <a:graphic xmlns:a="http://schemas.openxmlformats.org/drawingml/2006/main">
                        <a:graphicData uri="http://schemas.microsoft.com/office/word/2010/wordprocessingShape">
                          <wps:wsp>
                            <wps:cNvSpPr/>
                            <wps:spPr>
                              <a:xfrm>
                                <a:off x="0" y="0"/>
                                <a:ext cx="948690" cy="2908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C32EA7D">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蒸汽发生器</w:t>
                                  </w:r>
                                </w:p>
                              </w:txbxContent>
                            </wps:txbx>
                            <wps:bodyPr upright="1"/>
                          </wps:wsp>
                        </a:graphicData>
                      </a:graphic>
                    </wp:anchor>
                  </w:drawing>
                </mc:Choice>
                <mc:Fallback>
                  <w:pict>
                    <v:shape id="自选图形 288" o:spid="_x0000_s1026" o:spt="109" type="#_x0000_t109" style="position:absolute;left:0pt;margin-left:198.15pt;margin-top:18.4pt;height:22.9pt;width:74.7pt;z-index:251704320;mso-width-relative:page;mso-height-relative:page;" fillcolor="#FFFFFF" filled="t" stroked="t" coordsize="21600,21600" o:gfxdata="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gtmS7aAAAACQEA&#10;AA8AAAAAAAAAAQAgAAAAIgAAAGRycy9kb3ducmV2LnhtbFBLAQIUABQAAAAIAIdO4kAeYL/uGAIA&#10;AD0EAAAOAAAAAAAAAAEAIAAAACkBAABkcnMvZTJvRG9jLnhtbFBLBQYAAAAABgAGAFkBAACzBQAA&#10;AAA=&#10;">
                      <v:fill on="t" focussize="0,0"/>
                      <v:stroke color="#000000" joinstyle="miter"/>
                      <v:imagedata o:title=""/>
                      <o:lock v:ext="edit" aspectratio="f"/>
                      <v:textbox>
                        <w:txbxContent>
                          <w:p w14:paraId="6C32EA7D">
                            <w:pPr>
                              <w:pStyle w:val="25"/>
                              <w:ind w:left="0" w:leftChars="0" w:firstLine="0" w:firstLineChars="0"/>
                              <w:jc w:val="both"/>
                              <w:rPr>
                                <w:rFonts w:hint="default" w:eastAsia="宋体"/>
                                <w:sz w:val="21"/>
                                <w:szCs w:val="21"/>
                                <w:lang w:val="en-US" w:eastAsia="zh-CN"/>
                              </w:rPr>
                            </w:pPr>
                            <w:r>
                              <w:rPr>
                                <w:rFonts w:hint="eastAsia"/>
                                <w:sz w:val="21"/>
                                <w:szCs w:val="21"/>
                                <w:lang w:val="en-US" w:eastAsia="zh-CN"/>
                              </w:rPr>
                              <w:t>蒸汽发生器</w:t>
                            </w:r>
                          </w:p>
                        </w:txbxContent>
                      </v:textbox>
                    </v:shape>
                  </w:pict>
                </mc:Fallback>
              </mc:AlternateContent>
            </w:r>
            <w:r>
              <w:rPr>
                <w:color w:val="auto"/>
                <w:sz w:val="24"/>
                <w:highlight w:val="none"/>
              </w:rPr>
              <mc:AlternateContent>
                <mc:Choice Requires="wps">
                  <w:drawing>
                    <wp:anchor distT="0" distB="0" distL="114300" distR="114300" simplePos="0" relativeHeight="251706368" behindDoc="0" locked="0" layoutInCell="1" allowOverlap="1">
                      <wp:simplePos x="0" y="0"/>
                      <wp:positionH relativeFrom="column">
                        <wp:posOffset>3897630</wp:posOffset>
                      </wp:positionH>
                      <wp:positionV relativeFrom="paragraph">
                        <wp:posOffset>153670</wp:posOffset>
                      </wp:positionV>
                      <wp:extent cx="1262380" cy="446405"/>
                      <wp:effectExtent l="4445" t="4445" r="9525" b="6350"/>
                      <wp:wrapNone/>
                      <wp:docPr id="48" name="自选图形 298"/>
                      <wp:cNvGraphicFramePr/>
                      <a:graphic xmlns:a="http://schemas.openxmlformats.org/drawingml/2006/main">
                        <a:graphicData uri="http://schemas.microsoft.com/office/word/2010/wordprocessingShape">
                          <wps:wsp>
                            <wps:cNvSpPr/>
                            <wps:spPr>
                              <a:xfrm>
                                <a:off x="0" y="0"/>
                                <a:ext cx="1262380" cy="4464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09A3421">
                                  <w:pPr>
                                    <w:rPr>
                                      <w:color w:val="auto"/>
                                    </w:rPr>
                                  </w:pPr>
                                  <w:r>
                                    <w:rPr>
                                      <w:rFonts w:hint="eastAsia"/>
                                      <w:color w:val="auto"/>
                                      <w:lang w:val="en-US" w:eastAsia="zh-CN"/>
                                    </w:rPr>
                                    <w:t>玉溪钧澄经贸有限公司</w:t>
                                  </w:r>
                                </w:p>
                              </w:txbxContent>
                            </wps:txbx>
                            <wps:bodyPr upright="1"/>
                          </wps:wsp>
                        </a:graphicData>
                      </a:graphic>
                    </wp:anchor>
                  </w:drawing>
                </mc:Choice>
                <mc:Fallback>
                  <w:pict>
                    <v:shape id="自选图形 298" o:spid="_x0000_s1026" o:spt="109" type="#_x0000_t109" style="position:absolute;left:0pt;margin-left:306.9pt;margin-top:12.1pt;height:35.15pt;width:99.4pt;z-index:251706368;mso-width-relative:page;mso-height-relative:page;" fillcolor="#FFFFFF" filled="t" stroked="t" coordsize="21600,21600" o:gfxdata="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6iMQDZAAAACQEAAA8A&#10;AAAAAAAAAQAgAAAAIgAAAGRycy9kb3ducmV2LnhtbFBLAQIUABQAAAAIAIdO4kBOeeZFFgIAAD4E&#10;AAAOAAAAAAAAAAEAIAAAACgBAABkcnMvZTJvRG9jLnhtbFBLBQYAAAAABgAGAFkBAACwBQAAAAA=&#10;">
                      <v:fill on="t" focussize="0,0"/>
                      <v:stroke color="#000000" joinstyle="miter"/>
                      <v:imagedata o:title=""/>
                      <o:lock v:ext="edit" aspectratio="f"/>
                      <v:textbox>
                        <w:txbxContent>
                          <w:p w14:paraId="309A3421">
                            <w:pPr>
                              <w:rPr>
                                <w:color w:val="auto"/>
                              </w:rPr>
                            </w:pPr>
                            <w:r>
                              <w:rPr>
                                <w:rFonts w:hint="eastAsia"/>
                                <w:color w:val="auto"/>
                                <w:lang w:val="en-US" w:eastAsia="zh-CN"/>
                              </w:rPr>
                              <w:t>玉溪钧澄经贸有限公司</w:t>
                            </w:r>
                          </w:p>
                        </w:txbxContent>
                      </v:textbox>
                    </v:shape>
                  </w:pict>
                </mc:Fallback>
              </mc:AlternateContent>
            </w:r>
            <w:r>
              <w:rPr>
                <w:color w:val="auto"/>
                <w:sz w:val="24"/>
                <w:highlight w:val="none"/>
              </w:rPr>
              <mc:AlternateContent>
                <mc:Choice Requires="wps">
                  <w:drawing>
                    <wp:anchor distT="0" distB="0" distL="114300" distR="114300" simplePos="0" relativeHeight="251708416" behindDoc="0" locked="0" layoutInCell="1" allowOverlap="1">
                      <wp:simplePos x="0" y="0"/>
                      <wp:positionH relativeFrom="column">
                        <wp:posOffset>3444240</wp:posOffset>
                      </wp:positionH>
                      <wp:positionV relativeFrom="paragraph">
                        <wp:posOffset>128905</wp:posOffset>
                      </wp:positionV>
                      <wp:extent cx="446405" cy="255270"/>
                      <wp:effectExtent l="0" t="0" r="0" b="0"/>
                      <wp:wrapNone/>
                      <wp:docPr id="50" name="自选图形 287"/>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361D09CC">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287" o:spid="_x0000_s1026" o:spt="109" type="#_x0000_t109" style="position:absolute;left:0pt;margin-left:271.2pt;margin-top:10.15pt;height:20.1pt;width:35.15pt;z-index:251708416;mso-width-relative:page;mso-height-relative:page;" filled="f" stroked="f" coordsize="21600,21600" o:gfxdata="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n8svNYAAAAJAQAADwAAAAAAAAABACAAAAAiAAAAZHJzL2Rvd25yZXYueG1sUEsBAhQAFAAA&#10;AAgAh07iQOHaiCO4AQAAVQMAAA4AAAAAAAAAAQAgAAAAJQEAAGRycy9lMm9Eb2MueG1sUEsFBgAA&#10;AAAGAAYAWQEAAE8FAAAAAA==&#10;">
                      <v:fill on="f" focussize="0,0"/>
                      <v:stroke on="f"/>
                      <v:imagedata o:title=""/>
                      <o:lock v:ext="edit" aspectratio="f"/>
                      <v:textbox>
                        <w:txbxContent>
                          <w:p w14:paraId="361D09CC">
                            <w:pPr>
                              <w:jc w:val="center"/>
                              <w:rPr>
                                <w:rFonts w:hint="default" w:eastAsia="宋体"/>
                                <w:lang w:val="en-US" w:eastAsia="zh-CN"/>
                              </w:rPr>
                            </w:pPr>
                            <w:r>
                              <w:rPr>
                                <w:rFonts w:hint="eastAsia"/>
                                <w:lang w:val="en-US" w:eastAsia="zh-CN"/>
                              </w:rPr>
                              <w:t>30</w:t>
                            </w:r>
                          </w:p>
                        </w:txbxContent>
                      </v:textbox>
                    </v:shape>
                  </w:pict>
                </mc:Fallback>
              </mc:AlternateContent>
            </w:r>
            <w:r>
              <w:rPr>
                <w:color w:val="auto"/>
                <w:sz w:val="24"/>
                <w:highlight w:val="none"/>
              </w:rPr>
              <mc:AlternateContent>
                <mc:Choice Requires="wps">
                  <w:drawing>
                    <wp:anchor distT="0" distB="0" distL="114300" distR="114300" simplePos="0" relativeHeight="251709440" behindDoc="0" locked="0" layoutInCell="1" allowOverlap="1">
                      <wp:simplePos x="0" y="0"/>
                      <wp:positionH relativeFrom="column">
                        <wp:posOffset>1938655</wp:posOffset>
                      </wp:positionH>
                      <wp:positionV relativeFrom="paragraph">
                        <wp:posOffset>153035</wp:posOffset>
                      </wp:positionV>
                      <wp:extent cx="617855" cy="255270"/>
                      <wp:effectExtent l="0" t="0" r="0" b="0"/>
                      <wp:wrapNone/>
                      <wp:docPr id="51" name="自选图形 289"/>
                      <wp:cNvGraphicFramePr/>
                      <a:graphic xmlns:a="http://schemas.openxmlformats.org/drawingml/2006/main">
                        <a:graphicData uri="http://schemas.microsoft.com/office/word/2010/wordprocessingShape">
                          <wps:wsp>
                            <wps:cNvSpPr/>
                            <wps:spPr>
                              <a:xfrm>
                                <a:off x="0" y="0"/>
                                <a:ext cx="617855" cy="255270"/>
                              </a:xfrm>
                              <a:prstGeom prst="flowChartProcess">
                                <a:avLst/>
                              </a:prstGeom>
                              <a:noFill/>
                              <a:ln>
                                <a:noFill/>
                              </a:ln>
                            </wps:spPr>
                            <wps:txbx>
                              <w:txbxContent>
                                <w:p w14:paraId="5B50C904">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289" o:spid="_x0000_s1026" o:spt="109" type="#_x0000_t109" style="position:absolute;left:0pt;margin-left:152.65pt;margin-top:12.05pt;height:20.1pt;width:48.65pt;z-index:251709440;mso-width-relative:page;mso-height-relative:page;" filled="f" stroked="f" coordsize="21600,21600" o:gfxdata="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S3wH1gAAAAkBAAAPAAAAAAAAAAEAIAAAACIAAABkcnMvZG93bnJldi54bWxQSwECFAAUAAAA&#10;CACHTuJAtKr/q7cBAABVAwAADgAAAAAAAAABACAAAAAlAQAAZHJzL2Uyb0RvYy54bWxQSwUGAAAA&#10;AAYABgBZAQAATgUAAAAA&#10;">
                      <v:fill on="f" focussize="0,0"/>
                      <v:stroke on="f"/>
                      <v:imagedata o:title=""/>
                      <o:lock v:ext="edit" aspectratio="f"/>
                      <v:textbox>
                        <w:txbxContent>
                          <w:p w14:paraId="5B50C904">
                            <w:pPr>
                              <w:jc w:val="center"/>
                              <w:rPr>
                                <w:rFonts w:hint="default" w:eastAsia="宋体"/>
                                <w:lang w:val="en-US" w:eastAsia="zh-CN"/>
                              </w:rPr>
                            </w:pPr>
                            <w:r>
                              <w:rPr>
                                <w:rFonts w:hint="eastAsia"/>
                                <w:lang w:val="en-US" w:eastAsia="zh-CN"/>
                              </w:rPr>
                              <w:t>30</w:t>
                            </w:r>
                          </w:p>
                        </w:txbxContent>
                      </v:textbox>
                    </v:shape>
                  </w:pict>
                </mc:Fallback>
              </mc:AlternateContent>
            </w:r>
            <w:r>
              <w:rPr>
                <w:color w:val="auto"/>
                <w:sz w:val="24"/>
                <w:highlight w:val="none"/>
              </w:rPr>
              <mc:AlternateContent>
                <mc:Choice Requires="wps">
                  <w:drawing>
                    <wp:anchor distT="0" distB="0" distL="114300" distR="114300" simplePos="0" relativeHeight="251707392" behindDoc="0" locked="0" layoutInCell="1" allowOverlap="1">
                      <wp:simplePos x="0" y="0"/>
                      <wp:positionH relativeFrom="column">
                        <wp:posOffset>4262120</wp:posOffset>
                      </wp:positionH>
                      <wp:positionV relativeFrom="paragraph">
                        <wp:posOffset>46355</wp:posOffset>
                      </wp:positionV>
                      <wp:extent cx="177165" cy="120015"/>
                      <wp:effectExtent l="6350" t="0" r="26035" b="13335"/>
                      <wp:wrapNone/>
                      <wp:docPr id="49" name="任意多边形 297"/>
                      <wp:cNvGraphicFramePr/>
                      <a:graphic xmlns:a="http://schemas.openxmlformats.org/drawingml/2006/main">
                        <a:graphicData uri="http://schemas.microsoft.com/office/word/2010/wordprocessingShape">
                          <wps:wsp>
                            <wps:cNvSpPr/>
                            <wps:spPr>
                              <a:xfrm>
                                <a:off x="0" y="0"/>
                                <a:ext cx="177165" cy="120015"/>
                              </a:xfrm>
                              <a:custGeom>
                                <a:avLst/>
                                <a:gdLst/>
                                <a:ahLst/>
                                <a:cxnLst/>
                                <a:pathLst>
                                  <a:path w="641" h="434">
                                    <a:moveTo>
                                      <a:pt x="0" y="341"/>
                                    </a:moveTo>
                                    <a:cubicBezTo>
                                      <a:pt x="56" y="307"/>
                                      <a:pt x="202" y="180"/>
                                      <a:pt x="300" y="191"/>
                                    </a:cubicBezTo>
                                    <a:cubicBezTo>
                                      <a:pt x="398" y="202"/>
                                      <a:pt x="423" y="434"/>
                                      <a:pt x="491" y="396"/>
                                    </a:cubicBezTo>
                                    <a:cubicBezTo>
                                      <a:pt x="559" y="358"/>
                                      <a:pt x="608" y="104"/>
                                      <a:pt x="641" y="0"/>
                                    </a:cubicBezTo>
                                  </a:path>
                                </a:pathLst>
                              </a:custGeom>
                              <a:noFill/>
                              <a:ln w="9525" cap="sq" cmpd="sng">
                                <a:solidFill>
                                  <a:srgbClr val="000000"/>
                                </a:solidFill>
                                <a:prstDash val="sysDot"/>
                                <a:headEnd type="none" w="med" len="med"/>
                                <a:tailEnd type="triangle" w="med" len="med"/>
                              </a:ln>
                            </wps:spPr>
                            <wps:bodyPr upright="1"/>
                          </wps:wsp>
                        </a:graphicData>
                      </a:graphic>
                    </wp:anchor>
                  </w:drawing>
                </mc:Choice>
                <mc:Fallback>
                  <w:pict>
                    <v:shape id="任意多边形 297" o:spid="_x0000_s1026" o:spt="100" style="position:absolute;left:0pt;margin-left:335.6pt;margin-top:3.65pt;height:9.45pt;width:13.95pt;z-index:251707392;mso-width-relative:page;mso-height-relative:page;" filled="f" stroked="t" coordsize="641,434" o:gfxdata="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sJDJ61gAAAAgBAAAPAAAAAAAAAAEAIAAAACIAAABkcnMvZG93bnJldi54bWxQSwECFAAU&#10;AAAACACHTuJAbK3x9Z4CAACRBQAADgAAAAAAAAABACAAAAAlAQAAZHJzL2Uyb0RvYy54bWxQSwUG&#10;AAAAAAYABgBZAQAANQYAAAAA&#10;" path="m0,341c56,307,202,180,300,191c398,202,423,434,491,396c559,358,608,104,641,0e">
                      <v:fill on="f" focussize="0,0"/>
                      <v:stroke color="#000000" joinstyle="round" dashstyle="1 1" endcap="square" endarrow="block"/>
                      <v:imagedata o:title=""/>
                      <o:lock v:ext="edit" aspectratio="f"/>
                    </v:shape>
                  </w:pict>
                </mc:Fallback>
              </mc:AlternateContent>
            </w:r>
            <w:r>
              <w:rPr>
                <w:color w:val="auto"/>
                <w:sz w:val="24"/>
                <w:highlight w:val="none"/>
              </w:rPr>
              <mc:AlternateContent>
                <mc:Choice Requires="wps">
                  <w:drawing>
                    <wp:anchor distT="0" distB="0" distL="114300" distR="114300" simplePos="0" relativeHeight="251702272" behindDoc="0" locked="0" layoutInCell="1" allowOverlap="1">
                      <wp:simplePos x="0" y="0"/>
                      <wp:positionH relativeFrom="column">
                        <wp:posOffset>1428750</wp:posOffset>
                      </wp:positionH>
                      <wp:positionV relativeFrom="paragraph">
                        <wp:posOffset>240665</wp:posOffset>
                      </wp:positionV>
                      <wp:extent cx="681355" cy="290830"/>
                      <wp:effectExtent l="4445" t="5080" r="19050" b="8890"/>
                      <wp:wrapNone/>
                      <wp:docPr id="44" name="自选图形 290"/>
                      <wp:cNvGraphicFramePr/>
                      <a:graphic xmlns:a="http://schemas.openxmlformats.org/drawingml/2006/main">
                        <a:graphicData uri="http://schemas.microsoft.com/office/word/2010/wordprocessingShape">
                          <wps:wsp>
                            <wps:cNvSpPr/>
                            <wps:spPr>
                              <a:xfrm>
                                <a:off x="0" y="0"/>
                                <a:ext cx="681355" cy="2908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E83DDDA">
                                  <w:pPr>
                                    <w:pStyle w:val="25"/>
                                    <w:ind w:left="0" w:leftChars="0" w:firstLine="0" w:firstLineChars="0"/>
                                    <w:jc w:val="both"/>
                                    <w:rPr>
                                      <w:sz w:val="21"/>
                                      <w:szCs w:val="21"/>
                                    </w:rPr>
                                  </w:pPr>
                                  <w:r>
                                    <w:rPr>
                                      <w:rFonts w:hint="eastAsia"/>
                                      <w:sz w:val="21"/>
                                      <w:szCs w:val="21"/>
                                    </w:rPr>
                                    <w:t>软水箱</w:t>
                                  </w:r>
                                </w:p>
                              </w:txbxContent>
                            </wps:txbx>
                            <wps:bodyPr upright="1"/>
                          </wps:wsp>
                        </a:graphicData>
                      </a:graphic>
                    </wp:anchor>
                  </w:drawing>
                </mc:Choice>
                <mc:Fallback>
                  <w:pict>
                    <v:shape id="自选图形 290" o:spid="_x0000_s1026" o:spt="109" type="#_x0000_t109" style="position:absolute;left:0pt;margin-left:112.5pt;margin-top:18.95pt;height:22.9pt;width:53.65pt;z-index:251702272;mso-width-relative:page;mso-height-relative:page;" fillcolor="#FFFFFF" filled="t" stroked="t" coordsize="21600,21600" o:gfxdata="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7PznfZAAAACQEAAA8A&#10;AAAAAAAAAQAgAAAAIgAAAGRycy9kb3ducmV2LnhtbFBLAQIUABQAAAAIAIdO4kA63cVuFgIAAD0E&#10;AAAOAAAAAAAAAAEAIAAAACgBAABkcnMvZTJvRG9jLnhtbFBLBQYAAAAABgAGAFkBAACwBQAAAAA=&#10;">
                      <v:fill on="t" focussize="0,0"/>
                      <v:stroke color="#000000" joinstyle="miter"/>
                      <v:imagedata o:title=""/>
                      <o:lock v:ext="edit" aspectratio="f"/>
                      <v:textbox>
                        <w:txbxContent>
                          <w:p w14:paraId="5E83DDDA">
                            <w:pPr>
                              <w:pStyle w:val="25"/>
                              <w:ind w:left="0" w:leftChars="0" w:firstLine="0" w:firstLineChars="0"/>
                              <w:jc w:val="both"/>
                              <w:rPr>
                                <w:sz w:val="21"/>
                                <w:szCs w:val="21"/>
                              </w:rPr>
                            </w:pPr>
                            <w:r>
                              <w:rPr>
                                <w:rFonts w:hint="eastAsia"/>
                                <w:sz w:val="21"/>
                                <w:szCs w:val="21"/>
                              </w:rPr>
                              <w:t>软水箱</w:t>
                            </w:r>
                          </w:p>
                        </w:txbxContent>
                      </v:textbox>
                    </v:shape>
                  </w:pict>
                </mc:Fallback>
              </mc:AlternateContent>
            </w:r>
            <w:r>
              <w:rPr>
                <w:color w:val="auto"/>
                <w:sz w:val="24"/>
                <w:highlight w:val="none"/>
              </w:rPr>
              <mc:AlternateContent>
                <mc:Choice Requires="wps">
                  <w:drawing>
                    <wp:anchor distT="0" distB="0" distL="114300" distR="114300" simplePos="0" relativeHeight="251710464" behindDoc="0" locked="0" layoutInCell="1" allowOverlap="1">
                      <wp:simplePos x="0" y="0"/>
                      <wp:positionH relativeFrom="column">
                        <wp:posOffset>862965</wp:posOffset>
                      </wp:positionH>
                      <wp:positionV relativeFrom="paragraph">
                        <wp:posOffset>184785</wp:posOffset>
                      </wp:positionV>
                      <wp:extent cx="617855" cy="255270"/>
                      <wp:effectExtent l="0" t="0" r="0" b="0"/>
                      <wp:wrapNone/>
                      <wp:docPr id="52" name="自选图形 291"/>
                      <wp:cNvGraphicFramePr/>
                      <a:graphic xmlns:a="http://schemas.openxmlformats.org/drawingml/2006/main">
                        <a:graphicData uri="http://schemas.microsoft.com/office/word/2010/wordprocessingShape">
                          <wps:wsp>
                            <wps:cNvSpPr/>
                            <wps:spPr>
                              <a:xfrm>
                                <a:off x="0" y="0"/>
                                <a:ext cx="617855" cy="255270"/>
                              </a:xfrm>
                              <a:prstGeom prst="flowChartProcess">
                                <a:avLst/>
                              </a:prstGeom>
                              <a:noFill/>
                              <a:ln>
                                <a:noFill/>
                              </a:ln>
                            </wps:spPr>
                            <wps:txbx>
                              <w:txbxContent>
                                <w:p w14:paraId="29E48220">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291" o:spid="_x0000_s1026" o:spt="109" type="#_x0000_t109" style="position:absolute;left:0pt;margin-left:67.95pt;margin-top:14.55pt;height:20.1pt;width:48.65pt;z-index:251710464;mso-width-relative:page;mso-height-relative:page;" filled="f" stroked="f" coordsize="21600,21600" o:gfxdata="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6GV5D1gAAAAkBAAAPAAAAAAAAAAEAIAAAACIAAABkcnMvZG93bnJldi54bWxQSwECFAAUAAAA&#10;CACHTuJAuJSFyrcBAABVAwAADgAAAAAAAAABACAAAAAlAQAAZHJzL2Uyb0RvYy54bWxQSwUGAAAA&#10;AAYABgBZAQAATgUAAAAA&#10;">
                      <v:fill on="f" focussize="0,0"/>
                      <v:stroke on="f"/>
                      <v:imagedata o:title=""/>
                      <o:lock v:ext="edit" aspectratio="f"/>
                      <v:textbox>
                        <w:txbxContent>
                          <w:p w14:paraId="29E48220">
                            <w:pPr>
                              <w:jc w:val="center"/>
                              <w:rPr>
                                <w:rFonts w:hint="default" w:eastAsia="宋体"/>
                                <w:lang w:val="en-US" w:eastAsia="zh-CN"/>
                              </w:rPr>
                            </w:pPr>
                            <w:r>
                              <w:rPr>
                                <w:rFonts w:hint="eastAsia"/>
                                <w:lang w:val="en-US" w:eastAsia="zh-CN"/>
                              </w:rPr>
                              <w:t>30</w:t>
                            </w:r>
                          </w:p>
                        </w:txbxContent>
                      </v:textbox>
                    </v:shape>
                  </w:pict>
                </mc:Fallback>
              </mc:AlternateContent>
            </w:r>
          </w:p>
          <w:p w14:paraId="64E0A21F">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705344" behindDoc="0" locked="0" layoutInCell="1" allowOverlap="1">
                      <wp:simplePos x="0" y="0"/>
                      <wp:positionH relativeFrom="column">
                        <wp:posOffset>3434080</wp:posOffset>
                      </wp:positionH>
                      <wp:positionV relativeFrom="paragraph">
                        <wp:posOffset>126365</wp:posOffset>
                      </wp:positionV>
                      <wp:extent cx="424815" cy="635"/>
                      <wp:effectExtent l="0" t="37465" r="13335" b="38100"/>
                      <wp:wrapNone/>
                      <wp:docPr id="47" name="直线 293"/>
                      <wp:cNvGraphicFramePr/>
                      <a:graphic xmlns:a="http://schemas.openxmlformats.org/drawingml/2006/main">
                        <a:graphicData uri="http://schemas.microsoft.com/office/word/2010/wordprocessingShape">
                          <wps:wsp>
                            <wps:cNvCnPr/>
                            <wps:spPr>
                              <a:xfrm>
                                <a:off x="0" y="0"/>
                                <a:ext cx="42481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3" o:spid="_x0000_s1026" o:spt="20" style="position:absolute;left:0pt;margin-left:270.4pt;margin-top:9.95pt;height:0.05pt;width:33.45pt;z-index:251705344;mso-width-relative:page;mso-height-relative:page;" filled="f" stroked="t" coordsize="21600,21600" o:gfxdata="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3g4F2QAAAAkBAAAPAAAAAAAAAAEAIAAAACIAAABkcnMvZG93bnJldi54bWxQSwEC&#10;FAAUAAAACACHTuJAjEp1dPMBAADjAwAADgAAAAAAAAABACAAAAAoAQAAZHJzL2Uyb0RvYy54bWxQ&#10;SwUGAAAAAAYABgBZAQAAjQU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703296" behindDoc="0" locked="0" layoutInCell="1" allowOverlap="1">
                      <wp:simplePos x="0" y="0"/>
                      <wp:positionH relativeFrom="column">
                        <wp:posOffset>2125980</wp:posOffset>
                      </wp:positionH>
                      <wp:positionV relativeFrom="paragraph">
                        <wp:posOffset>124460</wp:posOffset>
                      </wp:positionV>
                      <wp:extent cx="376555" cy="635"/>
                      <wp:effectExtent l="0" t="37465" r="4445" b="38100"/>
                      <wp:wrapNone/>
                      <wp:docPr id="45" name="直线 294"/>
                      <wp:cNvGraphicFramePr/>
                      <a:graphic xmlns:a="http://schemas.openxmlformats.org/drawingml/2006/main">
                        <a:graphicData uri="http://schemas.microsoft.com/office/word/2010/wordprocessingShape">
                          <wps:wsp>
                            <wps:cNvCnPr/>
                            <wps:spPr>
                              <a:xfrm>
                                <a:off x="0" y="0"/>
                                <a:ext cx="37655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4" o:spid="_x0000_s1026" o:spt="20" style="position:absolute;left:0pt;margin-left:167.4pt;margin-top:9.8pt;height:0.05pt;width:29.65pt;z-index:251703296;mso-width-relative:page;mso-height-relative:page;" filled="f" stroked="t" coordsize="21600,21600" o:gfxdata="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TnLXaAAAACQEAAA8AAAAAAAAAAQAgAAAAIgAAAGRycy9kb3ducmV2LnhtbFBLAQIU&#10;ABQAAAAIAIdO4kDA0s3M8QEAAOMDAAAOAAAAAAAAAAEAIAAAACkBAABkcnMvZTJvRG9jLnhtbFBL&#10;BQYAAAAABgAGAFkBAACMBQ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701248" behindDoc="0" locked="0" layoutInCell="1" allowOverlap="1">
                      <wp:simplePos x="0" y="0"/>
                      <wp:positionH relativeFrom="column">
                        <wp:posOffset>1034415</wp:posOffset>
                      </wp:positionH>
                      <wp:positionV relativeFrom="paragraph">
                        <wp:posOffset>144780</wp:posOffset>
                      </wp:positionV>
                      <wp:extent cx="403860" cy="635"/>
                      <wp:effectExtent l="0" t="37465" r="15240" b="38100"/>
                      <wp:wrapNone/>
                      <wp:docPr id="43" name="直线 295"/>
                      <wp:cNvGraphicFramePr/>
                      <a:graphic xmlns:a="http://schemas.openxmlformats.org/drawingml/2006/main">
                        <a:graphicData uri="http://schemas.microsoft.com/office/word/2010/wordprocessingShape">
                          <wps:wsp>
                            <wps:cNvCnPr/>
                            <wps:spPr>
                              <a:xfrm>
                                <a:off x="0" y="0"/>
                                <a:ext cx="40386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95" o:spid="_x0000_s1026" o:spt="20" style="position:absolute;left:0pt;margin-left:81.45pt;margin-top:11.4pt;height:0.05pt;width:31.8pt;z-index:251701248;mso-width-relative:page;mso-height-relative:page;" filled="f" stroked="t" coordsize="21600,21600" o:gfxdata="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PSOk9gAAAAJAQAADwAAAAAAAAABACAAAAAiAAAAZHJzL2Rvd25yZXYueG1sUEsB&#10;AhQAFAAAAAgAh07iQOx/qTn1AQAA4wMAAA4AAAAAAAAAAQAgAAAAJwEAAGRycy9lMm9Eb2MueG1s&#10;UEsFBgAAAAAGAAYAWQEAAI4FA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700224" behindDoc="0" locked="0" layoutInCell="1" allowOverlap="1">
                      <wp:simplePos x="0" y="0"/>
                      <wp:positionH relativeFrom="column">
                        <wp:posOffset>241300</wp:posOffset>
                      </wp:positionH>
                      <wp:positionV relativeFrom="paragraph">
                        <wp:posOffset>17145</wp:posOffset>
                      </wp:positionV>
                      <wp:extent cx="782320" cy="255270"/>
                      <wp:effectExtent l="5080" t="5080" r="12700" b="6350"/>
                      <wp:wrapNone/>
                      <wp:docPr id="42" name="自选图形 296"/>
                      <wp:cNvGraphicFramePr/>
                      <a:graphic xmlns:a="http://schemas.openxmlformats.org/drawingml/2006/main">
                        <a:graphicData uri="http://schemas.microsoft.com/office/word/2010/wordprocessingShape">
                          <wps:wsp>
                            <wps:cNvSpPr/>
                            <wps:spPr>
                              <a:xfrm>
                                <a:off x="0" y="0"/>
                                <a:ext cx="782320" cy="2552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91D1A8D">
                                  <w:pPr>
                                    <w:jc w:val="center"/>
                                  </w:pPr>
                                  <w:r>
                                    <w:rPr>
                                      <w:rFonts w:hint="eastAsia"/>
                                    </w:rPr>
                                    <w:t>软水</w:t>
                                  </w:r>
                                </w:p>
                              </w:txbxContent>
                            </wps:txbx>
                            <wps:bodyPr upright="1"/>
                          </wps:wsp>
                        </a:graphicData>
                      </a:graphic>
                    </wp:anchor>
                  </w:drawing>
                </mc:Choice>
                <mc:Fallback>
                  <w:pict>
                    <v:shape id="自选图形 296" o:spid="_x0000_s1026" o:spt="109" type="#_x0000_t109" style="position:absolute;left:0pt;margin-left:19pt;margin-top:1.35pt;height:20.1pt;width:61.6pt;z-index:251700224;mso-width-relative:page;mso-height-relative:page;" fillcolor="#FFFFFF" filled="t" stroked="t" coordsize="21600,21600" o:gfxdata="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BV8e1wAAAAcBAAAP&#10;AAAAAAAAAAEAIAAAACIAAABkcnMvZG93bnJldi54bWxQSwECFAAUAAAACACHTuJAedCjdRkCAAA9&#10;BAAADgAAAAAAAAABACAAAAAmAQAAZHJzL2Uyb0RvYy54bWxQSwUGAAAAAAYABgBZAQAAsQUAAAAA&#10;">
                      <v:fill on="t" focussize="0,0"/>
                      <v:stroke color="#000000" joinstyle="miter"/>
                      <v:imagedata o:title=""/>
                      <o:lock v:ext="edit" aspectratio="f"/>
                      <v:textbox>
                        <w:txbxContent>
                          <w:p w14:paraId="791D1A8D">
                            <w:pPr>
                              <w:jc w:val="center"/>
                            </w:pPr>
                            <w:r>
                              <w:rPr>
                                <w:rFonts w:hint="eastAsia"/>
                              </w:rPr>
                              <w:t>软水</w:t>
                            </w:r>
                          </w:p>
                        </w:txbxContent>
                      </v:textbox>
                    </v:shape>
                  </w:pict>
                </mc:Fallback>
              </mc:AlternateContent>
            </w:r>
          </w:p>
          <w:p w14:paraId="712CAD07">
            <w:pPr>
              <w:pStyle w:val="24"/>
              <w:adjustRightInd w:val="0"/>
              <w:snapToGrid w:val="0"/>
              <w:ind w:firstLine="480" w:firstLineChars="200"/>
              <w:rPr>
                <w:color w:val="auto"/>
                <w:kern w:val="24"/>
                <w:sz w:val="24"/>
                <w:highlight w:val="none"/>
              </w:rPr>
            </w:pPr>
          </w:p>
          <w:p w14:paraId="0D92B255">
            <w:pPr>
              <w:adjustRightInd w:val="0"/>
              <w:snapToGrid w:val="0"/>
              <w:spacing w:line="360" w:lineRule="auto"/>
              <w:jc w:val="center"/>
              <w:rPr>
                <w:b/>
                <w:bCs/>
                <w:color w:val="auto"/>
                <w:sz w:val="24"/>
                <w:highlight w:val="none"/>
              </w:rPr>
            </w:pPr>
            <w:r>
              <w:rPr>
                <w:b/>
                <w:color w:val="auto"/>
                <w:kern w:val="24"/>
                <w:szCs w:val="21"/>
                <w:highlight w:val="none"/>
              </w:rPr>
              <w:t>图</w:t>
            </w:r>
            <w:r>
              <w:rPr>
                <w:rFonts w:hint="eastAsia"/>
                <w:b/>
                <w:color w:val="auto"/>
                <w:kern w:val="24"/>
                <w:szCs w:val="21"/>
                <w:highlight w:val="none"/>
              </w:rPr>
              <w:t>2-2</w:t>
            </w:r>
            <w:r>
              <w:rPr>
                <w:b/>
                <w:color w:val="auto"/>
                <w:kern w:val="24"/>
                <w:szCs w:val="21"/>
                <w:highlight w:val="none"/>
              </w:rPr>
              <w:t xml:space="preserve">  </w:t>
            </w:r>
            <w:r>
              <w:rPr>
                <w:rFonts w:hint="eastAsia"/>
                <w:b/>
                <w:color w:val="auto"/>
                <w:kern w:val="24"/>
                <w:szCs w:val="21"/>
                <w:highlight w:val="none"/>
              </w:rPr>
              <w:t>本项目蒸汽平衡图</w:t>
            </w:r>
            <w:r>
              <w:rPr>
                <w:b/>
                <w:color w:val="auto"/>
                <w:kern w:val="24"/>
                <w:szCs w:val="21"/>
                <w:highlight w:val="none"/>
              </w:rPr>
              <w:t xml:space="preserve">  单位：</w:t>
            </w:r>
            <w:r>
              <w:rPr>
                <w:rFonts w:hint="eastAsia"/>
                <w:b/>
                <w:color w:val="auto"/>
                <w:kern w:val="24"/>
                <w:szCs w:val="21"/>
                <w:highlight w:val="none"/>
              </w:rPr>
              <w:t>m</w:t>
            </w:r>
            <w:r>
              <w:rPr>
                <w:rFonts w:hint="eastAsia"/>
                <w:b/>
                <w:color w:val="auto"/>
                <w:kern w:val="24"/>
                <w:szCs w:val="21"/>
                <w:highlight w:val="none"/>
                <w:vertAlign w:val="superscript"/>
              </w:rPr>
              <w:t>3</w:t>
            </w:r>
            <w:r>
              <w:rPr>
                <w:rFonts w:hint="eastAsia"/>
                <w:b/>
                <w:color w:val="auto"/>
                <w:kern w:val="24"/>
                <w:szCs w:val="21"/>
                <w:highlight w:val="none"/>
              </w:rPr>
              <w:t>/d</w:t>
            </w:r>
          </w:p>
          <w:p w14:paraId="02FC2519">
            <w:pPr>
              <w:pStyle w:val="24"/>
              <w:adjustRightInd w:val="0"/>
              <w:snapToGrid w:val="0"/>
              <w:ind w:firstLine="0" w:firstLineChars="0"/>
              <w:rPr>
                <w:b/>
                <w:bCs/>
                <w:color w:val="auto"/>
                <w:sz w:val="24"/>
                <w:highlight w:val="none"/>
              </w:rPr>
            </w:pPr>
            <w:r>
              <w:rPr>
                <w:rFonts w:hint="eastAsia"/>
                <w:b/>
                <w:bCs/>
                <w:color w:val="auto"/>
                <w:sz w:val="24"/>
                <w:highlight w:val="none"/>
              </w:rPr>
              <w:t>八、工作制度和劳动定员</w:t>
            </w:r>
          </w:p>
          <w:p w14:paraId="3C297887">
            <w:pPr>
              <w:adjustRightInd w:val="0"/>
              <w:snapToGrid w:val="0"/>
              <w:spacing w:line="360" w:lineRule="auto"/>
              <w:ind w:firstLine="480" w:firstLineChars="200"/>
              <w:rPr>
                <w:rFonts w:hint="eastAsia" w:eastAsia="宋体"/>
                <w:color w:val="auto"/>
                <w:kern w:val="24"/>
                <w:sz w:val="24"/>
                <w:highlight w:val="none"/>
                <w:lang w:val="en-US" w:eastAsia="zh-CN"/>
              </w:rPr>
            </w:pPr>
            <w:r>
              <w:rPr>
                <w:rFonts w:hint="eastAsia"/>
                <w:color w:val="auto"/>
                <w:kern w:val="24"/>
                <w:sz w:val="24"/>
                <w:highlight w:val="none"/>
              </w:rPr>
              <w:t>本项目配置劳动人员</w:t>
            </w:r>
            <w:r>
              <w:rPr>
                <w:rFonts w:hint="eastAsia"/>
                <w:color w:val="auto"/>
                <w:kern w:val="24"/>
                <w:sz w:val="24"/>
                <w:highlight w:val="none"/>
                <w:lang w:val="en-US" w:eastAsia="zh-CN"/>
              </w:rPr>
              <w:t>2</w:t>
            </w:r>
            <w:r>
              <w:rPr>
                <w:rFonts w:hint="eastAsia"/>
                <w:color w:val="auto"/>
                <w:kern w:val="24"/>
                <w:sz w:val="24"/>
                <w:highlight w:val="none"/>
              </w:rPr>
              <w:t>人，均不在厂区食宿，</w:t>
            </w:r>
            <w:r>
              <w:rPr>
                <w:rFonts w:hint="eastAsia"/>
                <w:color w:val="auto"/>
                <w:kern w:val="24"/>
                <w:sz w:val="24"/>
                <w:highlight w:val="none"/>
                <w:lang w:val="en-US" w:eastAsia="zh-CN"/>
              </w:rPr>
              <w:t>年工作1200小时</w:t>
            </w:r>
            <w:r>
              <w:rPr>
                <w:color w:val="auto"/>
                <w:kern w:val="24"/>
                <w:sz w:val="24"/>
                <w:highlight w:val="none"/>
              </w:rPr>
              <w:t>。</w:t>
            </w:r>
            <w:r>
              <w:rPr>
                <w:rFonts w:hint="eastAsia"/>
                <w:color w:val="auto"/>
                <w:kern w:val="24"/>
                <w:sz w:val="24"/>
                <w:highlight w:val="none"/>
                <w:lang w:val="en-US" w:eastAsia="zh-CN"/>
              </w:rPr>
              <w:t>锅炉为年运行30</w:t>
            </w:r>
            <w:r>
              <w:rPr>
                <w:rFonts w:hint="eastAsia"/>
                <w:color w:val="auto"/>
                <w:kern w:val="24"/>
                <w:sz w:val="24"/>
                <w:highlight w:val="none"/>
              </w:rPr>
              <w:t>0</w:t>
            </w:r>
            <w:r>
              <w:rPr>
                <w:color w:val="auto"/>
                <w:kern w:val="24"/>
                <w:sz w:val="24"/>
                <w:highlight w:val="none"/>
              </w:rPr>
              <w:t>天，</w:t>
            </w:r>
            <w:r>
              <w:rPr>
                <w:rFonts w:hint="eastAsia"/>
                <w:color w:val="auto"/>
                <w:kern w:val="24"/>
                <w:sz w:val="24"/>
                <w:highlight w:val="none"/>
                <w:lang w:val="en-US" w:eastAsia="zh-CN"/>
              </w:rPr>
              <w:t>年运行1200</w:t>
            </w:r>
            <w:r>
              <w:rPr>
                <w:rFonts w:hint="eastAsia"/>
                <w:color w:val="auto"/>
                <w:kern w:val="24"/>
                <w:sz w:val="24"/>
                <w:highlight w:val="none"/>
              </w:rPr>
              <w:t>小时</w:t>
            </w:r>
            <w:r>
              <w:rPr>
                <w:rFonts w:hint="eastAsia"/>
                <w:color w:val="auto"/>
                <w:kern w:val="24"/>
                <w:sz w:val="24"/>
                <w:highlight w:val="none"/>
                <w:lang w:eastAsia="zh-CN"/>
              </w:rPr>
              <w:t>。</w:t>
            </w:r>
          </w:p>
          <w:p w14:paraId="7C129B4E">
            <w:pPr>
              <w:adjustRightInd w:val="0"/>
              <w:snapToGrid w:val="0"/>
              <w:spacing w:line="360" w:lineRule="auto"/>
              <w:jc w:val="left"/>
              <w:rPr>
                <w:b/>
                <w:bCs/>
                <w:color w:val="auto"/>
                <w:sz w:val="24"/>
                <w:highlight w:val="none"/>
              </w:rPr>
            </w:pPr>
            <w:r>
              <w:rPr>
                <w:rFonts w:hint="eastAsia"/>
                <w:b/>
                <w:bCs/>
                <w:color w:val="auto"/>
                <w:sz w:val="24"/>
                <w:highlight w:val="none"/>
              </w:rPr>
              <w:t>九、项目总平面布置</w:t>
            </w:r>
          </w:p>
          <w:p w14:paraId="60555122">
            <w:pPr>
              <w:adjustRightInd w:val="0"/>
              <w:snapToGrid w:val="0"/>
              <w:spacing w:line="360" w:lineRule="auto"/>
              <w:ind w:firstLine="480" w:firstLineChars="200"/>
              <w:jc w:val="left"/>
              <w:rPr>
                <w:rFonts w:hint="eastAsia"/>
                <w:color w:val="auto"/>
                <w:kern w:val="24"/>
                <w:sz w:val="24"/>
                <w:highlight w:val="none"/>
                <w:lang w:val="en-US" w:eastAsia="zh-CN"/>
              </w:rPr>
            </w:pPr>
            <w:r>
              <w:rPr>
                <w:rFonts w:hint="eastAsia"/>
                <w:color w:val="auto"/>
                <w:kern w:val="24"/>
                <w:sz w:val="24"/>
                <w:highlight w:val="none"/>
              </w:rPr>
              <w:t>项目</w:t>
            </w:r>
            <w:r>
              <w:rPr>
                <w:rFonts w:hint="eastAsia"/>
                <w:color w:val="auto"/>
                <w:kern w:val="24"/>
                <w:sz w:val="24"/>
                <w:highlight w:val="none"/>
                <w:lang w:eastAsia="zh-CN"/>
              </w:rPr>
              <w:t>租用</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原有</w:t>
            </w:r>
            <w:r>
              <w:rPr>
                <w:rFonts w:hint="eastAsia"/>
                <w:color w:val="auto"/>
                <w:kern w:val="24"/>
                <w:sz w:val="24"/>
                <w:highlight w:val="none"/>
                <w:lang w:val="en-US" w:eastAsia="zh-CN"/>
              </w:rPr>
              <w:t>锅炉</w:t>
            </w:r>
            <w:r>
              <w:rPr>
                <w:rFonts w:hint="eastAsia"/>
                <w:color w:val="auto"/>
                <w:kern w:val="24"/>
                <w:sz w:val="24"/>
                <w:highlight w:val="none"/>
                <w:lang w:eastAsia="zh-CN"/>
              </w:rPr>
              <w:t>房进行建设，在锅炉房内新建</w:t>
            </w:r>
            <w:r>
              <w:rPr>
                <w:rFonts w:hint="eastAsia"/>
                <w:color w:val="auto"/>
                <w:kern w:val="24"/>
                <w:sz w:val="24"/>
                <w:highlight w:val="none"/>
                <w:lang w:val="en-US" w:eastAsia="zh-CN"/>
              </w:rPr>
              <w:t>3组2.5t/h的生物质蒸发器，锅炉房北侧新建生物质燃料暂存区和灰渣暂存区，见</w:t>
            </w:r>
            <w:r>
              <w:rPr>
                <w:rFonts w:hint="eastAsia"/>
                <w:color w:val="auto"/>
                <w:kern w:val="24"/>
                <w:sz w:val="24"/>
                <w:highlight w:val="none"/>
              </w:rPr>
              <w:t>附图2。</w:t>
            </w:r>
          </w:p>
          <w:p w14:paraId="114314FD">
            <w:pPr>
              <w:adjustRightInd w:val="0"/>
              <w:snapToGrid w:val="0"/>
              <w:spacing w:line="360" w:lineRule="auto"/>
              <w:jc w:val="left"/>
              <w:rPr>
                <w:b/>
                <w:bCs/>
                <w:color w:val="auto"/>
                <w:sz w:val="24"/>
                <w:highlight w:val="none"/>
              </w:rPr>
            </w:pPr>
            <w:r>
              <w:rPr>
                <w:rFonts w:hint="eastAsia"/>
                <w:b/>
                <w:bCs/>
                <w:color w:val="auto"/>
                <w:sz w:val="24"/>
                <w:highlight w:val="none"/>
              </w:rPr>
              <w:t>十、环保投资</w:t>
            </w:r>
          </w:p>
          <w:p w14:paraId="38164C49">
            <w:pPr>
              <w:spacing w:line="360" w:lineRule="auto"/>
              <w:ind w:firstLine="470" w:firstLineChars="196"/>
              <w:jc w:val="both"/>
              <w:rPr>
                <w:rFonts w:hint="eastAsia" w:ascii="宋体" w:hAnsi="宋体" w:eastAsia="宋体" w:cs="宋体"/>
                <w:color w:val="auto"/>
                <w:sz w:val="24"/>
                <w:szCs w:val="24"/>
              </w:rPr>
            </w:pPr>
            <w:r>
              <w:rPr>
                <w:rFonts w:hint="eastAsia" w:ascii="宋体" w:hAnsi="宋体" w:eastAsia="宋体" w:cs="宋体"/>
                <w:color w:val="auto"/>
                <w:sz w:val="24"/>
                <w:szCs w:val="24"/>
              </w:rPr>
              <w:t>项目总投资</w:t>
            </w:r>
            <w:r>
              <w:rPr>
                <w:rFonts w:hint="eastAsia" w:ascii="宋体" w:hAnsi="宋体" w:cs="宋体"/>
                <w:color w:val="auto"/>
                <w:sz w:val="24"/>
                <w:szCs w:val="24"/>
                <w:lang w:val="en-US" w:eastAsia="zh-CN"/>
              </w:rPr>
              <w:t>90</w:t>
            </w:r>
            <w:r>
              <w:rPr>
                <w:rFonts w:hint="eastAsia" w:ascii="宋体" w:hAnsi="宋体" w:eastAsia="宋体" w:cs="宋体"/>
                <w:color w:val="auto"/>
                <w:sz w:val="24"/>
                <w:szCs w:val="24"/>
              </w:rPr>
              <w:t>万，环保投资共计</w:t>
            </w:r>
            <w:r>
              <w:rPr>
                <w:rFonts w:hint="eastAsia" w:ascii="宋体" w:hAnsi="宋体" w:cs="宋体"/>
                <w:color w:val="auto"/>
                <w:sz w:val="24"/>
                <w:szCs w:val="24"/>
                <w:lang w:val="en-US" w:eastAsia="zh-CN"/>
              </w:rPr>
              <w:t>33.4</w:t>
            </w:r>
            <w:r>
              <w:rPr>
                <w:rFonts w:hint="eastAsia" w:ascii="宋体" w:hAnsi="宋体" w:eastAsia="宋体" w:cs="宋体"/>
                <w:color w:val="auto"/>
                <w:sz w:val="24"/>
                <w:szCs w:val="24"/>
                <w:highlight w:val="none"/>
              </w:rPr>
              <w:t>万，占总投资的</w:t>
            </w:r>
            <w:r>
              <w:rPr>
                <w:rFonts w:hint="eastAsia" w:ascii="宋体" w:hAnsi="宋体" w:cs="宋体"/>
                <w:color w:val="auto"/>
                <w:sz w:val="24"/>
                <w:szCs w:val="24"/>
                <w:highlight w:val="none"/>
                <w:lang w:val="en-US" w:eastAsia="zh-CN"/>
              </w:rPr>
              <w:t>37.11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详见表</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w:t>
            </w:r>
          </w:p>
          <w:p w14:paraId="0AFFE498">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auto"/>
                <w:sz w:val="24"/>
                <w:szCs w:val="24"/>
              </w:rPr>
            </w:pPr>
          </w:p>
          <w:p w14:paraId="3023227E">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auto"/>
                <w:sz w:val="24"/>
                <w:szCs w:val="24"/>
              </w:rPr>
            </w:pPr>
          </w:p>
          <w:p w14:paraId="35BD27AD">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auto"/>
                <w:sz w:val="24"/>
                <w:szCs w:val="24"/>
              </w:rPr>
            </w:pPr>
          </w:p>
          <w:p w14:paraId="512C9FED">
            <w:pPr>
              <w:pStyle w:val="97"/>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b/>
                <w:bCs/>
                <w:color w:val="auto"/>
                <w:sz w:val="24"/>
                <w:szCs w:val="24"/>
              </w:rPr>
            </w:pPr>
            <w:r>
              <w:rPr>
                <w:rFonts w:hint="default" w:ascii="宋体" w:hAnsi="宋体" w:eastAsia="宋体" w:cs="宋体"/>
                <w:b/>
                <w:bCs/>
                <w:color w:val="auto"/>
                <w:sz w:val="24"/>
                <w:szCs w:val="24"/>
              </w:rPr>
              <w:t>表</w:t>
            </w:r>
            <w:r>
              <w:rPr>
                <w:rFonts w:hint="eastAsia" w:cs="宋体"/>
                <w:b/>
                <w:bCs/>
                <w:color w:val="auto"/>
                <w:sz w:val="24"/>
                <w:szCs w:val="24"/>
                <w:lang w:val="en-US" w:eastAsia="zh-CN"/>
              </w:rPr>
              <w:t>2-5</w:t>
            </w:r>
            <w:r>
              <w:rPr>
                <w:rFonts w:hint="default" w:ascii="宋体" w:hAnsi="宋体" w:eastAsia="宋体" w:cs="宋体"/>
                <w:b/>
                <w:bCs/>
                <w:color w:val="auto"/>
                <w:sz w:val="24"/>
                <w:szCs w:val="24"/>
              </w:rPr>
              <w:t xml:space="preserve">  项目环保设施投资估算表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638"/>
              <w:gridCol w:w="4590"/>
              <w:gridCol w:w="915"/>
              <w:gridCol w:w="1276"/>
            </w:tblGrid>
            <w:tr w14:paraId="55F4B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2"/>
                  <w:tcBorders>
                    <w:top w:val="single" w:color="auto" w:sz="12" w:space="0"/>
                    <w:left w:val="single" w:color="auto" w:sz="12" w:space="0"/>
                    <w:bottom w:val="single" w:color="auto" w:sz="4" w:space="0"/>
                    <w:right w:val="single" w:color="auto" w:sz="4" w:space="0"/>
                  </w:tcBorders>
                  <w:noWrap w:val="0"/>
                  <w:vAlign w:val="center"/>
                </w:tcPr>
                <w:p w14:paraId="21858E7F">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项目</w:t>
                  </w:r>
                </w:p>
              </w:tc>
              <w:tc>
                <w:tcPr>
                  <w:tcW w:w="4590" w:type="dxa"/>
                  <w:tcBorders>
                    <w:top w:val="single" w:color="auto" w:sz="12" w:space="0"/>
                    <w:left w:val="single" w:color="auto" w:sz="4" w:space="0"/>
                    <w:bottom w:val="single" w:color="auto" w:sz="4" w:space="0"/>
                    <w:right w:val="single" w:color="auto" w:sz="4" w:space="0"/>
                  </w:tcBorders>
                  <w:noWrap w:val="0"/>
                  <w:vAlign w:val="center"/>
                </w:tcPr>
                <w:p w14:paraId="79450FBF">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措施/设施</w:t>
                  </w:r>
                </w:p>
              </w:tc>
              <w:tc>
                <w:tcPr>
                  <w:tcW w:w="915" w:type="dxa"/>
                  <w:tcBorders>
                    <w:top w:val="single" w:color="auto" w:sz="12" w:space="0"/>
                    <w:left w:val="single" w:color="auto" w:sz="4" w:space="0"/>
                    <w:bottom w:val="single" w:color="auto" w:sz="4" w:space="0"/>
                    <w:right w:val="single" w:color="auto" w:sz="4" w:space="0"/>
                  </w:tcBorders>
                  <w:noWrap w:val="0"/>
                  <w:vAlign w:val="center"/>
                </w:tcPr>
                <w:p w14:paraId="4B741EBA">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数量</w:t>
                  </w:r>
                </w:p>
              </w:tc>
              <w:tc>
                <w:tcPr>
                  <w:tcW w:w="0" w:type="auto"/>
                  <w:tcBorders>
                    <w:top w:val="single" w:color="auto" w:sz="12" w:space="0"/>
                    <w:left w:val="single" w:color="auto" w:sz="4" w:space="0"/>
                    <w:bottom w:val="single" w:color="auto" w:sz="4" w:space="0"/>
                    <w:right w:val="single" w:color="auto" w:sz="12" w:space="0"/>
                  </w:tcBorders>
                  <w:noWrap w:val="0"/>
                  <w:vAlign w:val="center"/>
                </w:tcPr>
                <w:p w14:paraId="53CC9EE2">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投资金额（万元）</w:t>
                  </w:r>
                </w:p>
              </w:tc>
            </w:tr>
            <w:tr w14:paraId="66D67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12" w:space="0"/>
                    <w:right w:val="single" w:color="auto" w:sz="4" w:space="0"/>
                  </w:tcBorders>
                  <w:noWrap w:val="0"/>
                  <w:vAlign w:val="center"/>
                </w:tcPr>
                <w:p w14:paraId="52F23AEE">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运营期</w:t>
                  </w:r>
                </w:p>
              </w:tc>
              <w:tc>
                <w:tcPr>
                  <w:tcW w:w="0" w:type="auto"/>
                  <w:tcBorders>
                    <w:top w:val="single" w:color="auto" w:sz="4" w:space="0"/>
                    <w:left w:val="single" w:color="auto" w:sz="4" w:space="0"/>
                    <w:right w:val="single" w:color="auto" w:sz="4" w:space="0"/>
                  </w:tcBorders>
                  <w:noWrap w:val="0"/>
                  <w:vAlign w:val="center"/>
                </w:tcPr>
                <w:p w14:paraId="03CF7D40">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废气</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30446A13">
                  <w:pPr>
                    <w:pStyle w:val="102"/>
                    <w:spacing w:line="360" w:lineRule="auto"/>
                    <w:ind w:firstLine="0" w:firstLineChars="0"/>
                    <w:jc w:val="center"/>
                    <w:rPr>
                      <w:rFonts w:hint="eastAsia" w:ascii="宋体" w:hAnsi="宋体" w:eastAsia="宋体" w:cs="宋体"/>
                      <w:color w:val="auto"/>
                      <w:szCs w:val="21"/>
                    </w:rPr>
                  </w:pPr>
                  <w:r>
                    <w:rPr>
                      <w:rFonts w:hint="eastAsia" w:ascii="宋体" w:hAnsi="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套“</w:t>
                  </w:r>
                  <w:r>
                    <w:rPr>
                      <w:rFonts w:hint="eastAsia"/>
                      <w:color w:val="auto"/>
                      <w:szCs w:val="21"/>
                      <w:highlight w:val="none"/>
                    </w:rPr>
                    <w:t>低氮燃烧技术+</w:t>
                  </w:r>
                  <w:r>
                    <w:rPr>
                      <w:rFonts w:hint="eastAsia" w:ascii="宋体" w:hAnsi="宋体" w:eastAsia="宋体" w:cs="宋体"/>
                      <w:color w:val="auto"/>
                      <w:highlight w:val="none"/>
                      <w:shd w:val="clear" w:color="auto" w:fill="auto"/>
                      <w:lang w:eastAsia="zh-CN"/>
                    </w:rPr>
                    <w:t>旋风除尘器</w:t>
                  </w:r>
                  <w:r>
                    <w:rPr>
                      <w:rFonts w:hint="eastAsia" w:ascii="宋体" w:hAnsi="宋体" w:eastAsia="宋体"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eastAsia="zh-CN"/>
                    </w:rPr>
                    <w:t>布袋除尘器</w:t>
                  </w:r>
                  <w:r>
                    <w:rPr>
                      <w:rFonts w:hint="eastAsia" w:ascii="宋体" w:hAnsi="宋体" w:eastAsia="宋体" w:cs="宋体"/>
                      <w:color w:val="auto"/>
                      <w:highlight w:val="none"/>
                      <w:shd w:val="clear" w:color="auto" w:fill="auto"/>
                      <w:lang w:val="en-US" w:eastAsia="zh-CN"/>
                    </w:rPr>
                    <w:t>”+1根35m高排气筒</w:t>
                  </w:r>
                  <w:r>
                    <w:rPr>
                      <w:rFonts w:hint="eastAsia" w:ascii="宋体" w:hAnsi="宋体" w:cs="宋体"/>
                      <w:color w:val="auto"/>
                      <w:highlight w:val="none"/>
                      <w:shd w:val="clear" w:color="auto" w:fill="auto"/>
                      <w:lang w:val="en-US" w:eastAsia="zh-CN"/>
                    </w:rPr>
                    <w:t>（现为15m高本环评要求整改至35m高）</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C409852">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tc>
              <w:tc>
                <w:tcPr>
                  <w:tcW w:w="0" w:type="auto"/>
                  <w:tcBorders>
                    <w:top w:val="single" w:color="auto" w:sz="4" w:space="0"/>
                    <w:left w:val="single" w:color="auto" w:sz="4" w:space="0"/>
                    <w:bottom w:val="single" w:color="auto" w:sz="4" w:space="0"/>
                    <w:right w:val="single" w:color="auto" w:sz="12" w:space="0"/>
                  </w:tcBorders>
                  <w:noWrap w:val="0"/>
                  <w:vAlign w:val="center"/>
                </w:tcPr>
                <w:p w14:paraId="4C624849">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bidi="ar"/>
                    </w:rPr>
                    <w:t>30.3</w:t>
                  </w:r>
                </w:p>
              </w:tc>
            </w:tr>
            <w:tr w14:paraId="07A7A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14:paraId="7D6E62CB">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78CE45A">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噪声</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2A0688CB">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消声器、减振垫等降措施</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C4B8771">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若干</w:t>
                  </w:r>
                </w:p>
              </w:tc>
              <w:tc>
                <w:tcPr>
                  <w:tcW w:w="0" w:type="auto"/>
                  <w:tcBorders>
                    <w:top w:val="single" w:color="auto" w:sz="4" w:space="0"/>
                    <w:left w:val="single" w:color="auto" w:sz="4" w:space="0"/>
                    <w:bottom w:val="single" w:color="auto" w:sz="4" w:space="0"/>
                    <w:right w:val="single" w:color="auto" w:sz="12" w:space="0"/>
                  </w:tcBorders>
                  <w:noWrap w:val="0"/>
                  <w:vAlign w:val="center"/>
                </w:tcPr>
                <w:p w14:paraId="57E5F271">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r>
            <w:tr w14:paraId="78704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14:paraId="41273E7B">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rPr>
                  </w:pPr>
                </w:p>
              </w:tc>
              <w:tc>
                <w:tcPr>
                  <w:tcW w:w="638" w:type="dxa"/>
                  <w:vMerge w:val="restart"/>
                  <w:tcBorders>
                    <w:top w:val="single" w:color="auto" w:sz="4" w:space="0"/>
                    <w:left w:val="single" w:color="auto" w:sz="4" w:space="0"/>
                    <w:right w:val="single" w:color="auto" w:sz="4" w:space="0"/>
                  </w:tcBorders>
                  <w:noWrap w:val="0"/>
                  <w:vAlign w:val="center"/>
                </w:tcPr>
                <w:p w14:paraId="028585E8">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bidi="ar"/>
                    </w:rPr>
                    <w:t>废水</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B6C09C0">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bidi="ar"/>
                    </w:rPr>
                    <w:t>雨污分流系统</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A5CE588">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bidi="ar"/>
                    </w:rPr>
                    <w:t>依托</w:t>
                  </w:r>
                </w:p>
              </w:tc>
              <w:tc>
                <w:tcPr>
                  <w:tcW w:w="0" w:type="auto"/>
                  <w:tcBorders>
                    <w:top w:val="single" w:color="auto" w:sz="4" w:space="0"/>
                    <w:left w:val="single" w:color="auto" w:sz="4" w:space="0"/>
                    <w:bottom w:val="single" w:color="auto" w:sz="4" w:space="0"/>
                    <w:right w:val="single" w:color="auto" w:sz="12" w:space="0"/>
                  </w:tcBorders>
                  <w:noWrap w:val="0"/>
                  <w:vAlign w:val="center"/>
                </w:tcPr>
                <w:p w14:paraId="3D318217">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r>
            <w:tr w14:paraId="0D212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12" w:space="0"/>
                    <w:bottom w:val="single" w:color="auto" w:sz="4" w:space="0"/>
                    <w:right w:val="single" w:color="auto" w:sz="4" w:space="0"/>
                  </w:tcBorders>
                  <w:noWrap w:val="0"/>
                  <w:vAlign w:val="center"/>
                </w:tcPr>
                <w:p w14:paraId="02C851EB">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638" w:type="dxa"/>
                  <w:vMerge w:val="continue"/>
                  <w:tcBorders>
                    <w:left w:val="single" w:color="auto" w:sz="4" w:space="0"/>
                    <w:right w:val="single" w:color="auto" w:sz="4" w:space="0"/>
                  </w:tcBorders>
                  <w:noWrap w:val="0"/>
                  <w:vAlign w:val="center"/>
                </w:tcPr>
                <w:p w14:paraId="4F91BBAB">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4590" w:type="dxa"/>
                  <w:tcBorders>
                    <w:top w:val="single" w:color="auto" w:sz="4" w:space="0"/>
                    <w:left w:val="single" w:color="auto" w:sz="4" w:space="0"/>
                    <w:bottom w:val="single" w:color="auto" w:sz="4" w:space="0"/>
                    <w:right w:val="single" w:color="auto" w:sz="4" w:space="0"/>
                  </w:tcBorders>
                  <w:noWrap w:val="0"/>
                  <w:vAlign w:val="center"/>
                </w:tcPr>
                <w:p w14:paraId="0C67E230">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val="en-US" w:eastAsia="zh-CN" w:bidi="ar"/>
                    </w:rPr>
                  </w:pPr>
                  <w:r>
                    <w:rPr>
                      <w:rFonts w:hint="eastAsia" w:ascii="宋体" w:hAnsi="宋体" w:cs="宋体"/>
                      <w:color w:val="auto"/>
                      <w:szCs w:val="21"/>
                      <w:highlight w:val="none"/>
                      <w:lang w:val="en-US" w:eastAsia="zh-CN" w:bidi="ar"/>
                    </w:rPr>
                    <w:t>钧澄公司冷却循环水池</w:t>
                  </w:r>
                  <w:r>
                    <w:rPr>
                      <w:rFonts w:hint="eastAsia" w:ascii="宋体" w:hAnsi="宋体" w:eastAsia="宋体" w:cs="宋体"/>
                      <w:color w:val="auto"/>
                      <w:szCs w:val="21"/>
                      <w:highlight w:val="none"/>
                      <w:lang w:val="en-US" w:eastAsia="zh-CN" w:bidi="ar"/>
                    </w:rPr>
                    <w:t>1个，</w:t>
                  </w:r>
                  <w:r>
                    <w:rPr>
                      <w:rFonts w:hint="eastAsia" w:ascii="宋体" w:hAnsi="宋体" w:eastAsia="宋体" w:cs="宋体"/>
                      <w:color w:val="auto"/>
                      <w:highlight w:val="none"/>
                      <w:lang w:val="en-US" w:eastAsia="zh-CN"/>
                    </w:rPr>
                    <w:t>6</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m</w:t>
                  </w:r>
                  <w:r>
                    <w:rPr>
                      <w:rFonts w:hint="eastAsia" w:ascii="宋体" w:hAnsi="宋体" w:eastAsia="宋体" w:cs="宋体"/>
                      <w:color w:val="auto"/>
                      <w:highlight w:val="none"/>
                      <w:vertAlign w:val="superscript"/>
                      <w:lang w:val="en-US" w:eastAsia="zh-CN"/>
                    </w:rPr>
                    <w:t>3</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B8E37B3">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eastAsia="zh-CN" w:bidi="ar"/>
                    </w:rPr>
                  </w:pPr>
                  <w:r>
                    <w:rPr>
                      <w:rFonts w:hint="eastAsia" w:ascii="宋体" w:hAnsi="宋体" w:eastAsia="宋体" w:cs="宋体"/>
                      <w:color w:val="auto"/>
                      <w:szCs w:val="21"/>
                      <w:lang w:eastAsia="zh-CN" w:bidi="ar"/>
                    </w:rPr>
                    <w:t>依托</w:t>
                  </w:r>
                </w:p>
              </w:tc>
              <w:tc>
                <w:tcPr>
                  <w:tcW w:w="0" w:type="auto"/>
                  <w:tcBorders>
                    <w:top w:val="single" w:color="auto" w:sz="4" w:space="0"/>
                    <w:left w:val="single" w:color="auto" w:sz="4" w:space="0"/>
                    <w:right w:val="single" w:color="auto" w:sz="12" w:space="0"/>
                  </w:tcBorders>
                  <w:noWrap w:val="0"/>
                  <w:vAlign w:val="center"/>
                </w:tcPr>
                <w:p w14:paraId="7C4EAD62">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w:t>
                  </w:r>
                </w:p>
              </w:tc>
            </w:tr>
            <w:tr w14:paraId="350DE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12" w:space="0"/>
                    <w:bottom w:val="single" w:color="auto" w:sz="4" w:space="0"/>
                    <w:right w:val="single" w:color="auto" w:sz="4" w:space="0"/>
                  </w:tcBorders>
                  <w:noWrap w:val="0"/>
                  <w:vAlign w:val="center"/>
                </w:tcPr>
                <w:p w14:paraId="5D9079D2">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638" w:type="dxa"/>
                  <w:vMerge w:val="continue"/>
                  <w:tcBorders>
                    <w:left w:val="single" w:color="auto" w:sz="4" w:space="0"/>
                    <w:right w:val="single" w:color="auto" w:sz="4" w:space="0"/>
                  </w:tcBorders>
                  <w:noWrap w:val="0"/>
                  <w:vAlign w:val="center"/>
                </w:tcPr>
                <w:p w14:paraId="2ED68F30">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FB4B3EE">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钧澄公司化粪池</w:t>
                  </w:r>
                  <w:r>
                    <w:rPr>
                      <w:rFonts w:hint="eastAsia" w:ascii="宋体" w:hAnsi="宋体" w:eastAsia="宋体" w:cs="宋体"/>
                      <w:color w:val="auto"/>
                      <w:szCs w:val="21"/>
                      <w:highlight w:val="none"/>
                      <w:lang w:val="en-US" w:eastAsia="zh-CN" w:bidi="ar"/>
                    </w:rPr>
                    <w:t>1个，</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m</w:t>
                  </w:r>
                  <w:r>
                    <w:rPr>
                      <w:rFonts w:hint="eastAsia" w:ascii="宋体" w:hAnsi="宋体" w:eastAsia="宋体" w:cs="宋体"/>
                      <w:color w:val="auto"/>
                      <w:highlight w:val="none"/>
                      <w:vertAlign w:val="superscript"/>
                      <w:lang w:val="en-US" w:eastAsia="zh-CN"/>
                    </w:rPr>
                    <w:t>3</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6EAADE1">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依托</w:t>
                  </w:r>
                </w:p>
              </w:tc>
              <w:tc>
                <w:tcPr>
                  <w:tcW w:w="0" w:type="auto"/>
                  <w:tcBorders>
                    <w:top w:val="single" w:color="auto" w:sz="4" w:space="0"/>
                    <w:left w:val="single" w:color="auto" w:sz="4" w:space="0"/>
                    <w:right w:val="single" w:color="auto" w:sz="12" w:space="0"/>
                  </w:tcBorders>
                  <w:noWrap w:val="0"/>
                  <w:vAlign w:val="center"/>
                </w:tcPr>
                <w:p w14:paraId="55E5D9CC">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w:t>
                  </w:r>
                </w:p>
              </w:tc>
            </w:tr>
            <w:tr w14:paraId="66EF2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12" w:space="0"/>
                    <w:bottom w:val="single" w:color="auto" w:sz="4" w:space="0"/>
                    <w:right w:val="single" w:color="auto" w:sz="4" w:space="0"/>
                  </w:tcBorders>
                  <w:noWrap w:val="0"/>
                  <w:vAlign w:val="center"/>
                </w:tcPr>
                <w:p w14:paraId="6D6EE1BE">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638" w:type="dxa"/>
                  <w:vMerge w:val="continue"/>
                  <w:tcBorders>
                    <w:left w:val="single" w:color="auto" w:sz="4" w:space="0"/>
                    <w:right w:val="single" w:color="auto" w:sz="4" w:space="0"/>
                  </w:tcBorders>
                  <w:noWrap w:val="0"/>
                  <w:vAlign w:val="center"/>
                </w:tcPr>
                <w:p w14:paraId="032FF859">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rPr>
                  </w:pPr>
                </w:p>
              </w:tc>
              <w:tc>
                <w:tcPr>
                  <w:tcW w:w="4590" w:type="dxa"/>
                  <w:tcBorders>
                    <w:top w:val="single" w:color="auto" w:sz="4" w:space="0"/>
                    <w:left w:val="single" w:color="auto" w:sz="4" w:space="0"/>
                    <w:bottom w:val="single" w:color="auto" w:sz="4" w:space="0"/>
                    <w:right w:val="single" w:color="auto" w:sz="4" w:space="0"/>
                  </w:tcBorders>
                  <w:noWrap w:val="0"/>
                  <w:vAlign w:val="center"/>
                </w:tcPr>
                <w:p w14:paraId="509C99E8">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default"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钧澄公司絮凝沉淀池1个，5m³</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3BC46C1">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依托</w:t>
                  </w:r>
                </w:p>
              </w:tc>
              <w:tc>
                <w:tcPr>
                  <w:tcW w:w="0" w:type="auto"/>
                  <w:tcBorders>
                    <w:top w:val="single" w:color="auto" w:sz="4" w:space="0"/>
                    <w:left w:val="single" w:color="auto" w:sz="4" w:space="0"/>
                    <w:right w:val="single" w:color="auto" w:sz="12" w:space="0"/>
                  </w:tcBorders>
                  <w:noWrap w:val="0"/>
                  <w:vAlign w:val="center"/>
                </w:tcPr>
                <w:p w14:paraId="016371EF">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w:t>
                  </w:r>
                </w:p>
              </w:tc>
            </w:tr>
            <w:tr w14:paraId="02DCC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12" w:space="0"/>
                    <w:bottom w:val="single" w:color="auto" w:sz="4" w:space="0"/>
                    <w:right w:val="single" w:color="auto" w:sz="4" w:space="0"/>
                  </w:tcBorders>
                  <w:noWrap w:val="0"/>
                  <w:vAlign w:val="center"/>
                </w:tcPr>
                <w:p w14:paraId="3CE93226">
                  <w:pPr>
                    <w:keepNext w:val="0"/>
                    <w:keepLines w:val="0"/>
                    <w:pageBreakBefore w:val="0"/>
                    <w:widowControl w:val="0"/>
                    <w:kinsoku/>
                    <w:wordWrap/>
                    <w:overflowPunct/>
                    <w:topLinePunct w:val="0"/>
                    <w:autoSpaceDN/>
                    <w:bidi w:val="0"/>
                    <w:spacing w:line="360" w:lineRule="auto"/>
                    <w:jc w:val="center"/>
                    <w:textAlignment w:val="auto"/>
                    <w:rPr>
                      <w:rFonts w:hint="eastAsia" w:ascii="宋体" w:hAnsi="宋体" w:eastAsia="宋体" w:cs="宋体"/>
                      <w:b/>
                      <w:bCs/>
                      <w:color w:val="auto"/>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1600DCB">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固废</w:t>
                  </w:r>
                </w:p>
              </w:tc>
              <w:tc>
                <w:tcPr>
                  <w:tcW w:w="4590" w:type="dxa"/>
                  <w:tcBorders>
                    <w:top w:val="single" w:color="auto" w:sz="4" w:space="0"/>
                    <w:left w:val="single" w:color="auto" w:sz="4" w:space="0"/>
                    <w:bottom w:val="single" w:color="auto" w:sz="4" w:space="0"/>
                    <w:right w:val="single" w:color="auto" w:sz="4" w:space="0"/>
                  </w:tcBorders>
                  <w:noWrap w:val="0"/>
                  <w:vAlign w:val="center"/>
                </w:tcPr>
                <w:p w14:paraId="7A23042D">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垃圾收集桶</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AE12476">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数个</w:t>
                  </w:r>
                </w:p>
              </w:tc>
              <w:tc>
                <w:tcPr>
                  <w:tcW w:w="0" w:type="auto"/>
                  <w:tcBorders>
                    <w:top w:val="single" w:color="auto" w:sz="4" w:space="0"/>
                    <w:left w:val="single" w:color="auto" w:sz="4" w:space="0"/>
                    <w:bottom w:val="single" w:color="auto" w:sz="4" w:space="0"/>
                    <w:right w:val="single" w:color="auto" w:sz="12" w:space="0"/>
                  </w:tcBorders>
                  <w:noWrap w:val="0"/>
                  <w:vAlign w:val="center"/>
                </w:tcPr>
                <w:p w14:paraId="6AE19F93">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lang w:bidi="ar"/>
                    </w:rPr>
                    <w:t>0.1</w:t>
                  </w:r>
                </w:p>
              </w:tc>
            </w:tr>
            <w:tr w14:paraId="5F5D2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2"/>
                  <w:tcBorders>
                    <w:top w:val="single" w:color="auto" w:sz="4" w:space="0"/>
                    <w:left w:val="single" w:color="auto" w:sz="12" w:space="0"/>
                    <w:bottom w:val="single" w:color="auto" w:sz="12" w:space="0"/>
                    <w:right w:val="single" w:color="auto" w:sz="4" w:space="0"/>
                  </w:tcBorders>
                  <w:noWrap w:val="0"/>
                  <w:vAlign w:val="center"/>
                </w:tcPr>
                <w:p w14:paraId="6E7C5A66">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lang w:bidi="ar"/>
                    </w:rPr>
                    <w:t>合计</w:t>
                  </w:r>
                </w:p>
              </w:tc>
              <w:tc>
                <w:tcPr>
                  <w:tcW w:w="0" w:type="auto"/>
                  <w:gridSpan w:val="2"/>
                  <w:tcBorders>
                    <w:top w:val="single" w:color="auto" w:sz="4" w:space="0"/>
                    <w:left w:val="single" w:color="auto" w:sz="4" w:space="0"/>
                    <w:bottom w:val="single" w:color="auto" w:sz="12" w:space="0"/>
                    <w:right w:val="single" w:color="auto" w:sz="4" w:space="0"/>
                  </w:tcBorders>
                  <w:noWrap w:val="0"/>
                  <w:vAlign w:val="center"/>
                </w:tcPr>
                <w:p w14:paraId="7437166A">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w:t>
                  </w:r>
                </w:p>
              </w:tc>
              <w:tc>
                <w:tcPr>
                  <w:tcW w:w="0" w:type="auto"/>
                  <w:tcBorders>
                    <w:top w:val="single" w:color="auto" w:sz="4" w:space="0"/>
                    <w:left w:val="single" w:color="auto" w:sz="4" w:space="0"/>
                    <w:bottom w:val="single" w:color="auto" w:sz="12" w:space="0"/>
                    <w:right w:val="single" w:color="auto" w:sz="12" w:space="0"/>
                  </w:tcBorders>
                  <w:noWrap w:val="0"/>
                  <w:vAlign w:val="center"/>
                </w:tcPr>
                <w:p w14:paraId="6AAB693F">
                  <w:pPr>
                    <w:keepNext w:val="0"/>
                    <w:keepLines w:val="0"/>
                    <w:pageBreakBefore w:val="0"/>
                    <w:widowControl w:val="0"/>
                    <w:kinsoku/>
                    <w:wordWrap/>
                    <w:overflowPunct/>
                    <w:topLinePunct w:val="0"/>
                    <w:autoSpaceDE w:val="0"/>
                    <w:autoSpaceDN/>
                    <w:bidi w:val="0"/>
                    <w:adjustRightInd w:val="0"/>
                    <w:snapToGrid w:val="0"/>
                    <w:spacing w:line="360" w:lineRule="auto"/>
                    <w:jc w:val="center"/>
                    <w:textAlignment w:val="auto"/>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33.4</w:t>
                  </w:r>
                </w:p>
              </w:tc>
            </w:tr>
          </w:tbl>
          <w:p w14:paraId="0673641A">
            <w:pPr>
              <w:pStyle w:val="59"/>
              <w:spacing w:line="360" w:lineRule="auto"/>
              <w:jc w:val="left"/>
              <w:rPr>
                <w:bCs/>
                <w:color w:val="auto"/>
                <w:szCs w:val="21"/>
                <w:highlight w:val="none"/>
              </w:rPr>
            </w:pPr>
          </w:p>
          <w:p w14:paraId="525E99A6">
            <w:pPr>
              <w:pStyle w:val="59"/>
              <w:spacing w:line="360" w:lineRule="auto"/>
              <w:jc w:val="left"/>
              <w:rPr>
                <w:bCs/>
                <w:color w:val="auto"/>
                <w:szCs w:val="21"/>
                <w:highlight w:val="none"/>
              </w:rPr>
            </w:pPr>
          </w:p>
          <w:p w14:paraId="3FFB0922">
            <w:pPr>
              <w:pStyle w:val="59"/>
              <w:spacing w:line="360" w:lineRule="auto"/>
              <w:jc w:val="left"/>
              <w:rPr>
                <w:bCs/>
                <w:color w:val="auto"/>
                <w:szCs w:val="21"/>
                <w:highlight w:val="none"/>
              </w:rPr>
            </w:pPr>
          </w:p>
          <w:p w14:paraId="752D5DE4">
            <w:pPr>
              <w:pStyle w:val="59"/>
              <w:spacing w:line="360" w:lineRule="auto"/>
              <w:jc w:val="left"/>
              <w:rPr>
                <w:bCs/>
                <w:color w:val="auto"/>
                <w:szCs w:val="21"/>
                <w:highlight w:val="none"/>
              </w:rPr>
            </w:pPr>
          </w:p>
          <w:p w14:paraId="6CC2F33A">
            <w:pPr>
              <w:pStyle w:val="59"/>
              <w:spacing w:line="360" w:lineRule="auto"/>
              <w:jc w:val="left"/>
              <w:rPr>
                <w:bCs/>
                <w:color w:val="auto"/>
                <w:szCs w:val="21"/>
                <w:highlight w:val="none"/>
              </w:rPr>
            </w:pPr>
          </w:p>
          <w:p w14:paraId="7F176673">
            <w:pPr>
              <w:pStyle w:val="59"/>
              <w:spacing w:line="360" w:lineRule="auto"/>
              <w:jc w:val="left"/>
              <w:rPr>
                <w:bCs/>
                <w:color w:val="auto"/>
                <w:szCs w:val="21"/>
                <w:highlight w:val="none"/>
              </w:rPr>
            </w:pPr>
          </w:p>
          <w:p w14:paraId="0599A036">
            <w:pPr>
              <w:pStyle w:val="59"/>
              <w:spacing w:line="360" w:lineRule="auto"/>
              <w:jc w:val="left"/>
              <w:rPr>
                <w:bCs/>
                <w:color w:val="auto"/>
                <w:szCs w:val="21"/>
                <w:highlight w:val="none"/>
              </w:rPr>
            </w:pPr>
          </w:p>
          <w:p w14:paraId="024C761D">
            <w:pPr>
              <w:pStyle w:val="59"/>
              <w:spacing w:line="360" w:lineRule="auto"/>
              <w:jc w:val="left"/>
              <w:rPr>
                <w:bCs/>
                <w:color w:val="auto"/>
                <w:szCs w:val="21"/>
                <w:highlight w:val="none"/>
              </w:rPr>
            </w:pPr>
          </w:p>
          <w:p w14:paraId="4E413571">
            <w:pPr>
              <w:pStyle w:val="59"/>
              <w:spacing w:line="360" w:lineRule="auto"/>
              <w:jc w:val="left"/>
              <w:rPr>
                <w:bCs/>
                <w:color w:val="auto"/>
                <w:szCs w:val="21"/>
                <w:highlight w:val="none"/>
              </w:rPr>
            </w:pPr>
          </w:p>
          <w:p w14:paraId="7E0A0D1E">
            <w:pPr>
              <w:pStyle w:val="59"/>
              <w:spacing w:line="360" w:lineRule="auto"/>
              <w:jc w:val="left"/>
              <w:rPr>
                <w:bCs/>
                <w:color w:val="auto"/>
                <w:szCs w:val="21"/>
                <w:highlight w:val="none"/>
              </w:rPr>
            </w:pPr>
          </w:p>
          <w:p w14:paraId="701F8357">
            <w:pPr>
              <w:pStyle w:val="59"/>
              <w:spacing w:line="360" w:lineRule="auto"/>
              <w:jc w:val="left"/>
              <w:rPr>
                <w:bCs/>
                <w:color w:val="auto"/>
                <w:szCs w:val="21"/>
                <w:highlight w:val="none"/>
              </w:rPr>
            </w:pPr>
          </w:p>
          <w:p w14:paraId="0E5A12BF">
            <w:pPr>
              <w:pStyle w:val="59"/>
              <w:spacing w:line="360" w:lineRule="auto"/>
              <w:jc w:val="left"/>
              <w:rPr>
                <w:bCs/>
                <w:color w:val="auto"/>
                <w:szCs w:val="21"/>
                <w:highlight w:val="none"/>
              </w:rPr>
            </w:pPr>
          </w:p>
          <w:p w14:paraId="2518C382">
            <w:pPr>
              <w:pStyle w:val="59"/>
              <w:spacing w:line="360" w:lineRule="auto"/>
              <w:jc w:val="left"/>
              <w:rPr>
                <w:bCs/>
                <w:color w:val="auto"/>
                <w:szCs w:val="21"/>
                <w:highlight w:val="none"/>
              </w:rPr>
            </w:pPr>
          </w:p>
          <w:p w14:paraId="44D0EAB0">
            <w:pPr>
              <w:pStyle w:val="59"/>
              <w:spacing w:line="360" w:lineRule="auto"/>
              <w:jc w:val="left"/>
              <w:rPr>
                <w:bCs/>
                <w:color w:val="auto"/>
                <w:szCs w:val="21"/>
                <w:highlight w:val="none"/>
              </w:rPr>
            </w:pPr>
          </w:p>
          <w:p w14:paraId="3C6F3EC2">
            <w:pPr>
              <w:pStyle w:val="59"/>
              <w:spacing w:line="360" w:lineRule="auto"/>
              <w:jc w:val="left"/>
              <w:rPr>
                <w:bCs/>
                <w:color w:val="auto"/>
                <w:szCs w:val="21"/>
                <w:highlight w:val="none"/>
              </w:rPr>
            </w:pPr>
          </w:p>
          <w:p w14:paraId="674F5CE9">
            <w:pPr>
              <w:pStyle w:val="59"/>
              <w:spacing w:line="360" w:lineRule="auto"/>
              <w:jc w:val="left"/>
              <w:rPr>
                <w:bCs/>
                <w:color w:val="auto"/>
                <w:szCs w:val="21"/>
                <w:highlight w:val="none"/>
              </w:rPr>
            </w:pPr>
          </w:p>
          <w:p w14:paraId="713F2098">
            <w:pPr>
              <w:pStyle w:val="59"/>
              <w:spacing w:line="360" w:lineRule="auto"/>
              <w:jc w:val="left"/>
              <w:rPr>
                <w:bCs/>
                <w:color w:val="auto"/>
                <w:szCs w:val="21"/>
                <w:highlight w:val="none"/>
              </w:rPr>
            </w:pPr>
          </w:p>
          <w:p w14:paraId="01EB58E5">
            <w:pPr>
              <w:pStyle w:val="59"/>
              <w:spacing w:line="360" w:lineRule="auto"/>
              <w:jc w:val="left"/>
              <w:rPr>
                <w:bCs/>
                <w:color w:val="auto"/>
                <w:szCs w:val="21"/>
                <w:highlight w:val="none"/>
              </w:rPr>
            </w:pPr>
          </w:p>
          <w:p w14:paraId="78CA3F47">
            <w:pPr>
              <w:pStyle w:val="59"/>
              <w:spacing w:line="360" w:lineRule="auto"/>
              <w:jc w:val="left"/>
              <w:rPr>
                <w:bCs/>
                <w:color w:val="auto"/>
                <w:szCs w:val="21"/>
                <w:highlight w:val="none"/>
              </w:rPr>
            </w:pPr>
          </w:p>
        </w:tc>
      </w:tr>
      <w:tr w14:paraId="13572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035" w:type="dxa"/>
            <w:vAlign w:val="center"/>
          </w:tcPr>
          <w:p w14:paraId="503DA886">
            <w:pPr>
              <w:pStyle w:val="22"/>
              <w:adjustRightInd w:val="0"/>
              <w:snapToGrid w:val="0"/>
              <w:spacing w:before="0" w:beforeAutospacing="0" w:after="0" w:afterAutospacing="0"/>
              <w:jc w:val="center"/>
              <w:rPr>
                <w:rFonts w:ascii="Times New Roman" w:hAnsi="Times New Roman"/>
                <w:color w:val="auto"/>
                <w:szCs w:val="24"/>
                <w:highlight w:val="none"/>
              </w:rPr>
            </w:pPr>
            <w:r>
              <w:rPr>
                <w:rFonts w:ascii="Times New Roman"/>
                <w:color w:val="auto"/>
                <w:szCs w:val="24"/>
                <w:highlight w:val="none"/>
              </w:rPr>
              <w:t>工艺流程和产排污环节</w:t>
            </w:r>
          </w:p>
        </w:tc>
        <w:tc>
          <w:tcPr>
            <w:tcW w:w="8302" w:type="dxa"/>
          </w:tcPr>
          <w:p w14:paraId="44B9BAA1">
            <w:pPr>
              <w:pStyle w:val="8"/>
              <w:tabs>
                <w:tab w:val="left" w:pos="420"/>
              </w:tabs>
              <w:spacing w:line="360" w:lineRule="auto"/>
              <w:ind w:left="0" w:leftChars="0" w:firstLine="0" w:firstLineChars="0"/>
              <w:rPr>
                <w:rFonts w:hint="default" w:eastAsia="宋体"/>
                <w:bCs/>
                <w:color w:val="auto"/>
                <w:sz w:val="24"/>
                <w:highlight w:val="none"/>
                <w:lang w:val="en-US" w:eastAsia="zh-CN"/>
              </w:rPr>
            </w:pPr>
            <w:r>
              <w:rPr>
                <w:rFonts w:hint="eastAsia"/>
                <w:b/>
                <w:color w:val="auto"/>
                <w:sz w:val="24"/>
                <w:highlight w:val="none"/>
                <w:lang w:val="en-US" w:eastAsia="zh-CN"/>
              </w:rPr>
              <w:t>十</w:t>
            </w:r>
            <w:r>
              <w:rPr>
                <w:rFonts w:hint="eastAsia"/>
                <w:b/>
                <w:color w:val="auto"/>
                <w:sz w:val="24"/>
                <w:highlight w:val="none"/>
              </w:rPr>
              <w:t>一、</w:t>
            </w:r>
            <w:r>
              <w:rPr>
                <w:b/>
                <w:color w:val="auto"/>
                <w:sz w:val="24"/>
                <w:highlight w:val="none"/>
              </w:rPr>
              <w:t>项目施工工艺流程</w:t>
            </w:r>
            <w:r>
              <w:rPr>
                <w:rFonts w:hint="eastAsia"/>
                <w:b/>
                <w:color w:val="auto"/>
                <w:sz w:val="24"/>
                <w:highlight w:val="none"/>
                <w:lang w:val="en-US" w:eastAsia="zh-CN"/>
              </w:rPr>
              <w:t>及产污节点</w:t>
            </w:r>
          </w:p>
          <w:p w14:paraId="5FB053B2">
            <w:pPr>
              <w:keepNext w:val="0"/>
              <w:keepLines w:val="0"/>
              <w:pageBreakBefore w:val="0"/>
              <w:kinsoku/>
              <w:wordWrap/>
              <w:overflowPunct/>
              <w:topLinePunct w:val="0"/>
              <w:autoSpaceDE/>
              <w:autoSpaceDN/>
              <w:bidi w:val="0"/>
              <w:adjustRightInd/>
              <w:snapToGrid/>
              <w:spacing w:line="360" w:lineRule="auto"/>
              <w:ind w:right="0" w:firstLine="480" w:firstLineChars="200"/>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本项目为新建补办项目，施工期已结束。</w:t>
            </w:r>
          </w:p>
          <w:p w14:paraId="10F8AB49">
            <w:pPr>
              <w:keepNext w:val="0"/>
              <w:keepLines w:val="0"/>
              <w:pageBreakBefore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color w:val="auto"/>
                <w:sz w:val="28"/>
                <w:szCs w:val="28"/>
              </w:rPr>
            </w:pPr>
            <w:r>
              <w:rPr>
                <w:rFonts w:hint="eastAsia"/>
                <w:b/>
                <w:bCs/>
                <w:color w:val="auto"/>
                <w:sz w:val="24"/>
                <w:highlight w:val="none"/>
                <w:lang w:val="en-US" w:eastAsia="zh-CN"/>
              </w:rPr>
              <w:t>十</w:t>
            </w:r>
            <w:r>
              <w:rPr>
                <w:rFonts w:hint="eastAsia"/>
                <w:b/>
                <w:bCs/>
                <w:color w:val="auto"/>
                <w:sz w:val="24"/>
                <w:highlight w:val="none"/>
                <w:lang w:val="zh-CN"/>
              </w:rPr>
              <w:t>二、</w:t>
            </w:r>
            <w:r>
              <w:rPr>
                <w:rFonts w:hint="eastAsia" w:ascii="宋体" w:hAnsi="宋体" w:eastAsia="宋体" w:cs="宋体"/>
                <w:b/>
                <w:bCs/>
                <w:color w:val="auto"/>
                <w:sz w:val="28"/>
                <w:szCs w:val="28"/>
              </w:rPr>
              <w:t>运营期</w:t>
            </w:r>
            <w:r>
              <w:rPr>
                <w:rFonts w:hint="eastAsia" w:ascii="宋体" w:hAnsi="宋体" w:eastAsia="宋体" w:cs="宋体"/>
                <w:b/>
                <w:bCs/>
                <w:color w:val="auto"/>
                <w:sz w:val="28"/>
                <w:szCs w:val="28"/>
                <w:lang w:eastAsia="zh-CN"/>
              </w:rPr>
              <w:t>工艺流程及</w:t>
            </w:r>
            <w:r>
              <w:rPr>
                <w:rFonts w:hint="eastAsia" w:ascii="宋体" w:hAnsi="宋体" w:eastAsia="宋体" w:cs="宋体"/>
                <w:b/>
                <w:bCs/>
                <w:color w:val="auto"/>
                <w:sz w:val="28"/>
                <w:szCs w:val="28"/>
              </w:rPr>
              <w:t>产污节点分析</w:t>
            </w:r>
          </w:p>
          <w:p w14:paraId="7BC26A36">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为了保证蒸发器安全运行，给水水质必须达到下列水质指标：</w:t>
            </w:r>
          </w:p>
          <w:p w14:paraId="75AF6E2B">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悬浮物≤5mg/L</w:t>
            </w:r>
          </w:p>
          <w:p w14:paraId="23A66302">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总硬度≤0.03moL/L</w:t>
            </w:r>
          </w:p>
          <w:p w14:paraId="5C2E1585">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pH值≥7</w:t>
            </w:r>
          </w:p>
          <w:p w14:paraId="14AC7EFA">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故本项目设置软水制备系统，保证蒸发器用水水质达标，项目软水站工艺采用阳离子交换树脂工艺，软水处理站工艺详见下图。</w:t>
            </w:r>
          </w:p>
          <w:p w14:paraId="6E36A658">
            <w:pPr>
              <w:pStyle w:val="24"/>
              <w:jc w:val="center"/>
              <w:rPr>
                <w:rFonts w:hint="eastAsia" w:ascii="宋体" w:hAnsi="宋体" w:eastAsia="宋体" w:cs="宋体"/>
                <w:color w:val="auto"/>
                <w:sz w:val="24"/>
                <w:szCs w:val="24"/>
                <w:lang w:eastAsia="zh-CN"/>
              </w:rPr>
            </w:pPr>
            <w:r>
              <w:rPr>
                <w:rFonts w:hint="eastAsia" w:eastAsia="宋体"/>
                <w:color w:val="auto"/>
                <w:lang w:eastAsia="zh-CN"/>
              </w:rPr>
              <w:object>
                <v:shape id="_x0000_i1025" o:spt="75" type="#_x0000_t75" style="height:122.55pt;width:315.6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14:paraId="621BB3F6">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图</w:t>
            </w:r>
            <w:r>
              <w:rPr>
                <w:rFonts w:hint="eastAsia" w:ascii="宋体" w:hAnsi="宋体" w:cs="宋体"/>
                <w:b/>
                <w:color w:val="auto"/>
                <w:sz w:val="24"/>
                <w:szCs w:val="24"/>
                <w:highlight w:val="none"/>
                <w:lang w:val="en-US" w:eastAsia="zh-CN"/>
              </w:rPr>
              <w:t>2-4</w:t>
            </w:r>
            <w:r>
              <w:rPr>
                <w:rFonts w:hint="eastAsia" w:ascii="宋体" w:hAnsi="宋体" w:eastAsia="宋体" w:cs="宋体"/>
                <w:b/>
                <w:color w:val="auto"/>
                <w:sz w:val="24"/>
                <w:szCs w:val="24"/>
                <w:highlight w:val="none"/>
                <w:lang w:val="en-US" w:eastAsia="zh-CN"/>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val="en-US" w:eastAsia="zh-CN"/>
              </w:rPr>
              <w:t>软水处理系统工艺流程图</w:t>
            </w:r>
          </w:p>
          <w:p w14:paraId="06ACA2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eastAsia" w:ascii="宋体" w:hAnsi="宋体" w:eastAsia="宋体" w:cs="宋体"/>
                <w:b w:val="0"/>
                <w:bCs/>
                <w:color w:val="auto"/>
                <w:kern w:val="0"/>
                <w:sz w:val="24"/>
                <w:szCs w:val="24"/>
                <w:lang w:eastAsia="zh-CN" w:bidi="ar"/>
              </w:rPr>
              <w:t>该项目蒸发器用水以市政给水的自来水为原水，经离子交换树脂除去自来水中钙、镁等硬度离子后供蒸发器加热，避免软化水对设备、管道的腐蚀。</w:t>
            </w:r>
          </w:p>
          <w:p w14:paraId="051C10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项目蒸发器运行工艺流程及产污节点见图</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eastAsia="zh-CN"/>
              </w:rPr>
              <w:t>。</w:t>
            </w:r>
          </w:p>
          <w:p w14:paraId="137FB1D8">
            <w:pPr>
              <w:pStyle w:val="2"/>
              <w:rPr>
                <w:rFonts w:hint="eastAsia" w:ascii="宋体" w:hAnsi="宋体" w:eastAsia="宋体" w:cs="宋体"/>
                <w:color w:val="auto"/>
                <w:sz w:val="24"/>
                <w:szCs w:val="24"/>
                <w:lang w:eastAsia="zh-CN"/>
              </w:rPr>
            </w:pPr>
          </w:p>
          <w:p w14:paraId="43A1858C">
            <w:pPr>
              <w:pStyle w:val="2"/>
              <w:rPr>
                <w:rFonts w:hint="eastAsia" w:ascii="宋体" w:hAnsi="宋体" w:eastAsia="宋体" w:cs="宋体"/>
                <w:color w:val="auto"/>
                <w:sz w:val="24"/>
                <w:szCs w:val="24"/>
                <w:lang w:eastAsia="zh-CN"/>
              </w:rPr>
            </w:pPr>
          </w:p>
          <w:p w14:paraId="04B170AC">
            <w:pPr>
              <w:pStyle w:val="2"/>
              <w:rPr>
                <w:rFonts w:hint="eastAsia" w:ascii="宋体" w:hAnsi="宋体" w:eastAsia="宋体" w:cs="宋体"/>
                <w:color w:val="auto"/>
                <w:sz w:val="24"/>
                <w:szCs w:val="24"/>
                <w:lang w:eastAsia="zh-CN"/>
              </w:rPr>
            </w:pPr>
          </w:p>
          <w:p w14:paraId="20F9A7AE">
            <w:pPr>
              <w:pStyle w:val="2"/>
              <w:rPr>
                <w:rFonts w:hint="eastAsia" w:ascii="宋体" w:hAnsi="宋体" w:eastAsia="宋体" w:cs="宋体"/>
                <w:color w:val="auto"/>
                <w:sz w:val="24"/>
                <w:szCs w:val="24"/>
                <w:lang w:eastAsia="zh-CN"/>
              </w:rPr>
            </w:pPr>
          </w:p>
          <w:p w14:paraId="671B9AB5">
            <w:pPr>
              <w:pStyle w:val="2"/>
              <w:rPr>
                <w:rFonts w:hint="eastAsia" w:ascii="宋体" w:hAnsi="宋体" w:eastAsia="宋体" w:cs="宋体"/>
                <w:color w:val="auto"/>
                <w:sz w:val="24"/>
                <w:szCs w:val="24"/>
                <w:lang w:eastAsia="zh-CN"/>
              </w:rPr>
            </w:pPr>
          </w:p>
          <w:p w14:paraId="110F6678">
            <w:pPr>
              <w:pStyle w:val="2"/>
              <w:rPr>
                <w:rFonts w:hint="eastAsia" w:ascii="宋体" w:hAnsi="宋体" w:eastAsia="宋体" w:cs="宋体"/>
                <w:color w:val="auto"/>
                <w:sz w:val="24"/>
                <w:szCs w:val="24"/>
                <w:lang w:eastAsia="zh-CN"/>
              </w:rPr>
            </w:pPr>
          </w:p>
          <w:p w14:paraId="1006B513">
            <w:pPr>
              <w:pStyle w:val="2"/>
              <w:rPr>
                <w:rFonts w:hint="eastAsia" w:ascii="宋体" w:hAnsi="宋体" w:eastAsia="宋体" w:cs="宋体"/>
                <w:color w:val="auto"/>
                <w:sz w:val="24"/>
                <w:szCs w:val="24"/>
                <w:lang w:eastAsia="zh-CN"/>
              </w:rPr>
            </w:pPr>
          </w:p>
          <w:p w14:paraId="593B726E">
            <w:pPr>
              <w:pStyle w:val="2"/>
              <w:rPr>
                <w:rFonts w:hint="eastAsia" w:ascii="宋体" w:hAnsi="宋体" w:eastAsia="宋体" w:cs="宋体"/>
                <w:color w:val="auto"/>
                <w:sz w:val="24"/>
                <w:szCs w:val="24"/>
                <w:lang w:eastAsia="zh-CN"/>
              </w:rPr>
            </w:pPr>
          </w:p>
          <w:p w14:paraId="2ABDC600">
            <w:pPr>
              <w:pStyle w:val="2"/>
              <w:rPr>
                <w:rFonts w:hint="eastAsia" w:ascii="宋体" w:hAnsi="宋体" w:eastAsia="宋体" w:cs="宋体"/>
                <w:color w:val="auto"/>
                <w:sz w:val="24"/>
                <w:szCs w:val="24"/>
                <w:lang w:eastAsia="zh-CN"/>
              </w:rPr>
            </w:pPr>
          </w:p>
          <w:p w14:paraId="0D98E1E7">
            <w:pPr>
              <w:pStyle w:val="2"/>
              <w:rPr>
                <w:rFonts w:hint="eastAsia" w:ascii="宋体" w:hAnsi="宋体" w:eastAsia="宋体" w:cs="宋体"/>
                <w:color w:val="auto"/>
                <w:sz w:val="24"/>
                <w:szCs w:val="24"/>
                <w:lang w:eastAsia="zh-CN"/>
              </w:rPr>
            </w:pPr>
          </w:p>
          <w:p w14:paraId="09AAD090">
            <w:pPr>
              <w:pStyle w:val="2"/>
              <w:rPr>
                <w:rFonts w:hint="eastAsia" w:ascii="宋体" w:hAnsi="宋体" w:eastAsia="宋体" w:cs="宋体"/>
                <w:color w:val="auto"/>
                <w:sz w:val="24"/>
                <w:szCs w:val="24"/>
                <w:lang w:eastAsia="zh-CN"/>
              </w:rPr>
            </w:pPr>
          </w:p>
          <w:p w14:paraId="0CE3A76E">
            <w:pPr>
              <w:pStyle w:val="2"/>
              <w:rPr>
                <w:rFonts w:hint="eastAsia" w:ascii="宋体" w:hAnsi="宋体" w:eastAsia="宋体" w:cs="宋体"/>
                <w:color w:val="auto"/>
                <w:sz w:val="24"/>
                <w:szCs w:val="24"/>
                <w:lang w:eastAsia="zh-CN"/>
              </w:rPr>
            </w:pPr>
          </w:p>
          <w:p w14:paraId="090F07C6">
            <w:pPr>
              <w:jc w:val="center"/>
              <w:rPr>
                <w:rFonts w:hint="eastAsia" w:ascii="宋体" w:hAnsi="宋体" w:eastAsia="宋体" w:cs="宋体"/>
                <w:color w:val="auto"/>
                <w:sz w:val="24"/>
                <w:szCs w:val="24"/>
                <w:lang w:eastAsia="zh-CN"/>
              </w:rPr>
            </w:pPr>
            <w:r>
              <w:rPr>
                <w:rFonts w:hint="eastAsia"/>
                <w:color w:val="auto"/>
              </w:rPr>
              <w:object>
                <v:shape id="_x0000_i1026" o:spt="75" type="#_x0000_t75" style="height:232.15pt;width:366.1pt;" o:ole="t" filled="f" o:preferrelative="t" stroked="f" coordsize="21600,21600">
                  <v:path/>
                  <v:fill on="f" focussize="0,0"/>
                  <v:stroke on="f"/>
                  <v:imagedata r:id="rId11" o:title=""/>
                  <o:lock v:ext="edit" aspectratio="t"/>
                  <w10:wrap type="none"/>
                  <w10:anchorlock/>
                </v:shape>
                <o:OLEObject Type="Embed" ProgID="Visio.Drawing.11" ShapeID="_x0000_i1026" DrawAspect="Content" ObjectID="_1468075726" r:id="rId10">
                  <o:LockedField>false</o:LockedField>
                </o:OLEObject>
              </w:object>
            </w:r>
          </w:p>
          <w:p w14:paraId="289B0A11">
            <w:pPr>
              <w:keepNext w:val="0"/>
              <w:keepLines w:val="0"/>
              <w:pageBreakBefore w:val="0"/>
              <w:widowControl w:val="0"/>
              <w:kinsoku/>
              <w:wordWrap/>
              <w:overflowPunct/>
              <w:topLinePunct w:val="0"/>
              <w:autoSpaceDE/>
              <w:autoSpaceDN/>
              <w:bidi w:val="0"/>
              <w:adjustRightInd/>
              <w:snapToGrid/>
              <w:spacing w:before="313" w:beforeLines="100"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highlight w:val="none"/>
              </w:rPr>
              <w:t>图</w:t>
            </w:r>
            <w:r>
              <w:rPr>
                <w:rFonts w:hint="eastAsia" w:ascii="宋体" w:hAnsi="宋体" w:cs="宋体"/>
                <w:b/>
                <w:color w:val="auto"/>
                <w:sz w:val="24"/>
                <w:szCs w:val="24"/>
                <w:highlight w:val="none"/>
                <w:lang w:val="en-US" w:eastAsia="zh-CN"/>
              </w:rPr>
              <w:t>2-5</w:t>
            </w: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sz w:val="24"/>
                <w:szCs w:val="24"/>
                <w:highlight w:val="none"/>
              </w:rPr>
              <w:t>项目</w:t>
            </w:r>
            <w:r>
              <w:rPr>
                <w:rFonts w:hint="eastAsia" w:ascii="宋体" w:hAnsi="宋体" w:eastAsia="宋体" w:cs="宋体"/>
                <w:b/>
                <w:bCs/>
                <w:color w:val="auto"/>
                <w:sz w:val="24"/>
                <w:szCs w:val="24"/>
                <w:highlight w:val="none"/>
                <w:lang w:eastAsia="zh-CN"/>
              </w:rPr>
              <w:t>运营期</w:t>
            </w:r>
            <w:r>
              <w:rPr>
                <w:rFonts w:hint="eastAsia" w:ascii="宋体" w:hAnsi="宋体" w:eastAsia="宋体" w:cs="宋体"/>
                <w:b/>
                <w:color w:val="auto"/>
                <w:sz w:val="24"/>
                <w:szCs w:val="24"/>
                <w:highlight w:val="none"/>
              </w:rPr>
              <w:t>工艺流程及</w:t>
            </w:r>
            <w:r>
              <w:rPr>
                <w:rFonts w:hint="eastAsia" w:ascii="宋体" w:hAnsi="宋体" w:eastAsia="宋体" w:cs="宋体"/>
                <w:b/>
                <w:bCs/>
                <w:color w:val="auto"/>
                <w:sz w:val="24"/>
                <w:szCs w:val="24"/>
                <w:highlight w:val="none"/>
              </w:rPr>
              <w:t>产污节点图</w:t>
            </w:r>
          </w:p>
          <w:p w14:paraId="697FDC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工艺流程简介</w:t>
            </w:r>
            <w:r>
              <w:rPr>
                <w:rFonts w:hint="eastAsia" w:ascii="宋体" w:hAnsi="宋体" w:eastAsia="宋体" w:cs="宋体"/>
                <w:b/>
                <w:bCs/>
                <w:color w:val="auto"/>
                <w:sz w:val="24"/>
                <w:szCs w:val="24"/>
                <w:lang w:eastAsia="zh-CN"/>
              </w:rPr>
              <w:t>：</w:t>
            </w:r>
          </w:p>
          <w:p w14:paraId="745B816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1</w:t>
            </w:r>
            <w:r>
              <w:rPr>
                <w:rFonts w:hint="eastAsia" w:ascii="宋体" w:hAnsi="宋体" w:eastAsia="宋体" w:cs="宋体"/>
                <w:b/>
                <w:bCs w:val="0"/>
                <w:color w:val="auto"/>
                <w:kern w:val="0"/>
                <w:sz w:val="24"/>
                <w:lang w:eastAsia="zh-CN" w:bidi="ar"/>
              </w:rPr>
              <w:t>）燃料运输与储存：</w:t>
            </w:r>
            <w:r>
              <w:rPr>
                <w:rFonts w:hint="eastAsia" w:ascii="宋体" w:hAnsi="宋体" w:eastAsia="宋体" w:cs="宋体"/>
                <w:b w:val="0"/>
                <w:bCs/>
                <w:color w:val="auto"/>
                <w:kern w:val="0"/>
                <w:sz w:val="24"/>
                <w:lang w:eastAsia="zh-CN" w:bidi="ar"/>
              </w:rPr>
              <w:t>生物质燃料用汽车从生产厂商运至原料区堆放。</w:t>
            </w:r>
          </w:p>
          <w:p w14:paraId="20F6695D">
            <w:pPr>
              <w:spacing w:line="360" w:lineRule="auto"/>
              <w:ind w:firstLine="482" w:firstLineChars="200"/>
              <w:rPr>
                <w:rFonts w:hint="eastAsia" w:ascii="宋体" w:hAnsi="宋体" w:eastAsia="宋体" w:cs="宋体"/>
                <w:bCs/>
                <w:color w:val="auto"/>
                <w:sz w:val="24"/>
              </w:rPr>
            </w:pPr>
            <w:r>
              <w:rPr>
                <w:rFonts w:hint="eastAsia" w:ascii="宋体" w:hAnsi="宋体" w:eastAsia="宋体" w:cs="宋体"/>
                <w:b/>
                <w:bCs w:val="0"/>
                <w:color w:val="auto"/>
                <w:kern w:val="0"/>
                <w:sz w:val="24"/>
                <w:highlight w:val="none"/>
                <w:lang w:eastAsia="zh-CN" w:bidi="ar"/>
              </w:rPr>
              <w:t>（</w:t>
            </w:r>
            <w:r>
              <w:rPr>
                <w:rFonts w:hint="eastAsia" w:ascii="宋体" w:hAnsi="宋体" w:eastAsia="宋体" w:cs="宋体"/>
                <w:b/>
                <w:bCs w:val="0"/>
                <w:color w:val="auto"/>
                <w:kern w:val="0"/>
                <w:sz w:val="24"/>
                <w:highlight w:val="none"/>
                <w:lang w:val="en-US" w:eastAsia="zh-CN" w:bidi="ar"/>
              </w:rPr>
              <w:t>2</w:t>
            </w:r>
            <w:r>
              <w:rPr>
                <w:rFonts w:hint="eastAsia" w:ascii="宋体" w:hAnsi="宋体" w:eastAsia="宋体" w:cs="宋体"/>
                <w:b/>
                <w:bCs w:val="0"/>
                <w:color w:val="auto"/>
                <w:kern w:val="0"/>
                <w:sz w:val="24"/>
                <w:highlight w:val="none"/>
                <w:lang w:eastAsia="zh-CN" w:bidi="ar"/>
              </w:rPr>
              <w:t>）软水制备：</w:t>
            </w:r>
            <w:r>
              <w:rPr>
                <w:rFonts w:hint="eastAsia" w:ascii="宋体" w:hAnsi="宋体" w:eastAsia="宋体" w:cs="宋体"/>
                <w:bCs/>
                <w:color w:val="auto"/>
                <w:kern w:val="0"/>
                <w:sz w:val="24"/>
                <w:lang w:bidi="ar"/>
              </w:rPr>
              <w:t>新鲜自来水进入软水制备系统，经阳离子交换树脂除去钙、镁等硬度离子后，通过管线进入蒸发器内</w:t>
            </w:r>
            <w:r>
              <w:rPr>
                <w:rFonts w:hint="eastAsia" w:ascii="宋体" w:hAnsi="宋体" w:eastAsia="宋体" w:cs="宋体"/>
                <w:bCs/>
                <w:color w:val="auto"/>
                <w:sz w:val="24"/>
              </w:rPr>
              <w:t>；钠离子交换器内有树脂颗粒，可以吸附水中分离出来的钙、镁离子，离子交换树脂需20天左右清洗一次，则有树脂再生废水产生。</w:t>
            </w:r>
          </w:p>
          <w:p w14:paraId="6D2B6FF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3</w:t>
            </w:r>
            <w:r>
              <w:rPr>
                <w:rFonts w:hint="eastAsia" w:ascii="宋体" w:hAnsi="宋体" w:eastAsia="宋体" w:cs="宋体"/>
                <w:b/>
                <w:bCs w:val="0"/>
                <w:color w:val="auto"/>
                <w:kern w:val="0"/>
                <w:sz w:val="24"/>
                <w:lang w:eastAsia="zh-CN" w:bidi="ar"/>
              </w:rPr>
              <w:t>）燃料投放：</w:t>
            </w:r>
            <w:r>
              <w:rPr>
                <w:rFonts w:hint="eastAsia" w:ascii="宋体" w:hAnsi="宋体" w:eastAsia="宋体" w:cs="宋体"/>
                <w:b w:val="0"/>
                <w:bCs/>
                <w:color w:val="auto"/>
                <w:kern w:val="0"/>
                <w:sz w:val="24"/>
                <w:lang w:eastAsia="zh-CN" w:bidi="ar"/>
              </w:rPr>
              <w:t>生物质蒸发器以生物质</w:t>
            </w:r>
            <w:r>
              <w:rPr>
                <w:rFonts w:hint="eastAsia" w:ascii="宋体" w:hAnsi="宋体" w:cs="宋体"/>
                <w:b w:val="0"/>
                <w:bCs/>
                <w:color w:val="auto"/>
                <w:kern w:val="0"/>
                <w:sz w:val="24"/>
                <w:lang w:val="en-US" w:eastAsia="zh-CN" w:bidi="ar"/>
              </w:rPr>
              <w:t>为</w:t>
            </w:r>
            <w:r>
              <w:rPr>
                <w:rFonts w:hint="eastAsia" w:ascii="宋体" w:hAnsi="宋体" w:eastAsia="宋体" w:cs="宋体"/>
                <w:b w:val="0"/>
                <w:bCs/>
                <w:color w:val="auto"/>
                <w:kern w:val="0"/>
                <w:sz w:val="24"/>
                <w:highlight w:val="none"/>
                <w:shd w:val="clear" w:color="auto" w:fill="auto"/>
                <w:lang w:eastAsia="zh-CN" w:bidi="ar"/>
              </w:rPr>
              <w:t>燃料，</w:t>
            </w:r>
            <w:r>
              <w:rPr>
                <w:rFonts w:hint="eastAsia" w:ascii="宋体" w:hAnsi="宋体" w:eastAsia="宋体" w:cs="宋体"/>
                <w:b w:val="0"/>
                <w:bCs/>
                <w:color w:val="auto"/>
                <w:kern w:val="0"/>
                <w:sz w:val="24"/>
                <w:lang w:eastAsia="zh-CN" w:bidi="ar"/>
              </w:rPr>
              <w:t>不得沾染废机油、夹带塑料和生活垃圾，不得沾染其他有毒有害物质。</w:t>
            </w:r>
          </w:p>
          <w:p w14:paraId="4A9F787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4</w:t>
            </w:r>
            <w:r>
              <w:rPr>
                <w:rFonts w:hint="eastAsia" w:ascii="宋体" w:hAnsi="宋体" w:eastAsia="宋体" w:cs="宋体"/>
                <w:b/>
                <w:bCs w:val="0"/>
                <w:color w:val="auto"/>
                <w:kern w:val="0"/>
                <w:sz w:val="24"/>
                <w:lang w:eastAsia="zh-CN" w:bidi="ar"/>
              </w:rPr>
              <w:t>）点火方式：</w:t>
            </w:r>
            <w:r>
              <w:rPr>
                <w:rFonts w:hint="eastAsia" w:ascii="宋体" w:hAnsi="宋体" w:eastAsia="宋体" w:cs="宋体"/>
                <w:b w:val="0"/>
                <w:bCs/>
                <w:color w:val="auto"/>
                <w:kern w:val="0"/>
                <w:sz w:val="24"/>
                <w:lang w:eastAsia="zh-CN" w:bidi="ar"/>
              </w:rPr>
              <w:t>生物质燃料蒸发器的点火燃料直接采用生物质</w:t>
            </w:r>
            <w:r>
              <w:rPr>
                <w:rFonts w:hint="eastAsia" w:ascii="宋体" w:hAnsi="宋体" w:cs="宋体"/>
                <w:b w:val="0"/>
                <w:bCs/>
                <w:color w:val="auto"/>
                <w:kern w:val="0"/>
                <w:sz w:val="24"/>
                <w:lang w:val="en-US" w:eastAsia="zh-CN" w:bidi="ar"/>
              </w:rPr>
              <w:t>燃料</w:t>
            </w:r>
            <w:r>
              <w:rPr>
                <w:rFonts w:hint="eastAsia" w:ascii="宋体" w:hAnsi="宋体" w:eastAsia="宋体" w:cs="宋体"/>
                <w:b w:val="0"/>
                <w:bCs/>
                <w:color w:val="auto"/>
                <w:kern w:val="0"/>
                <w:sz w:val="24"/>
                <w:lang w:eastAsia="zh-CN" w:bidi="ar"/>
              </w:rPr>
              <w:t>。</w:t>
            </w:r>
          </w:p>
          <w:p w14:paraId="69AFE04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5</w:t>
            </w:r>
            <w:r>
              <w:rPr>
                <w:rFonts w:hint="eastAsia" w:ascii="宋体" w:hAnsi="宋体" w:eastAsia="宋体" w:cs="宋体"/>
                <w:b/>
                <w:bCs w:val="0"/>
                <w:color w:val="auto"/>
                <w:kern w:val="0"/>
                <w:sz w:val="24"/>
                <w:lang w:eastAsia="zh-CN" w:bidi="ar"/>
              </w:rPr>
              <w:t>）燃烧方式：</w:t>
            </w:r>
            <w:r>
              <w:rPr>
                <w:rFonts w:hint="eastAsia" w:ascii="宋体" w:hAnsi="宋体" w:eastAsia="宋体" w:cs="宋体"/>
                <w:b w:val="0"/>
                <w:bCs/>
                <w:color w:val="auto"/>
                <w:kern w:val="0"/>
                <w:sz w:val="24"/>
                <w:lang w:eastAsia="zh-CN" w:bidi="ar"/>
              </w:rPr>
              <w:t>生物质燃料在蒸发器固定炉排上进行燃烧，并根据燃料沿炉排送料方向进行一段式送风，使燃料在固定炉排上充分燃烧。</w:t>
            </w:r>
          </w:p>
          <w:p w14:paraId="16F74E9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6</w:t>
            </w:r>
            <w:r>
              <w:rPr>
                <w:rFonts w:hint="eastAsia" w:ascii="宋体" w:hAnsi="宋体" w:eastAsia="宋体" w:cs="宋体"/>
                <w:b/>
                <w:bCs w:val="0"/>
                <w:color w:val="auto"/>
                <w:kern w:val="0"/>
                <w:sz w:val="24"/>
                <w:lang w:eastAsia="zh-CN" w:bidi="ar"/>
              </w:rPr>
              <w:t>）烟气除尘与排放：</w:t>
            </w:r>
            <w:r>
              <w:rPr>
                <w:rFonts w:hint="eastAsia" w:ascii="宋体" w:hAnsi="宋体" w:eastAsia="宋体" w:cs="宋体"/>
                <w:b w:val="0"/>
                <w:bCs/>
                <w:color w:val="auto"/>
                <w:kern w:val="0"/>
                <w:sz w:val="24"/>
                <w:lang w:eastAsia="zh-CN" w:bidi="ar"/>
              </w:rPr>
              <w:t>蒸发器尾部烟道布置</w:t>
            </w:r>
            <w:r>
              <w:rPr>
                <w:rFonts w:hint="eastAsia" w:ascii="宋体" w:hAnsi="宋体" w:cs="宋体"/>
                <w:b w:val="0"/>
                <w:bCs/>
                <w:color w:val="auto"/>
                <w:kern w:val="0"/>
                <w:sz w:val="24"/>
                <w:lang w:val="en-US" w:eastAsia="zh-CN" w:bidi="ar"/>
              </w:rPr>
              <w:t>3</w:t>
            </w:r>
            <w:r>
              <w:rPr>
                <w:rFonts w:hint="eastAsia" w:ascii="宋体" w:hAnsi="宋体" w:eastAsia="宋体" w:cs="宋体"/>
                <w:b w:val="0"/>
                <w:bCs/>
                <w:color w:val="auto"/>
                <w:kern w:val="0"/>
                <w:sz w:val="24"/>
                <w:lang w:eastAsia="zh-CN" w:bidi="ar"/>
              </w:rPr>
              <w:t>套“低氮燃烧技术+旋风除尘器+布袋除尘”装置，根据去除粒径的大小，旋风除尘器+布袋除尘器综合除尘效率99％以上。</w:t>
            </w:r>
          </w:p>
          <w:p w14:paraId="035623AB">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color w:val="auto"/>
                <w:kern w:val="0"/>
                <w:sz w:val="24"/>
                <w:lang w:eastAsia="zh-CN" w:bidi="ar"/>
              </w:rPr>
            </w:pPr>
            <w:r>
              <w:rPr>
                <w:rFonts w:hint="eastAsia" w:ascii="宋体" w:hAnsi="宋体" w:eastAsia="宋体" w:cs="宋体"/>
                <w:b/>
                <w:bCs w:val="0"/>
                <w:color w:val="auto"/>
                <w:kern w:val="0"/>
                <w:sz w:val="24"/>
                <w:lang w:eastAsia="zh-CN" w:bidi="ar"/>
              </w:rPr>
              <w:t>（</w:t>
            </w:r>
            <w:r>
              <w:rPr>
                <w:rFonts w:hint="eastAsia" w:ascii="宋体" w:hAnsi="宋体" w:eastAsia="宋体" w:cs="宋体"/>
                <w:b/>
                <w:bCs w:val="0"/>
                <w:color w:val="auto"/>
                <w:kern w:val="0"/>
                <w:sz w:val="24"/>
                <w:lang w:val="en-US" w:eastAsia="zh-CN" w:bidi="ar"/>
              </w:rPr>
              <w:t>7</w:t>
            </w:r>
            <w:r>
              <w:rPr>
                <w:rFonts w:hint="eastAsia" w:ascii="宋体" w:hAnsi="宋体" w:eastAsia="宋体" w:cs="宋体"/>
                <w:b/>
                <w:bCs w:val="0"/>
                <w:color w:val="auto"/>
                <w:kern w:val="0"/>
                <w:sz w:val="24"/>
                <w:lang w:eastAsia="zh-CN" w:bidi="ar"/>
              </w:rPr>
              <w:t>）炉渣清理：</w:t>
            </w:r>
            <w:r>
              <w:rPr>
                <w:rFonts w:hint="eastAsia" w:ascii="宋体" w:hAnsi="宋体" w:eastAsia="宋体" w:cs="宋体"/>
                <w:b w:val="0"/>
                <w:bCs/>
                <w:color w:val="auto"/>
                <w:kern w:val="0"/>
                <w:sz w:val="24"/>
                <w:lang w:eastAsia="zh-CN" w:bidi="ar"/>
              </w:rPr>
              <w:t>燃烧后生成的灰渣</w:t>
            </w:r>
            <w:r>
              <w:rPr>
                <w:rFonts w:hint="eastAsia" w:ascii="宋体" w:hAnsi="宋体" w:cs="宋体"/>
                <w:b w:val="0"/>
                <w:bCs/>
                <w:color w:val="auto"/>
                <w:kern w:val="0"/>
                <w:sz w:val="24"/>
                <w:lang w:eastAsia="zh-CN" w:bidi="ar"/>
              </w:rPr>
              <w:t>采用人工清灰的方式进行清理</w:t>
            </w:r>
            <w:r>
              <w:rPr>
                <w:rFonts w:hint="eastAsia" w:ascii="宋体" w:hAnsi="宋体" w:eastAsia="宋体" w:cs="宋体"/>
                <w:b w:val="0"/>
                <w:bCs/>
                <w:color w:val="auto"/>
                <w:kern w:val="0"/>
                <w:sz w:val="24"/>
                <w:lang w:eastAsia="zh-CN" w:bidi="ar"/>
              </w:rPr>
              <w:t>，并用编织袋或麻袋包装后运至灰渣</w:t>
            </w:r>
            <w:r>
              <w:rPr>
                <w:rFonts w:hint="eastAsia" w:ascii="宋体" w:hAnsi="宋体" w:cs="宋体"/>
                <w:b w:val="0"/>
                <w:bCs/>
                <w:color w:val="auto"/>
                <w:kern w:val="0"/>
                <w:sz w:val="24"/>
                <w:lang w:val="en-US" w:eastAsia="zh-CN" w:bidi="ar"/>
              </w:rPr>
              <w:t>暂存区</w:t>
            </w:r>
            <w:r>
              <w:rPr>
                <w:rFonts w:hint="eastAsia" w:ascii="宋体" w:hAnsi="宋体" w:eastAsia="宋体" w:cs="宋体"/>
                <w:b w:val="0"/>
                <w:bCs/>
                <w:color w:val="auto"/>
                <w:kern w:val="0"/>
                <w:sz w:val="24"/>
                <w:lang w:eastAsia="zh-CN" w:bidi="ar"/>
              </w:rPr>
              <w:t>。大部分灰分随烟气排出，经除尘器收集后，经卸灰阀排出，用编织袋打包装好，炉渣</w:t>
            </w:r>
            <w:r>
              <w:rPr>
                <w:rFonts w:hint="eastAsia" w:ascii="宋体" w:hAnsi="宋体" w:cs="宋体"/>
                <w:b w:val="0"/>
                <w:bCs/>
                <w:color w:val="auto"/>
                <w:kern w:val="0"/>
                <w:sz w:val="24"/>
                <w:lang w:val="en-US" w:eastAsia="zh-CN" w:bidi="ar"/>
              </w:rPr>
              <w:t>日产日清，暂存在灰渣暂存区</w:t>
            </w:r>
            <w:r>
              <w:rPr>
                <w:rFonts w:hint="eastAsia" w:ascii="宋体" w:hAnsi="宋体" w:eastAsia="宋体" w:cs="宋体"/>
                <w:b w:val="0"/>
                <w:bCs/>
                <w:color w:val="auto"/>
                <w:kern w:val="0"/>
                <w:sz w:val="24"/>
                <w:lang w:eastAsia="zh-CN" w:bidi="ar"/>
              </w:rPr>
              <w:t>。灰渣定期用汽车采用密闭箱体运往</w:t>
            </w:r>
            <w:r>
              <w:rPr>
                <w:rFonts w:hint="eastAsia" w:ascii="宋体" w:hAnsi="宋体" w:cs="宋体"/>
                <w:b w:val="0"/>
                <w:bCs/>
                <w:color w:val="auto"/>
                <w:kern w:val="0"/>
                <w:sz w:val="24"/>
                <w:lang w:val="en-US" w:eastAsia="zh-CN" w:bidi="ar"/>
              </w:rPr>
              <w:t>红塔区志程肥料加工厂用于有机肥料生产原料使用</w:t>
            </w:r>
            <w:r>
              <w:rPr>
                <w:rFonts w:hint="eastAsia" w:ascii="宋体" w:hAnsi="宋体" w:eastAsia="宋体" w:cs="宋体"/>
                <w:b w:val="0"/>
                <w:bCs/>
                <w:color w:val="auto"/>
                <w:kern w:val="0"/>
                <w:sz w:val="24"/>
                <w:lang w:eastAsia="zh-CN" w:bidi="ar"/>
              </w:rPr>
              <w:t>。</w:t>
            </w:r>
          </w:p>
          <w:p w14:paraId="6B31638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0"/>
                <w:sz w:val="24"/>
                <w:highlight w:val="none"/>
                <w:lang w:eastAsia="zh-CN" w:bidi="ar"/>
              </w:rPr>
            </w:pPr>
            <w:r>
              <w:rPr>
                <w:rFonts w:hint="eastAsia" w:ascii="宋体" w:hAnsi="宋体" w:eastAsia="宋体" w:cs="宋体"/>
                <w:b/>
                <w:bCs w:val="0"/>
                <w:color w:val="auto"/>
                <w:kern w:val="0"/>
                <w:sz w:val="24"/>
                <w:highlight w:val="none"/>
                <w:lang w:eastAsia="zh-CN" w:bidi="ar"/>
              </w:rPr>
              <w:t>（</w:t>
            </w:r>
            <w:r>
              <w:rPr>
                <w:rFonts w:hint="eastAsia" w:ascii="宋体" w:hAnsi="宋体" w:eastAsia="宋体" w:cs="宋体"/>
                <w:b/>
                <w:bCs w:val="0"/>
                <w:color w:val="auto"/>
                <w:kern w:val="0"/>
                <w:sz w:val="24"/>
                <w:highlight w:val="none"/>
                <w:lang w:val="en-US" w:eastAsia="zh-CN" w:bidi="ar"/>
              </w:rPr>
              <w:t>8</w:t>
            </w:r>
            <w:r>
              <w:rPr>
                <w:rFonts w:hint="eastAsia" w:ascii="宋体" w:hAnsi="宋体" w:eastAsia="宋体" w:cs="宋体"/>
                <w:b/>
                <w:bCs w:val="0"/>
                <w:color w:val="auto"/>
                <w:kern w:val="0"/>
                <w:sz w:val="24"/>
                <w:highlight w:val="none"/>
                <w:lang w:eastAsia="zh-CN" w:bidi="ar"/>
              </w:rPr>
              <w:t>）蒸汽输送</w:t>
            </w:r>
          </w:p>
          <w:p w14:paraId="25BDAE5A">
            <w:pPr>
              <w:pStyle w:val="2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项目蒸发器所产生的蒸汽全部外售</w:t>
            </w:r>
            <w:r>
              <w:rPr>
                <w:rFonts w:hint="eastAsia" w:ascii="宋体" w:hAnsi="宋体" w:cs="宋体"/>
                <w:color w:val="auto"/>
                <w:sz w:val="24"/>
                <w:szCs w:val="24"/>
                <w:highlight w:val="none"/>
                <w:lang w:val="en-US" w:eastAsia="zh-CN"/>
              </w:rPr>
              <w:t>钧澄</w:t>
            </w:r>
            <w:r>
              <w:rPr>
                <w:rFonts w:hint="eastAsia" w:ascii="宋体" w:hAnsi="宋体" w:eastAsia="宋体" w:cs="宋体"/>
                <w:color w:val="auto"/>
                <w:sz w:val="24"/>
                <w:szCs w:val="24"/>
                <w:highlight w:val="none"/>
                <w:lang w:eastAsia="zh-CN"/>
              </w:rPr>
              <w:t>公司，外售蒸汽</w:t>
            </w:r>
            <w:r>
              <w:rPr>
                <w:rFonts w:hint="eastAsia" w:ascii="宋体" w:hAnsi="宋体" w:eastAsia="宋体" w:cs="宋体"/>
                <w:color w:val="auto"/>
                <w:sz w:val="24"/>
                <w:szCs w:val="24"/>
                <w:highlight w:val="none"/>
                <w:lang w:val="en-US" w:eastAsia="zh-CN"/>
              </w:rPr>
              <w:t>由其全部消耗，不设置蒸汽冷凝回收装置。</w:t>
            </w:r>
          </w:p>
          <w:p w14:paraId="23C5ECB5">
            <w:pPr>
              <w:pStyle w:val="24"/>
              <w:rPr>
                <w:rFonts w:hint="eastAsia" w:ascii="宋体" w:hAnsi="宋体" w:eastAsia="宋体" w:cs="宋体"/>
                <w:color w:val="auto"/>
                <w:sz w:val="24"/>
                <w:szCs w:val="24"/>
                <w:highlight w:val="none"/>
                <w:lang w:val="en-US" w:eastAsia="zh-CN"/>
              </w:rPr>
            </w:pPr>
          </w:p>
          <w:p w14:paraId="28383AC2">
            <w:pPr>
              <w:rPr>
                <w:rFonts w:hint="eastAsia" w:ascii="宋体" w:hAnsi="宋体" w:eastAsia="宋体" w:cs="宋体"/>
                <w:color w:val="auto"/>
                <w:sz w:val="24"/>
                <w:szCs w:val="24"/>
                <w:highlight w:val="none"/>
                <w:lang w:val="en-US" w:eastAsia="zh-CN"/>
              </w:rPr>
            </w:pPr>
          </w:p>
          <w:p w14:paraId="5CCC9A38">
            <w:pPr>
              <w:pStyle w:val="24"/>
              <w:rPr>
                <w:rFonts w:hint="eastAsia" w:ascii="宋体" w:hAnsi="宋体" w:eastAsia="宋体" w:cs="宋体"/>
                <w:color w:val="auto"/>
                <w:sz w:val="24"/>
                <w:szCs w:val="24"/>
                <w:highlight w:val="none"/>
                <w:lang w:val="en-US" w:eastAsia="zh-CN"/>
              </w:rPr>
            </w:pPr>
          </w:p>
          <w:p w14:paraId="7B3BCF84">
            <w:pPr>
              <w:rPr>
                <w:rFonts w:hint="eastAsia" w:ascii="宋体" w:hAnsi="宋体" w:eastAsia="宋体" w:cs="宋体"/>
                <w:color w:val="auto"/>
                <w:sz w:val="24"/>
                <w:szCs w:val="24"/>
                <w:highlight w:val="none"/>
                <w:lang w:val="en-US" w:eastAsia="zh-CN"/>
              </w:rPr>
            </w:pPr>
          </w:p>
          <w:p w14:paraId="5B7E8621">
            <w:pPr>
              <w:pStyle w:val="24"/>
              <w:rPr>
                <w:rFonts w:hint="eastAsia" w:ascii="宋体" w:hAnsi="宋体" w:eastAsia="宋体" w:cs="宋体"/>
                <w:color w:val="auto"/>
                <w:sz w:val="24"/>
                <w:szCs w:val="24"/>
                <w:highlight w:val="none"/>
                <w:lang w:val="en-US" w:eastAsia="zh-CN"/>
              </w:rPr>
            </w:pPr>
          </w:p>
          <w:p w14:paraId="43DB8FB5">
            <w:pPr>
              <w:rPr>
                <w:rFonts w:hint="eastAsia" w:ascii="宋体" w:hAnsi="宋体" w:eastAsia="宋体" w:cs="宋体"/>
                <w:color w:val="auto"/>
                <w:sz w:val="24"/>
                <w:szCs w:val="24"/>
                <w:highlight w:val="none"/>
                <w:lang w:val="en-US" w:eastAsia="zh-CN"/>
              </w:rPr>
            </w:pPr>
          </w:p>
          <w:p w14:paraId="51508C40">
            <w:pPr>
              <w:pStyle w:val="24"/>
              <w:rPr>
                <w:rFonts w:hint="eastAsia" w:ascii="宋体" w:hAnsi="宋体" w:eastAsia="宋体" w:cs="宋体"/>
                <w:color w:val="auto"/>
                <w:sz w:val="24"/>
                <w:szCs w:val="24"/>
                <w:highlight w:val="none"/>
                <w:lang w:val="en-US" w:eastAsia="zh-CN"/>
              </w:rPr>
            </w:pPr>
          </w:p>
          <w:p w14:paraId="160485D5">
            <w:pPr>
              <w:rPr>
                <w:rFonts w:hint="eastAsia" w:ascii="宋体" w:hAnsi="宋体" w:eastAsia="宋体" w:cs="宋体"/>
                <w:color w:val="auto"/>
                <w:sz w:val="24"/>
                <w:szCs w:val="24"/>
                <w:highlight w:val="none"/>
                <w:lang w:val="en-US" w:eastAsia="zh-CN"/>
              </w:rPr>
            </w:pPr>
          </w:p>
          <w:p w14:paraId="39E2CD9C">
            <w:pPr>
              <w:pStyle w:val="24"/>
              <w:rPr>
                <w:rFonts w:hint="eastAsia" w:ascii="宋体" w:hAnsi="宋体" w:eastAsia="宋体" w:cs="宋体"/>
                <w:color w:val="auto"/>
                <w:sz w:val="24"/>
                <w:szCs w:val="24"/>
                <w:highlight w:val="none"/>
                <w:lang w:val="en-US" w:eastAsia="zh-CN"/>
              </w:rPr>
            </w:pPr>
          </w:p>
          <w:p w14:paraId="6C8FCCEC">
            <w:pPr>
              <w:rPr>
                <w:rFonts w:hint="eastAsia" w:ascii="宋体" w:hAnsi="宋体" w:eastAsia="宋体" w:cs="宋体"/>
                <w:color w:val="auto"/>
                <w:sz w:val="24"/>
                <w:szCs w:val="24"/>
                <w:highlight w:val="none"/>
                <w:lang w:val="en-US" w:eastAsia="zh-CN"/>
              </w:rPr>
            </w:pPr>
          </w:p>
          <w:p w14:paraId="5F490E11">
            <w:pPr>
              <w:pStyle w:val="24"/>
              <w:rPr>
                <w:rFonts w:hint="eastAsia" w:ascii="宋体" w:hAnsi="宋体" w:eastAsia="宋体" w:cs="宋体"/>
                <w:color w:val="auto"/>
                <w:sz w:val="24"/>
                <w:szCs w:val="24"/>
                <w:highlight w:val="none"/>
                <w:lang w:val="en-US" w:eastAsia="zh-CN"/>
              </w:rPr>
            </w:pPr>
          </w:p>
          <w:p w14:paraId="5BFE261F">
            <w:pPr>
              <w:rPr>
                <w:rFonts w:hint="eastAsia" w:ascii="宋体" w:hAnsi="宋体" w:eastAsia="宋体" w:cs="宋体"/>
                <w:color w:val="auto"/>
                <w:sz w:val="24"/>
                <w:szCs w:val="24"/>
                <w:highlight w:val="none"/>
                <w:lang w:val="en-US" w:eastAsia="zh-CN"/>
              </w:rPr>
            </w:pPr>
          </w:p>
          <w:p w14:paraId="69036EF2">
            <w:pPr>
              <w:pStyle w:val="24"/>
              <w:rPr>
                <w:rFonts w:hint="eastAsia" w:ascii="宋体" w:hAnsi="宋体" w:eastAsia="宋体" w:cs="宋体"/>
                <w:color w:val="auto"/>
                <w:sz w:val="24"/>
                <w:szCs w:val="24"/>
                <w:highlight w:val="none"/>
                <w:lang w:val="en-US" w:eastAsia="zh-CN"/>
              </w:rPr>
            </w:pPr>
          </w:p>
          <w:p w14:paraId="2F023FAE">
            <w:pPr>
              <w:rPr>
                <w:rFonts w:hint="eastAsia" w:ascii="宋体" w:hAnsi="宋体" w:eastAsia="宋体" w:cs="宋体"/>
                <w:color w:val="auto"/>
                <w:sz w:val="24"/>
                <w:szCs w:val="24"/>
                <w:highlight w:val="none"/>
                <w:lang w:val="en-US" w:eastAsia="zh-CN"/>
              </w:rPr>
            </w:pPr>
          </w:p>
          <w:p w14:paraId="310F2880">
            <w:pPr>
              <w:pStyle w:val="24"/>
              <w:rPr>
                <w:rFonts w:hint="eastAsia" w:ascii="宋体" w:hAnsi="宋体" w:eastAsia="宋体" w:cs="宋体"/>
                <w:color w:val="auto"/>
                <w:sz w:val="24"/>
                <w:szCs w:val="24"/>
                <w:highlight w:val="none"/>
                <w:lang w:val="en-US" w:eastAsia="zh-CN"/>
              </w:rPr>
            </w:pPr>
          </w:p>
          <w:p w14:paraId="3B51309C">
            <w:pPr>
              <w:rPr>
                <w:rFonts w:hint="eastAsia" w:ascii="宋体" w:hAnsi="宋体" w:eastAsia="宋体" w:cs="宋体"/>
                <w:color w:val="auto"/>
                <w:sz w:val="24"/>
                <w:szCs w:val="24"/>
                <w:highlight w:val="none"/>
                <w:lang w:val="en-US" w:eastAsia="zh-CN"/>
              </w:rPr>
            </w:pPr>
          </w:p>
          <w:p w14:paraId="4F43FB79">
            <w:pPr>
              <w:pStyle w:val="24"/>
              <w:rPr>
                <w:rFonts w:hint="eastAsia" w:ascii="宋体" w:hAnsi="宋体" w:eastAsia="宋体" w:cs="宋体"/>
                <w:color w:val="auto"/>
                <w:sz w:val="24"/>
                <w:szCs w:val="24"/>
                <w:highlight w:val="none"/>
                <w:lang w:val="en-US" w:eastAsia="zh-CN"/>
              </w:rPr>
            </w:pPr>
          </w:p>
          <w:p w14:paraId="14C4452B">
            <w:pPr>
              <w:rPr>
                <w:rFonts w:hint="eastAsia" w:ascii="宋体" w:hAnsi="宋体" w:eastAsia="宋体" w:cs="宋体"/>
                <w:color w:val="auto"/>
                <w:sz w:val="24"/>
                <w:szCs w:val="24"/>
                <w:highlight w:val="none"/>
                <w:lang w:val="en-US" w:eastAsia="zh-CN"/>
              </w:rPr>
            </w:pPr>
          </w:p>
          <w:p w14:paraId="495B12B6">
            <w:pPr>
              <w:pStyle w:val="24"/>
              <w:rPr>
                <w:rFonts w:hint="eastAsia" w:ascii="宋体" w:hAnsi="宋体" w:eastAsia="宋体" w:cs="宋体"/>
                <w:color w:val="auto"/>
                <w:sz w:val="24"/>
                <w:szCs w:val="24"/>
                <w:highlight w:val="none"/>
                <w:lang w:val="en-US" w:eastAsia="zh-CN"/>
              </w:rPr>
            </w:pPr>
          </w:p>
          <w:p w14:paraId="09D8510E">
            <w:pPr>
              <w:rPr>
                <w:rFonts w:hint="eastAsia" w:ascii="宋体" w:hAnsi="宋体" w:eastAsia="宋体" w:cs="宋体"/>
                <w:color w:val="auto"/>
                <w:sz w:val="24"/>
                <w:szCs w:val="24"/>
                <w:highlight w:val="none"/>
                <w:lang w:val="en-US" w:eastAsia="zh-CN"/>
              </w:rPr>
            </w:pPr>
          </w:p>
          <w:p w14:paraId="34ABD4E2">
            <w:pPr>
              <w:pStyle w:val="24"/>
              <w:rPr>
                <w:rFonts w:hint="eastAsia" w:ascii="宋体" w:hAnsi="宋体" w:eastAsia="宋体" w:cs="宋体"/>
                <w:color w:val="auto"/>
                <w:sz w:val="24"/>
                <w:szCs w:val="24"/>
                <w:highlight w:val="none"/>
                <w:lang w:val="en-US" w:eastAsia="zh-CN"/>
              </w:rPr>
            </w:pPr>
          </w:p>
          <w:p w14:paraId="6226F5D1">
            <w:pPr>
              <w:rPr>
                <w:rFonts w:hint="eastAsia" w:ascii="宋体" w:hAnsi="宋体" w:eastAsia="宋体" w:cs="宋体"/>
                <w:color w:val="auto"/>
                <w:sz w:val="24"/>
                <w:szCs w:val="24"/>
                <w:highlight w:val="none"/>
                <w:lang w:val="en-US" w:eastAsia="zh-CN"/>
              </w:rPr>
            </w:pPr>
          </w:p>
          <w:p w14:paraId="535878F3">
            <w:pPr>
              <w:pStyle w:val="24"/>
              <w:rPr>
                <w:rFonts w:hint="eastAsia" w:ascii="宋体" w:hAnsi="宋体" w:eastAsia="宋体" w:cs="宋体"/>
                <w:color w:val="auto"/>
                <w:sz w:val="24"/>
                <w:szCs w:val="24"/>
                <w:highlight w:val="none"/>
                <w:lang w:val="en-US" w:eastAsia="zh-CN"/>
              </w:rPr>
            </w:pPr>
          </w:p>
          <w:p w14:paraId="71F33A34">
            <w:pPr>
              <w:rPr>
                <w:rFonts w:hint="eastAsia" w:ascii="宋体" w:hAnsi="宋体" w:eastAsia="宋体" w:cs="宋体"/>
                <w:color w:val="auto"/>
                <w:sz w:val="24"/>
                <w:szCs w:val="24"/>
                <w:highlight w:val="none"/>
                <w:lang w:val="en-US" w:eastAsia="zh-CN"/>
              </w:rPr>
            </w:pPr>
          </w:p>
          <w:p w14:paraId="2FA86232">
            <w:pPr>
              <w:pStyle w:val="24"/>
              <w:rPr>
                <w:rFonts w:hint="eastAsia" w:ascii="宋体" w:hAnsi="宋体" w:eastAsia="宋体" w:cs="宋体"/>
                <w:color w:val="auto"/>
                <w:sz w:val="24"/>
                <w:szCs w:val="24"/>
                <w:highlight w:val="none"/>
                <w:lang w:val="en-US" w:eastAsia="zh-CN"/>
              </w:rPr>
            </w:pPr>
          </w:p>
          <w:p w14:paraId="75A2DE43">
            <w:pPr>
              <w:rPr>
                <w:rFonts w:hint="eastAsia" w:ascii="宋体" w:hAnsi="宋体" w:eastAsia="宋体" w:cs="宋体"/>
                <w:color w:val="auto"/>
                <w:sz w:val="24"/>
                <w:szCs w:val="24"/>
                <w:highlight w:val="none"/>
                <w:lang w:val="en-US" w:eastAsia="zh-CN"/>
              </w:rPr>
            </w:pPr>
          </w:p>
          <w:p w14:paraId="4D068DE8">
            <w:pPr>
              <w:pStyle w:val="24"/>
              <w:rPr>
                <w:rFonts w:hint="eastAsia" w:ascii="宋体" w:hAnsi="宋体" w:eastAsia="宋体" w:cs="宋体"/>
                <w:color w:val="auto"/>
                <w:sz w:val="24"/>
                <w:szCs w:val="24"/>
                <w:highlight w:val="none"/>
                <w:lang w:val="en-US" w:eastAsia="zh-CN"/>
              </w:rPr>
            </w:pPr>
          </w:p>
          <w:p w14:paraId="070C5288">
            <w:pPr>
              <w:rPr>
                <w:rFonts w:hint="eastAsia" w:ascii="宋体" w:hAnsi="宋体" w:eastAsia="宋体" w:cs="宋体"/>
                <w:color w:val="auto"/>
                <w:sz w:val="24"/>
                <w:szCs w:val="24"/>
                <w:highlight w:val="none"/>
                <w:lang w:val="en-US" w:eastAsia="zh-CN"/>
              </w:rPr>
            </w:pPr>
          </w:p>
          <w:p w14:paraId="15E211E3">
            <w:pPr>
              <w:pStyle w:val="24"/>
              <w:rPr>
                <w:color w:val="auto"/>
              </w:rPr>
            </w:pPr>
          </w:p>
        </w:tc>
      </w:tr>
      <w:tr w14:paraId="447EF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5" w:hRule="atLeast"/>
          <w:jc w:val="center"/>
        </w:trPr>
        <w:tc>
          <w:tcPr>
            <w:tcW w:w="1035" w:type="dxa"/>
            <w:vAlign w:val="center"/>
          </w:tcPr>
          <w:p w14:paraId="2494414E">
            <w:pPr>
              <w:pStyle w:val="22"/>
              <w:adjustRightInd w:val="0"/>
              <w:snapToGrid w:val="0"/>
              <w:spacing w:before="0" w:beforeAutospacing="0" w:after="0" w:afterAutospacing="0"/>
              <w:jc w:val="center"/>
              <w:rPr>
                <w:rFonts w:ascii="Times New Roman" w:hAnsi="Times New Roman"/>
                <w:color w:val="auto"/>
                <w:szCs w:val="24"/>
                <w:highlight w:val="none"/>
              </w:rPr>
            </w:pPr>
            <w:r>
              <w:rPr>
                <w:rFonts w:ascii="Times New Roman"/>
                <w:bCs/>
                <w:color w:val="auto"/>
                <w:kern w:val="2"/>
                <w:szCs w:val="24"/>
                <w:highlight w:val="none"/>
              </w:rPr>
              <w:t>与项目有关的原有环境污染问题</w:t>
            </w:r>
          </w:p>
        </w:tc>
        <w:tc>
          <w:tcPr>
            <w:tcW w:w="8302" w:type="dxa"/>
          </w:tcPr>
          <w:p w14:paraId="1ADC2C23">
            <w:pPr>
              <w:keepNext w:val="0"/>
              <w:keepLines w:val="0"/>
              <w:widowControl/>
              <w:suppressLineNumbers w:val="0"/>
              <w:spacing w:line="360" w:lineRule="auto"/>
              <w:jc w:val="left"/>
              <w:rPr>
                <w:rFonts w:hint="default"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1、依托项目概况</w:t>
            </w:r>
          </w:p>
          <w:p w14:paraId="3C7C26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sz w:val="24"/>
                <w:szCs w:val="22"/>
                <w:lang w:val="en-US" w:eastAsia="zh-CN"/>
              </w:rPr>
            </w:pPr>
            <w:r>
              <w:rPr>
                <w:rFonts w:hint="eastAsia" w:cs="Times New Roman"/>
                <w:color w:val="auto"/>
                <w:sz w:val="24"/>
                <w:szCs w:val="22"/>
                <w:lang w:val="en-US" w:eastAsia="zh-CN"/>
              </w:rPr>
              <w:t>玉溪市恒威商贸有限公司原名为玉溪王棋机械制件厂，始建于2007年，当时主要租用王琪村委会预留用地进行切丝刀及泡沫生产，并委托玉溪市环境科学研究所编制了《玉溪市王棋机械制件厂泡沫生产线环境影响报告表》，2007年4月27日取得了玉溪市红塔区环境保护局审批意见。2011年，原场地因租赁合同到期，同时为扩大生产规模，厂区将原有项目泡沫生产线搬迁至玉溪市红塔区北城环城南路中段必邦生物科技有限公司厂内，利用其闲置用地建设厂房进行生产。租用场地占地面积4315㎡，租用期限自2016年3月25日起至2031年3月26日，租赁期限15年。搬迁后将厂更名为玉溪市恒威商贸有限公司。搬迁项目总投资520万元，主要建成年产4万立方米泡沫塑料生产线一条和年产200吨地膜生产线一条（原玉溪王棋机械制件厂厂址内切丝刀生产线不进行搬迁）。</w:t>
            </w:r>
            <w:r>
              <w:rPr>
                <w:rFonts w:hint="eastAsia"/>
                <w:color w:val="auto"/>
                <w:sz w:val="24"/>
              </w:rPr>
              <w:t>20</w:t>
            </w:r>
            <w:r>
              <w:rPr>
                <w:rFonts w:hint="eastAsia"/>
                <w:color w:val="auto"/>
                <w:sz w:val="24"/>
                <w:lang w:val="en-US" w:eastAsia="zh-CN"/>
              </w:rPr>
              <w:t>17</w:t>
            </w:r>
            <w:r>
              <w:rPr>
                <w:rFonts w:hint="eastAsia"/>
                <w:color w:val="auto"/>
                <w:sz w:val="24"/>
              </w:rPr>
              <w:t>年7月</w:t>
            </w:r>
            <w:r>
              <w:rPr>
                <w:rFonts w:hint="eastAsia"/>
                <w:color w:val="auto"/>
                <w:sz w:val="24"/>
                <w:lang w:val="en-US" w:eastAsia="zh-CN"/>
              </w:rPr>
              <w:t>10日，</w:t>
            </w:r>
            <w:r>
              <w:rPr>
                <w:rFonts w:hint="eastAsia" w:cs="Times New Roman"/>
                <w:color w:val="auto"/>
                <w:sz w:val="24"/>
                <w:szCs w:val="22"/>
                <w:lang w:val="en-US" w:eastAsia="zh-CN"/>
              </w:rPr>
              <w:t>玉溪市恒威商贸有限公司</w:t>
            </w:r>
            <w:r>
              <w:rPr>
                <w:rFonts w:hint="eastAsia"/>
                <w:color w:val="auto"/>
                <w:sz w:val="24"/>
              </w:rPr>
              <w:t>取得了</w:t>
            </w:r>
            <w:r>
              <w:rPr>
                <w:rFonts w:hint="eastAsia"/>
                <w:color w:val="auto"/>
                <w:sz w:val="24"/>
                <w:lang w:val="en-US" w:eastAsia="zh-CN"/>
              </w:rPr>
              <w:t>原玉溪市红塔区环境保护局</w:t>
            </w:r>
            <w:r>
              <w:rPr>
                <w:rFonts w:hint="eastAsia"/>
                <w:color w:val="auto"/>
                <w:sz w:val="24"/>
              </w:rPr>
              <w:t>文件“关于</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项目环境影响报告表的批复”</w:t>
            </w:r>
            <w:r>
              <w:rPr>
                <w:rFonts w:hint="eastAsia"/>
                <w:color w:val="auto"/>
                <w:sz w:val="24"/>
                <w:lang w:eastAsia="zh-CN"/>
              </w:rPr>
              <w:t>，</w:t>
            </w:r>
            <w:r>
              <w:rPr>
                <w:rFonts w:hint="eastAsia" w:ascii="宋体" w:hAnsi="宋体" w:eastAsia="宋体" w:cs="宋体"/>
                <w:color w:val="auto"/>
                <w:sz w:val="24"/>
                <w:lang w:val="en-US" w:eastAsia="zh-CN"/>
              </w:rPr>
              <w:t>玉红环审〔2017〕74号，详见附件12</w:t>
            </w:r>
            <w:r>
              <w:rPr>
                <w:rFonts w:hint="eastAsia"/>
                <w:color w:val="auto"/>
                <w:sz w:val="24"/>
              </w:rPr>
              <w:t>。</w:t>
            </w:r>
            <w:r>
              <w:rPr>
                <w:rFonts w:hint="eastAsia" w:ascii="宋体" w:hAnsi="宋体" w:cs="宋体"/>
                <w:color w:val="auto"/>
                <w:sz w:val="24"/>
              </w:rPr>
              <w:t>20</w:t>
            </w:r>
            <w:r>
              <w:rPr>
                <w:rFonts w:hint="eastAsia" w:ascii="宋体" w:hAnsi="宋体" w:cs="宋体"/>
                <w:color w:val="auto"/>
                <w:sz w:val="24"/>
                <w:lang w:val="en-US" w:eastAsia="zh-CN"/>
              </w:rPr>
              <w:t>19</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20日</w:t>
            </w:r>
            <w:r>
              <w:rPr>
                <w:rFonts w:hint="eastAsia"/>
                <w:color w:val="auto"/>
                <w:sz w:val="24"/>
              </w:rPr>
              <w:t>，</w:t>
            </w:r>
            <w:r>
              <w:rPr>
                <w:rFonts w:hint="eastAsia" w:cs="Times New Roman"/>
                <w:color w:val="auto"/>
                <w:sz w:val="24"/>
                <w:szCs w:val="22"/>
                <w:lang w:val="en-US" w:eastAsia="zh-CN"/>
              </w:rPr>
              <w:t>玉溪市恒威商贸有限公司</w:t>
            </w:r>
            <w:r>
              <w:rPr>
                <w:rFonts w:hint="eastAsia"/>
                <w:color w:val="auto"/>
                <w:sz w:val="24"/>
              </w:rPr>
              <w:t>取得了</w:t>
            </w:r>
            <w:r>
              <w:rPr>
                <w:rFonts w:hint="eastAsia"/>
                <w:color w:val="auto"/>
                <w:sz w:val="24"/>
                <w:lang w:val="en-US" w:eastAsia="zh-CN"/>
              </w:rPr>
              <w:t>玉溪市生态环境局红塔分局文件</w:t>
            </w:r>
            <w:r>
              <w:rPr>
                <w:rFonts w:hint="eastAsia"/>
                <w:color w:val="auto"/>
                <w:sz w:val="24"/>
              </w:rPr>
              <w:t>关于</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w:t>
            </w:r>
            <w:r>
              <w:rPr>
                <w:rFonts w:hint="eastAsia"/>
                <w:color w:val="auto"/>
                <w:sz w:val="24"/>
                <w:lang w:val="en-US" w:eastAsia="zh-CN"/>
              </w:rPr>
              <w:t>固体废物污染防治设施的验收意见”</w:t>
            </w:r>
            <w:r>
              <w:rPr>
                <w:rFonts w:hint="eastAsia"/>
                <w:color w:val="auto"/>
                <w:sz w:val="24"/>
                <w:lang w:eastAsia="zh-CN"/>
              </w:rPr>
              <w:t>，</w:t>
            </w:r>
            <w:r>
              <w:rPr>
                <w:rFonts w:hint="eastAsia"/>
                <w:color w:val="auto"/>
                <w:sz w:val="24"/>
                <w:lang w:val="en-US" w:eastAsia="zh-CN"/>
              </w:rPr>
              <w:t>详见附件13</w:t>
            </w:r>
            <w:r>
              <w:rPr>
                <w:rFonts w:hint="eastAsia"/>
                <w:color w:val="auto"/>
                <w:sz w:val="24"/>
              </w:rPr>
              <w:t>。</w:t>
            </w:r>
            <w:r>
              <w:rPr>
                <w:rFonts w:hint="eastAsia" w:cs="Times New Roman"/>
                <w:color w:val="auto"/>
                <w:sz w:val="24"/>
                <w:szCs w:val="22"/>
                <w:lang w:val="en-US" w:eastAsia="zh-CN"/>
              </w:rPr>
              <w:t>2021年5月27日玉溪市恒威商贸有限公司经工商备案更名为玉溪钧澄经贸有限公司。</w:t>
            </w:r>
          </w:p>
          <w:p w14:paraId="763CA84B">
            <w:pPr>
              <w:pStyle w:val="33"/>
              <w:keepNext w:val="0"/>
              <w:keepLines w:val="0"/>
              <w:pageBreakBefore w:val="0"/>
              <w:widowControl w:val="0"/>
              <w:numPr>
                <w:ilvl w:val="0"/>
                <w:numId w:val="0"/>
              </w:numPr>
              <w:kinsoku/>
              <w:wordWrap/>
              <w:overflowPunct/>
              <w:topLinePunct w:val="0"/>
              <w:autoSpaceDE w:val="0"/>
              <w:autoSpaceDN w:val="0"/>
              <w:bidi w:val="0"/>
              <w:adjustRightInd w:val="0"/>
              <w:snapToGrid/>
              <w:spacing w:before="157" w:beforeLines="50" w:line="360" w:lineRule="auto"/>
              <w:textAlignment w:val="auto"/>
              <w:rPr>
                <w:rFonts w:hint="eastAsia"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2、依托项目产品方案</w:t>
            </w:r>
          </w:p>
          <w:p w14:paraId="786F5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依托项目生产规模为年产3.3万立方米泡沫塑料、170吨地膜及75万个塑料袋。依托项目产品方案见表2-6。</w:t>
            </w:r>
          </w:p>
          <w:p w14:paraId="32D101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center"/>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表</w:t>
            </w:r>
            <w:r>
              <w:rPr>
                <w:rFonts w:hint="default" w:ascii="Times New Roman" w:hAnsi="Times New Roman" w:eastAsia="宋体" w:cs="Times New Roman"/>
                <w:b/>
                <w:color w:val="auto"/>
                <w:sz w:val="24"/>
                <w:szCs w:val="24"/>
                <w:lang w:val="en-US" w:eastAsia="zh-CN"/>
              </w:rPr>
              <w:t>2</w:t>
            </w:r>
            <w:r>
              <w:rPr>
                <w:rFonts w:hint="eastAsia" w:ascii="宋体" w:hAnsi="宋体" w:eastAsia="宋体" w:cs="宋体"/>
                <w:b/>
                <w:color w:val="auto"/>
                <w:sz w:val="24"/>
                <w:szCs w:val="24"/>
                <w:lang w:val="en-US" w:eastAsia="zh-CN"/>
              </w:rPr>
              <w:t>-</w:t>
            </w:r>
            <w:r>
              <w:rPr>
                <w:rFonts w:hint="eastAsia" w:ascii="Times New Roman" w:hAnsi="Times New Roman" w:eastAsia="宋体" w:cs="Times New Roman"/>
                <w:b/>
                <w:color w:val="auto"/>
                <w:sz w:val="24"/>
                <w:szCs w:val="24"/>
                <w:lang w:val="en-US" w:eastAsia="zh-CN"/>
              </w:rPr>
              <w:t>6</w:t>
            </w:r>
            <w:r>
              <w:rPr>
                <w:rFonts w:hint="eastAsia" w:ascii="宋体" w:hAnsi="宋体" w:eastAsia="宋体" w:cs="宋体"/>
                <w:b/>
                <w:color w:val="auto"/>
                <w:sz w:val="24"/>
                <w:szCs w:val="24"/>
                <w:lang w:val="en-US" w:eastAsia="zh-CN"/>
              </w:rPr>
              <w:t xml:space="preserve">  依托项目产品方案及规模一览表</w:t>
            </w:r>
          </w:p>
          <w:p w14:paraId="7B4AAB36">
            <w:pPr>
              <w:rPr>
                <w:rFonts w:hint="default"/>
                <w:color w:val="auto"/>
                <w:lang w:val="en-US" w:eastAsia="zh-CN"/>
              </w:rPr>
            </w:pPr>
          </w:p>
          <w:tbl>
            <w:tblPr>
              <w:tblStyle w:val="27"/>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711"/>
              <w:gridCol w:w="2922"/>
              <w:gridCol w:w="1904"/>
            </w:tblGrid>
            <w:tr w14:paraId="1EAB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34" w:type="pct"/>
                  <w:noWrap w:val="0"/>
                  <w:vAlign w:val="center"/>
                </w:tcPr>
                <w:p w14:paraId="3DFD022A">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序号</w:t>
                  </w:r>
                </w:p>
              </w:tc>
              <w:tc>
                <w:tcPr>
                  <w:tcW w:w="1064" w:type="pct"/>
                  <w:noWrap w:val="0"/>
                  <w:vAlign w:val="center"/>
                </w:tcPr>
                <w:p w14:paraId="72887983">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产品名称</w:t>
                  </w:r>
                </w:p>
              </w:tc>
              <w:tc>
                <w:tcPr>
                  <w:tcW w:w="1817" w:type="pct"/>
                  <w:noWrap w:val="0"/>
                  <w:vAlign w:val="center"/>
                </w:tcPr>
                <w:p w14:paraId="78E78981">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类别</w:t>
                  </w:r>
                </w:p>
              </w:tc>
              <w:tc>
                <w:tcPr>
                  <w:tcW w:w="1183" w:type="pct"/>
                  <w:noWrap w:val="0"/>
                  <w:vAlign w:val="center"/>
                </w:tcPr>
                <w:p w14:paraId="46968A77">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产量</w:t>
                  </w:r>
                </w:p>
              </w:tc>
            </w:tr>
            <w:tr w14:paraId="594B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34" w:type="pct"/>
                  <w:noWrap w:val="0"/>
                  <w:vAlign w:val="center"/>
                </w:tcPr>
                <w:p w14:paraId="2561ED71">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1064" w:type="pct"/>
                  <w:vMerge w:val="restart"/>
                  <w:noWrap w:val="0"/>
                  <w:vAlign w:val="center"/>
                </w:tcPr>
                <w:p w14:paraId="7C3162F1">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膜</w:t>
                  </w:r>
                </w:p>
              </w:tc>
              <w:tc>
                <w:tcPr>
                  <w:tcW w:w="1817" w:type="pct"/>
                  <w:noWrap w:val="0"/>
                  <w:vAlign w:val="center"/>
                </w:tcPr>
                <w:p w14:paraId="2A88872B">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地膜</w:t>
                  </w:r>
                </w:p>
              </w:tc>
              <w:tc>
                <w:tcPr>
                  <w:tcW w:w="1183" w:type="pct"/>
                  <w:noWrap w:val="0"/>
                  <w:vAlign w:val="center"/>
                </w:tcPr>
                <w:p w14:paraId="0D358B67">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170t/a</w:t>
                  </w:r>
                </w:p>
              </w:tc>
            </w:tr>
            <w:tr w14:paraId="0BE6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34" w:type="pct"/>
                  <w:noWrap w:val="0"/>
                  <w:vAlign w:val="center"/>
                </w:tcPr>
                <w:p w14:paraId="520F4ED4">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w:t>
                  </w:r>
                </w:p>
              </w:tc>
              <w:tc>
                <w:tcPr>
                  <w:tcW w:w="1064" w:type="pct"/>
                  <w:vMerge w:val="continue"/>
                  <w:noWrap w:val="0"/>
                  <w:vAlign w:val="center"/>
                </w:tcPr>
                <w:p w14:paraId="5750AA80">
                  <w:pPr>
                    <w:pStyle w:val="11"/>
                    <w:spacing w:line="240" w:lineRule="auto"/>
                    <w:jc w:val="center"/>
                    <w:rPr>
                      <w:rFonts w:hint="eastAsia" w:ascii="Times New Roman" w:hAnsi="Times New Roman" w:eastAsia="宋体" w:cs="Times New Roman"/>
                      <w:b w:val="0"/>
                      <w:bCs w:val="0"/>
                      <w:color w:val="auto"/>
                      <w:sz w:val="21"/>
                      <w:szCs w:val="21"/>
                      <w:vertAlign w:val="baseline"/>
                      <w:lang w:val="en-US" w:eastAsia="zh-CN"/>
                    </w:rPr>
                  </w:pPr>
                </w:p>
              </w:tc>
              <w:tc>
                <w:tcPr>
                  <w:tcW w:w="1817" w:type="pct"/>
                  <w:noWrap w:val="0"/>
                  <w:vAlign w:val="center"/>
                </w:tcPr>
                <w:p w14:paraId="093964DA">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厚度＞0.015mm塑料袋</w:t>
                  </w:r>
                </w:p>
              </w:tc>
              <w:tc>
                <w:tcPr>
                  <w:tcW w:w="1183" w:type="pct"/>
                  <w:noWrap w:val="0"/>
                  <w:vAlign w:val="center"/>
                </w:tcPr>
                <w:p w14:paraId="6C735C8B">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75万个/a</w:t>
                  </w:r>
                </w:p>
              </w:tc>
            </w:tr>
            <w:tr w14:paraId="3D94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34" w:type="pct"/>
                  <w:noWrap w:val="0"/>
                  <w:vAlign w:val="center"/>
                </w:tcPr>
                <w:p w14:paraId="1C76E8F7">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1064" w:type="pct"/>
                  <w:vMerge w:val="restart"/>
                  <w:noWrap w:val="0"/>
                  <w:vAlign w:val="center"/>
                </w:tcPr>
                <w:p w14:paraId="7BF96692">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泡沫塑料</w:t>
                  </w:r>
                </w:p>
              </w:tc>
              <w:tc>
                <w:tcPr>
                  <w:tcW w:w="1817" w:type="pct"/>
                  <w:noWrap w:val="0"/>
                  <w:vAlign w:val="center"/>
                </w:tcPr>
                <w:p w14:paraId="623C60AA">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6300mm*1000mm*630大板</w:t>
                  </w:r>
                </w:p>
              </w:tc>
              <w:tc>
                <w:tcPr>
                  <w:tcW w:w="1183" w:type="pct"/>
                  <w:noWrap w:val="0"/>
                  <w:vAlign w:val="center"/>
                </w:tcPr>
                <w:p w14:paraId="36C12DD7">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1.7万m³/a</w:t>
                  </w:r>
                </w:p>
              </w:tc>
            </w:tr>
            <w:tr w14:paraId="3290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34" w:type="pct"/>
                  <w:noWrap w:val="0"/>
                  <w:vAlign w:val="center"/>
                </w:tcPr>
                <w:p w14:paraId="3E77A0CB">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w:t>
                  </w:r>
                </w:p>
              </w:tc>
              <w:tc>
                <w:tcPr>
                  <w:tcW w:w="1064" w:type="pct"/>
                  <w:vMerge w:val="continue"/>
                  <w:noWrap w:val="0"/>
                  <w:vAlign w:val="center"/>
                </w:tcPr>
                <w:p w14:paraId="0B77CC35">
                  <w:pPr>
                    <w:pStyle w:val="11"/>
                    <w:spacing w:line="240" w:lineRule="auto"/>
                    <w:jc w:val="center"/>
                    <w:rPr>
                      <w:rFonts w:hint="eastAsia" w:ascii="Times New Roman" w:hAnsi="Times New Roman" w:eastAsia="宋体" w:cs="Times New Roman"/>
                      <w:b w:val="0"/>
                      <w:bCs w:val="0"/>
                      <w:color w:val="auto"/>
                      <w:sz w:val="21"/>
                      <w:szCs w:val="21"/>
                      <w:vertAlign w:val="baseline"/>
                      <w:lang w:val="en-US" w:eastAsia="zh-CN"/>
                    </w:rPr>
                  </w:pPr>
                </w:p>
              </w:tc>
              <w:tc>
                <w:tcPr>
                  <w:tcW w:w="1817" w:type="pct"/>
                  <w:noWrap w:val="0"/>
                  <w:vAlign w:val="center"/>
                </w:tcPr>
                <w:p w14:paraId="471D4EC2">
                  <w:pPr>
                    <w:pStyle w:val="11"/>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其它规格泡沫箱（按客户要求）</w:t>
                  </w:r>
                </w:p>
              </w:tc>
              <w:tc>
                <w:tcPr>
                  <w:tcW w:w="1183" w:type="pct"/>
                  <w:shd w:val="clear" w:color="auto" w:fill="auto"/>
                  <w:noWrap w:val="0"/>
                  <w:vAlign w:val="center"/>
                </w:tcPr>
                <w:p w14:paraId="48DB25F6">
                  <w:pPr>
                    <w:pStyle w:val="11"/>
                    <w:spacing w:line="240" w:lineRule="auto"/>
                    <w:jc w:val="center"/>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1.6万m³/a</w:t>
                  </w:r>
                </w:p>
              </w:tc>
            </w:tr>
          </w:tbl>
          <w:p w14:paraId="20011EC5">
            <w:pPr>
              <w:pStyle w:val="33"/>
              <w:numPr>
                <w:ilvl w:val="0"/>
                <w:numId w:val="0"/>
              </w:numPr>
              <w:spacing w:line="360" w:lineRule="auto"/>
              <w:ind w:leftChars="0" w:firstLine="482" w:firstLineChars="200"/>
              <w:rPr>
                <w:rFonts w:hint="eastAsia" w:ascii="Times New Roman" w:eastAsia="宋体" w:cs="Times New Roman"/>
                <w:b/>
                <w:bCs/>
                <w:color w:val="auto"/>
                <w:kern w:val="2"/>
                <w:sz w:val="24"/>
                <w:szCs w:val="24"/>
                <w:lang w:val="en-US" w:eastAsia="zh-CN" w:bidi="ar-SA"/>
              </w:rPr>
            </w:pPr>
          </w:p>
          <w:p w14:paraId="48BDF09B">
            <w:pPr>
              <w:pStyle w:val="33"/>
              <w:numPr>
                <w:ilvl w:val="0"/>
                <w:numId w:val="0"/>
              </w:numPr>
              <w:spacing w:line="360" w:lineRule="auto"/>
              <w:rPr>
                <w:rFonts w:hint="eastAsia"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3、</w:t>
            </w:r>
            <w:r>
              <w:rPr>
                <w:rFonts w:hint="eastAsia" w:cs="Times New Roman"/>
                <w:b/>
                <w:bCs/>
                <w:color w:val="auto"/>
                <w:kern w:val="2"/>
                <w:sz w:val="24"/>
                <w:szCs w:val="24"/>
                <w:lang w:val="en-US" w:eastAsia="zh-CN" w:bidi="ar-SA"/>
              </w:rPr>
              <w:t>依托</w:t>
            </w:r>
            <w:r>
              <w:rPr>
                <w:rFonts w:hint="eastAsia" w:ascii="Times New Roman" w:eastAsia="宋体" w:cs="Times New Roman"/>
                <w:b/>
                <w:bCs/>
                <w:color w:val="auto"/>
                <w:kern w:val="2"/>
                <w:sz w:val="24"/>
                <w:szCs w:val="24"/>
                <w:lang w:val="en-US" w:eastAsia="zh-CN" w:bidi="ar-SA"/>
              </w:rPr>
              <w:t>项目</w:t>
            </w:r>
            <w:r>
              <w:rPr>
                <w:rFonts w:hint="eastAsia" w:ascii="Times New Roman" w:hAnsi="Times New Roman" w:eastAsia="宋体" w:cs="Times New Roman"/>
                <w:b/>
                <w:bCs/>
                <w:color w:val="auto"/>
                <w:sz w:val="24"/>
                <w:lang w:eastAsia="zh-CN"/>
              </w:rPr>
              <w:t>原辅料消耗情况</w:t>
            </w:r>
          </w:p>
          <w:p w14:paraId="50BA82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center"/>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表</w:t>
            </w:r>
            <w:r>
              <w:rPr>
                <w:rFonts w:hint="default" w:ascii="Times New Roman" w:hAnsi="Times New Roman" w:eastAsia="宋体" w:cs="Times New Roman"/>
                <w:b/>
                <w:color w:val="auto"/>
                <w:sz w:val="24"/>
                <w:szCs w:val="24"/>
                <w:lang w:val="en-US" w:eastAsia="zh-CN"/>
              </w:rPr>
              <w:t>2</w:t>
            </w:r>
            <w:r>
              <w:rPr>
                <w:rFonts w:hint="eastAsia" w:ascii="宋体" w:hAnsi="宋体" w:eastAsia="宋体" w:cs="宋体"/>
                <w:b/>
                <w:color w:val="auto"/>
                <w:sz w:val="24"/>
                <w:szCs w:val="24"/>
                <w:lang w:val="en-US" w:eastAsia="zh-CN"/>
              </w:rPr>
              <w:t>-</w:t>
            </w:r>
            <w:r>
              <w:rPr>
                <w:rFonts w:hint="eastAsia" w:ascii="Times New Roman" w:hAnsi="Times New Roman" w:eastAsia="宋体" w:cs="Times New Roman"/>
                <w:b/>
                <w:color w:val="auto"/>
                <w:sz w:val="24"/>
                <w:szCs w:val="24"/>
                <w:lang w:val="en-US" w:eastAsia="zh-CN"/>
              </w:rPr>
              <w:t>9</w:t>
            </w:r>
            <w:r>
              <w:rPr>
                <w:rFonts w:hint="eastAsia" w:ascii="宋体" w:hAnsi="宋体" w:eastAsia="宋体" w:cs="宋体"/>
                <w:b/>
                <w:color w:val="auto"/>
                <w:sz w:val="24"/>
                <w:szCs w:val="24"/>
                <w:lang w:val="en-US" w:eastAsia="zh-CN"/>
              </w:rPr>
              <w:t xml:space="preserve">  依托项目原辅料及能耗消耗情况一览表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1975"/>
              <w:gridCol w:w="1975"/>
              <w:gridCol w:w="1975"/>
            </w:tblGrid>
            <w:tr w14:paraId="2486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22974F65">
                  <w:pPr>
                    <w:spacing w:line="240" w:lineRule="auto"/>
                    <w:jc w:val="center"/>
                    <w:rPr>
                      <w:rFonts w:hint="default"/>
                      <w:color w:val="auto"/>
                      <w:vertAlign w:val="baseline"/>
                      <w:lang w:val="en-US" w:eastAsia="zh-CN"/>
                    </w:rPr>
                  </w:pPr>
                  <w:r>
                    <w:rPr>
                      <w:rFonts w:hint="eastAsia"/>
                      <w:color w:val="auto"/>
                      <w:vertAlign w:val="baseline"/>
                      <w:lang w:val="en-US" w:eastAsia="zh-CN"/>
                    </w:rPr>
                    <w:t>序号</w:t>
                  </w:r>
                </w:p>
              </w:tc>
              <w:tc>
                <w:tcPr>
                  <w:tcW w:w="1975" w:type="dxa"/>
                  <w:noWrap w:val="0"/>
                  <w:vAlign w:val="center"/>
                </w:tcPr>
                <w:p w14:paraId="02CB1F89">
                  <w:pPr>
                    <w:spacing w:line="240" w:lineRule="auto"/>
                    <w:jc w:val="center"/>
                    <w:rPr>
                      <w:rFonts w:hint="default"/>
                      <w:color w:val="auto"/>
                      <w:vertAlign w:val="baseline"/>
                      <w:lang w:val="en-US" w:eastAsia="zh-CN"/>
                    </w:rPr>
                  </w:pPr>
                  <w:r>
                    <w:rPr>
                      <w:rFonts w:hint="eastAsia"/>
                      <w:color w:val="auto"/>
                      <w:vertAlign w:val="baseline"/>
                      <w:lang w:val="en-US" w:eastAsia="zh-CN"/>
                    </w:rPr>
                    <w:t>数量</w:t>
                  </w:r>
                </w:p>
              </w:tc>
              <w:tc>
                <w:tcPr>
                  <w:tcW w:w="1975" w:type="dxa"/>
                  <w:noWrap w:val="0"/>
                  <w:vAlign w:val="center"/>
                </w:tcPr>
                <w:p w14:paraId="17C65B8A">
                  <w:pPr>
                    <w:spacing w:line="240" w:lineRule="auto"/>
                    <w:jc w:val="center"/>
                    <w:rPr>
                      <w:rFonts w:hint="default"/>
                      <w:color w:val="auto"/>
                      <w:vertAlign w:val="baseline"/>
                      <w:lang w:val="en-US" w:eastAsia="zh-CN"/>
                    </w:rPr>
                  </w:pPr>
                  <w:r>
                    <w:rPr>
                      <w:rFonts w:hint="eastAsia"/>
                      <w:color w:val="auto"/>
                      <w:vertAlign w:val="baseline"/>
                      <w:lang w:val="en-US" w:eastAsia="zh-CN"/>
                    </w:rPr>
                    <w:t>单位</w:t>
                  </w:r>
                </w:p>
              </w:tc>
              <w:tc>
                <w:tcPr>
                  <w:tcW w:w="1975" w:type="dxa"/>
                  <w:noWrap w:val="0"/>
                  <w:vAlign w:val="center"/>
                </w:tcPr>
                <w:p w14:paraId="4AC8EE32">
                  <w:pPr>
                    <w:spacing w:line="240" w:lineRule="auto"/>
                    <w:jc w:val="center"/>
                    <w:rPr>
                      <w:rFonts w:hint="default"/>
                      <w:color w:val="auto"/>
                      <w:vertAlign w:val="baseline"/>
                      <w:lang w:val="en-US" w:eastAsia="zh-CN"/>
                    </w:rPr>
                  </w:pPr>
                  <w:r>
                    <w:rPr>
                      <w:rFonts w:hint="eastAsia"/>
                      <w:color w:val="auto"/>
                      <w:vertAlign w:val="baseline"/>
                      <w:lang w:val="en-US" w:eastAsia="zh-CN"/>
                    </w:rPr>
                    <w:t>来源</w:t>
                  </w:r>
                </w:p>
              </w:tc>
            </w:tr>
            <w:tr w14:paraId="7C21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17731A23">
                  <w:pPr>
                    <w:spacing w:line="240" w:lineRule="auto"/>
                    <w:jc w:val="center"/>
                    <w:rPr>
                      <w:rFonts w:hint="default"/>
                      <w:color w:val="auto"/>
                      <w:vertAlign w:val="baseline"/>
                      <w:lang w:val="en-US" w:eastAsia="zh-CN"/>
                    </w:rPr>
                  </w:pPr>
                  <w:r>
                    <w:rPr>
                      <w:rFonts w:hint="eastAsia"/>
                      <w:color w:val="auto"/>
                      <w:vertAlign w:val="baseline"/>
                      <w:lang w:val="en-US" w:eastAsia="zh-CN"/>
                    </w:rPr>
                    <w:t>1</w:t>
                  </w:r>
                </w:p>
              </w:tc>
              <w:tc>
                <w:tcPr>
                  <w:tcW w:w="1975" w:type="dxa"/>
                  <w:noWrap w:val="0"/>
                  <w:vAlign w:val="center"/>
                </w:tcPr>
                <w:p w14:paraId="49CD2F20">
                  <w:pPr>
                    <w:spacing w:line="240" w:lineRule="auto"/>
                    <w:jc w:val="center"/>
                    <w:rPr>
                      <w:rFonts w:hint="default"/>
                      <w:color w:val="auto"/>
                      <w:vertAlign w:val="baseline"/>
                      <w:lang w:val="en-US" w:eastAsia="zh-CN"/>
                    </w:rPr>
                  </w:pPr>
                  <w:r>
                    <w:rPr>
                      <w:rFonts w:hint="eastAsia"/>
                      <w:color w:val="auto"/>
                      <w:vertAlign w:val="baseline"/>
                      <w:lang w:val="en-US" w:eastAsia="zh-CN"/>
                    </w:rPr>
                    <w:t>可发性聚苯乙烯树脂</w:t>
                  </w:r>
                </w:p>
              </w:tc>
              <w:tc>
                <w:tcPr>
                  <w:tcW w:w="1975" w:type="dxa"/>
                  <w:noWrap w:val="0"/>
                  <w:vAlign w:val="center"/>
                </w:tcPr>
                <w:p w14:paraId="1B5088D1">
                  <w:pPr>
                    <w:spacing w:line="240" w:lineRule="auto"/>
                    <w:jc w:val="center"/>
                    <w:rPr>
                      <w:rFonts w:hint="default"/>
                      <w:color w:val="auto"/>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t/a</w:t>
                  </w:r>
                </w:p>
              </w:tc>
              <w:tc>
                <w:tcPr>
                  <w:tcW w:w="1975" w:type="dxa"/>
                  <w:noWrap w:val="0"/>
                  <w:vAlign w:val="center"/>
                </w:tcPr>
                <w:p w14:paraId="54136647">
                  <w:pPr>
                    <w:spacing w:line="240" w:lineRule="auto"/>
                    <w:jc w:val="center"/>
                    <w:rPr>
                      <w:rFonts w:hint="default"/>
                      <w:color w:val="auto"/>
                      <w:vertAlign w:val="baseline"/>
                      <w:lang w:val="en-US" w:eastAsia="zh-CN"/>
                    </w:rPr>
                  </w:pPr>
                  <w:r>
                    <w:rPr>
                      <w:rFonts w:hint="eastAsia"/>
                      <w:color w:val="auto"/>
                      <w:vertAlign w:val="baseline"/>
                      <w:lang w:val="en-US" w:eastAsia="zh-CN"/>
                    </w:rPr>
                    <w:t>270</w:t>
                  </w:r>
                </w:p>
              </w:tc>
            </w:tr>
            <w:tr w14:paraId="3671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7EB9E001">
                  <w:pPr>
                    <w:spacing w:line="240" w:lineRule="auto"/>
                    <w:jc w:val="center"/>
                    <w:rPr>
                      <w:rFonts w:hint="default"/>
                      <w:color w:val="auto"/>
                      <w:vertAlign w:val="baseline"/>
                      <w:lang w:val="en-US" w:eastAsia="zh-CN"/>
                    </w:rPr>
                  </w:pPr>
                  <w:r>
                    <w:rPr>
                      <w:rFonts w:hint="eastAsia"/>
                      <w:color w:val="auto"/>
                      <w:vertAlign w:val="baseline"/>
                      <w:lang w:val="en-US" w:eastAsia="zh-CN"/>
                    </w:rPr>
                    <w:t>2</w:t>
                  </w:r>
                </w:p>
              </w:tc>
              <w:tc>
                <w:tcPr>
                  <w:tcW w:w="1975" w:type="dxa"/>
                  <w:noWrap w:val="0"/>
                  <w:vAlign w:val="center"/>
                </w:tcPr>
                <w:p w14:paraId="3AB32FCA">
                  <w:pPr>
                    <w:spacing w:line="240" w:lineRule="auto"/>
                    <w:jc w:val="center"/>
                    <w:rPr>
                      <w:rFonts w:hint="default"/>
                      <w:color w:val="auto"/>
                      <w:vertAlign w:val="baseline"/>
                      <w:lang w:val="en-US" w:eastAsia="zh-CN"/>
                    </w:rPr>
                  </w:pPr>
                  <w:r>
                    <w:rPr>
                      <w:rFonts w:hint="eastAsia"/>
                      <w:color w:val="auto"/>
                      <w:vertAlign w:val="baseline"/>
                      <w:lang w:val="en-US" w:eastAsia="zh-CN"/>
                    </w:rPr>
                    <w:t>聚乙烯树脂</w:t>
                  </w:r>
                </w:p>
              </w:tc>
              <w:tc>
                <w:tcPr>
                  <w:tcW w:w="1975" w:type="dxa"/>
                  <w:noWrap w:val="0"/>
                  <w:vAlign w:val="center"/>
                </w:tcPr>
                <w:p w14:paraId="7AADFF24">
                  <w:pPr>
                    <w:spacing w:line="240" w:lineRule="auto"/>
                    <w:jc w:val="center"/>
                    <w:rPr>
                      <w:rFonts w:hint="default"/>
                      <w:color w:val="auto"/>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t/a</w:t>
                  </w:r>
                </w:p>
              </w:tc>
              <w:tc>
                <w:tcPr>
                  <w:tcW w:w="1975" w:type="dxa"/>
                  <w:noWrap w:val="0"/>
                  <w:vAlign w:val="center"/>
                </w:tcPr>
                <w:p w14:paraId="4CF8B17B">
                  <w:pPr>
                    <w:spacing w:line="240" w:lineRule="auto"/>
                    <w:jc w:val="center"/>
                    <w:rPr>
                      <w:rFonts w:hint="default"/>
                      <w:color w:val="auto"/>
                      <w:vertAlign w:val="baseline"/>
                      <w:lang w:val="en-US" w:eastAsia="zh-CN"/>
                    </w:rPr>
                  </w:pPr>
                  <w:r>
                    <w:rPr>
                      <w:rFonts w:hint="eastAsia"/>
                      <w:color w:val="auto"/>
                      <w:vertAlign w:val="baseline"/>
                      <w:lang w:val="en-US" w:eastAsia="zh-CN"/>
                    </w:rPr>
                    <w:t>167</w:t>
                  </w:r>
                </w:p>
              </w:tc>
            </w:tr>
            <w:tr w14:paraId="7446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620055FE">
                  <w:pPr>
                    <w:spacing w:line="240" w:lineRule="auto"/>
                    <w:jc w:val="center"/>
                    <w:rPr>
                      <w:rFonts w:hint="default"/>
                      <w:color w:val="auto"/>
                      <w:vertAlign w:val="baseline"/>
                      <w:lang w:val="en-US" w:eastAsia="zh-CN"/>
                    </w:rPr>
                  </w:pPr>
                  <w:r>
                    <w:rPr>
                      <w:rFonts w:hint="eastAsia"/>
                      <w:color w:val="auto"/>
                      <w:vertAlign w:val="baseline"/>
                      <w:lang w:val="en-US" w:eastAsia="zh-CN"/>
                    </w:rPr>
                    <w:t>3</w:t>
                  </w:r>
                </w:p>
              </w:tc>
              <w:tc>
                <w:tcPr>
                  <w:tcW w:w="1975" w:type="dxa"/>
                  <w:noWrap w:val="0"/>
                  <w:vAlign w:val="center"/>
                </w:tcPr>
                <w:p w14:paraId="2A444725">
                  <w:pPr>
                    <w:spacing w:line="240" w:lineRule="auto"/>
                    <w:jc w:val="center"/>
                    <w:rPr>
                      <w:rFonts w:hint="default"/>
                      <w:color w:val="auto"/>
                      <w:vertAlign w:val="baseline"/>
                      <w:lang w:val="en-US" w:eastAsia="zh-CN"/>
                    </w:rPr>
                  </w:pPr>
                  <w:r>
                    <w:rPr>
                      <w:rFonts w:hint="eastAsia"/>
                      <w:color w:val="auto"/>
                      <w:vertAlign w:val="baseline"/>
                      <w:lang w:val="en-US" w:eastAsia="zh-CN"/>
                    </w:rPr>
                    <w:t>生物质燃料</w:t>
                  </w:r>
                </w:p>
              </w:tc>
              <w:tc>
                <w:tcPr>
                  <w:tcW w:w="1975" w:type="dxa"/>
                  <w:noWrap w:val="0"/>
                  <w:vAlign w:val="center"/>
                </w:tcPr>
                <w:p w14:paraId="6BCD35C4">
                  <w:pPr>
                    <w:spacing w:line="240" w:lineRule="auto"/>
                    <w:jc w:val="center"/>
                    <w:rPr>
                      <w:rFonts w:hint="default"/>
                      <w:color w:val="auto"/>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t/a</w:t>
                  </w:r>
                </w:p>
              </w:tc>
              <w:tc>
                <w:tcPr>
                  <w:tcW w:w="1975" w:type="dxa"/>
                  <w:noWrap w:val="0"/>
                  <w:vAlign w:val="center"/>
                </w:tcPr>
                <w:p w14:paraId="46A3C64A">
                  <w:pPr>
                    <w:spacing w:line="240" w:lineRule="auto"/>
                    <w:jc w:val="center"/>
                    <w:rPr>
                      <w:rFonts w:hint="default"/>
                      <w:color w:val="auto"/>
                      <w:vertAlign w:val="baseline"/>
                      <w:lang w:val="en-US" w:eastAsia="zh-CN"/>
                    </w:rPr>
                  </w:pPr>
                  <w:r>
                    <w:rPr>
                      <w:rFonts w:hint="eastAsia"/>
                      <w:color w:val="auto"/>
                      <w:vertAlign w:val="baseline"/>
                      <w:lang w:val="en-US" w:eastAsia="zh-CN"/>
                    </w:rPr>
                    <w:t>556</w:t>
                  </w:r>
                </w:p>
              </w:tc>
            </w:tr>
            <w:tr w14:paraId="2D8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4" w:type="dxa"/>
                  <w:noWrap w:val="0"/>
                  <w:vAlign w:val="center"/>
                </w:tcPr>
                <w:p w14:paraId="199E5D82">
                  <w:pPr>
                    <w:spacing w:line="240" w:lineRule="auto"/>
                    <w:jc w:val="center"/>
                    <w:rPr>
                      <w:rFonts w:hint="default"/>
                      <w:color w:val="auto"/>
                      <w:vertAlign w:val="baseline"/>
                      <w:lang w:val="en-US" w:eastAsia="zh-CN"/>
                    </w:rPr>
                  </w:pPr>
                  <w:r>
                    <w:rPr>
                      <w:rFonts w:hint="eastAsia"/>
                      <w:color w:val="auto"/>
                      <w:vertAlign w:val="baseline"/>
                      <w:lang w:val="en-US" w:eastAsia="zh-CN"/>
                    </w:rPr>
                    <w:t>4</w:t>
                  </w:r>
                </w:p>
              </w:tc>
              <w:tc>
                <w:tcPr>
                  <w:tcW w:w="1975" w:type="dxa"/>
                  <w:noWrap w:val="0"/>
                  <w:vAlign w:val="center"/>
                </w:tcPr>
                <w:p w14:paraId="55F96EC4">
                  <w:pPr>
                    <w:spacing w:line="240" w:lineRule="auto"/>
                    <w:jc w:val="center"/>
                    <w:rPr>
                      <w:rFonts w:hint="default"/>
                      <w:color w:val="auto"/>
                      <w:vertAlign w:val="baseline"/>
                      <w:lang w:val="en-US" w:eastAsia="zh-CN"/>
                    </w:rPr>
                  </w:pPr>
                  <w:r>
                    <w:rPr>
                      <w:rFonts w:hint="eastAsia"/>
                      <w:color w:val="auto"/>
                      <w:vertAlign w:val="baseline"/>
                      <w:lang w:val="en-US" w:eastAsia="zh-CN"/>
                    </w:rPr>
                    <w:t>电能</w:t>
                  </w:r>
                </w:p>
              </w:tc>
              <w:tc>
                <w:tcPr>
                  <w:tcW w:w="1975" w:type="dxa"/>
                  <w:noWrap w:val="0"/>
                  <w:vAlign w:val="center"/>
                </w:tcPr>
                <w:p w14:paraId="2A22FF14">
                  <w:pPr>
                    <w:spacing w:line="240" w:lineRule="auto"/>
                    <w:jc w:val="center"/>
                    <w:rPr>
                      <w:rFonts w:hint="default"/>
                      <w:color w:val="auto"/>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万kw.h</w:t>
                  </w:r>
                </w:p>
              </w:tc>
              <w:tc>
                <w:tcPr>
                  <w:tcW w:w="1975" w:type="dxa"/>
                  <w:noWrap w:val="0"/>
                  <w:vAlign w:val="center"/>
                </w:tcPr>
                <w:p w14:paraId="03BAD781">
                  <w:pPr>
                    <w:spacing w:line="240" w:lineRule="auto"/>
                    <w:jc w:val="center"/>
                    <w:rPr>
                      <w:rFonts w:hint="default"/>
                      <w:color w:val="auto"/>
                      <w:vertAlign w:val="baseline"/>
                      <w:lang w:val="en-US" w:eastAsia="zh-CN"/>
                    </w:rPr>
                  </w:pPr>
                  <w:r>
                    <w:rPr>
                      <w:rFonts w:hint="eastAsia"/>
                      <w:color w:val="auto"/>
                      <w:vertAlign w:val="baseline"/>
                      <w:lang w:val="en-US" w:eastAsia="zh-CN"/>
                    </w:rPr>
                    <w:t>5.7</w:t>
                  </w:r>
                </w:p>
              </w:tc>
            </w:tr>
            <w:tr w14:paraId="7B60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74" w:type="dxa"/>
                  <w:noWrap w:val="0"/>
                  <w:vAlign w:val="center"/>
                </w:tcPr>
                <w:p w14:paraId="4340631B">
                  <w:pPr>
                    <w:spacing w:line="240" w:lineRule="auto"/>
                    <w:jc w:val="center"/>
                    <w:rPr>
                      <w:rFonts w:hint="default"/>
                      <w:color w:val="auto"/>
                      <w:vertAlign w:val="baseline"/>
                      <w:lang w:val="en-US" w:eastAsia="zh-CN"/>
                    </w:rPr>
                  </w:pPr>
                  <w:r>
                    <w:rPr>
                      <w:rFonts w:hint="eastAsia"/>
                      <w:color w:val="auto"/>
                      <w:vertAlign w:val="baseline"/>
                      <w:lang w:val="en-US" w:eastAsia="zh-CN"/>
                    </w:rPr>
                    <w:t>5</w:t>
                  </w:r>
                </w:p>
              </w:tc>
              <w:tc>
                <w:tcPr>
                  <w:tcW w:w="1975" w:type="dxa"/>
                  <w:noWrap w:val="0"/>
                  <w:vAlign w:val="center"/>
                </w:tcPr>
                <w:p w14:paraId="019FCCE6">
                  <w:pPr>
                    <w:spacing w:line="240" w:lineRule="auto"/>
                    <w:jc w:val="center"/>
                    <w:rPr>
                      <w:rFonts w:hint="default"/>
                      <w:color w:val="auto"/>
                      <w:vertAlign w:val="baseline"/>
                      <w:lang w:val="en-US" w:eastAsia="zh-CN"/>
                    </w:rPr>
                  </w:pPr>
                  <w:r>
                    <w:rPr>
                      <w:rFonts w:hint="eastAsia"/>
                      <w:color w:val="auto"/>
                      <w:vertAlign w:val="baseline"/>
                      <w:lang w:val="en-US" w:eastAsia="zh-CN"/>
                    </w:rPr>
                    <w:t>水</w:t>
                  </w:r>
                </w:p>
              </w:tc>
              <w:tc>
                <w:tcPr>
                  <w:tcW w:w="1975" w:type="dxa"/>
                  <w:noWrap w:val="0"/>
                  <w:vAlign w:val="center"/>
                </w:tcPr>
                <w:p w14:paraId="4D965701">
                  <w:pPr>
                    <w:spacing w:line="240" w:lineRule="auto"/>
                    <w:jc w:val="center"/>
                    <w:rPr>
                      <w:rFonts w:hint="default"/>
                      <w:color w:val="auto"/>
                      <w:vertAlign w:val="baseline"/>
                      <w:lang w:val="en-US" w:eastAsia="zh-CN"/>
                    </w:rPr>
                  </w:pPr>
                  <w:r>
                    <w:rPr>
                      <w:rFonts w:hint="eastAsia"/>
                      <w:color w:val="auto"/>
                      <w:vertAlign w:val="baseline"/>
                      <w:lang w:val="en-US" w:eastAsia="zh-CN"/>
                    </w:rPr>
                    <w:t>m³</w:t>
                  </w:r>
                </w:p>
              </w:tc>
              <w:tc>
                <w:tcPr>
                  <w:tcW w:w="1975" w:type="dxa"/>
                  <w:noWrap w:val="0"/>
                  <w:vAlign w:val="center"/>
                </w:tcPr>
                <w:p w14:paraId="3A66AC65">
                  <w:pPr>
                    <w:spacing w:line="240" w:lineRule="auto"/>
                    <w:jc w:val="center"/>
                    <w:rPr>
                      <w:rFonts w:hint="default"/>
                      <w:color w:val="auto"/>
                      <w:vertAlign w:val="baseline"/>
                      <w:lang w:val="en-US" w:eastAsia="zh-CN"/>
                    </w:rPr>
                  </w:pPr>
                  <w:r>
                    <w:rPr>
                      <w:rFonts w:hint="eastAsia"/>
                      <w:color w:val="auto"/>
                      <w:vertAlign w:val="baseline"/>
                      <w:lang w:val="en-US" w:eastAsia="zh-CN"/>
                    </w:rPr>
                    <w:t>2826</w:t>
                  </w:r>
                </w:p>
              </w:tc>
            </w:tr>
          </w:tbl>
          <w:p w14:paraId="7454AE39">
            <w:pPr>
              <w:rPr>
                <w:rFonts w:hint="default"/>
                <w:color w:val="auto"/>
                <w:lang w:val="en-US" w:eastAsia="zh-CN"/>
              </w:rPr>
            </w:pPr>
          </w:p>
          <w:p w14:paraId="2782C72B">
            <w:pPr>
              <w:pStyle w:val="33"/>
              <w:numPr>
                <w:ilvl w:val="0"/>
                <w:numId w:val="0"/>
              </w:numPr>
              <w:spacing w:line="360" w:lineRule="auto"/>
              <w:rPr>
                <w:rFonts w:hint="eastAsia"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4、</w:t>
            </w:r>
            <w:r>
              <w:rPr>
                <w:rFonts w:hint="eastAsia" w:cs="Times New Roman"/>
                <w:b/>
                <w:bCs/>
                <w:color w:val="auto"/>
                <w:kern w:val="2"/>
                <w:sz w:val="24"/>
                <w:szCs w:val="24"/>
                <w:lang w:val="en-US" w:eastAsia="zh-CN" w:bidi="ar-SA"/>
              </w:rPr>
              <w:t>依托</w:t>
            </w:r>
            <w:r>
              <w:rPr>
                <w:rFonts w:hint="eastAsia" w:ascii="Times New Roman" w:eastAsia="宋体" w:cs="Times New Roman"/>
                <w:b/>
                <w:bCs/>
                <w:color w:val="auto"/>
                <w:kern w:val="2"/>
                <w:sz w:val="24"/>
                <w:szCs w:val="24"/>
                <w:lang w:val="en-US" w:eastAsia="zh-CN" w:bidi="ar-SA"/>
              </w:rPr>
              <w:t>项目</w:t>
            </w:r>
            <w:r>
              <w:rPr>
                <w:rFonts w:hint="eastAsia" w:ascii="Times New Roman" w:hAnsi="Times New Roman" w:eastAsia="宋体" w:cs="Times New Roman"/>
                <w:b/>
                <w:bCs/>
                <w:color w:val="auto"/>
                <w:sz w:val="24"/>
                <w:lang w:eastAsia="zh-CN"/>
              </w:rPr>
              <w:t>设备情况</w:t>
            </w:r>
          </w:p>
          <w:p w14:paraId="7A785CE4">
            <w:pPr>
              <w:pStyle w:val="33"/>
              <w:numPr>
                <w:ilvl w:val="0"/>
                <w:numId w:val="0"/>
              </w:numPr>
              <w:spacing w:line="360" w:lineRule="auto"/>
              <w:ind w:leftChars="0" w:firstLine="482" w:firstLineChars="200"/>
              <w:jc w:val="center"/>
              <w:rPr>
                <w:rFonts w:hint="eastAsia"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 xml:space="preserve">表2-10 </w:t>
            </w:r>
            <w:r>
              <w:rPr>
                <w:rFonts w:hint="eastAsia" w:cs="Times New Roman"/>
                <w:b/>
                <w:bCs/>
                <w:color w:val="auto"/>
                <w:kern w:val="2"/>
                <w:sz w:val="24"/>
                <w:szCs w:val="24"/>
                <w:lang w:val="en-US" w:eastAsia="zh-CN" w:bidi="ar-SA"/>
              </w:rPr>
              <w:t xml:space="preserve"> </w:t>
            </w:r>
            <w:r>
              <w:rPr>
                <w:rFonts w:hint="eastAsia" w:ascii="Times New Roman" w:eastAsia="宋体" w:cs="Times New Roman"/>
                <w:b/>
                <w:bCs/>
                <w:color w:val="auto"/>
                <w:kern w:val="2"/>
                <w:sz w:val="24"/>
                <w:szCs w:val="24"/>
                <w:lang w:val="en-US" w:eastAsia="zh-CN" w:bidi="ar-SA"/>
              </w:rPr>
              <w:t>依托项目主要设备一览表</w:t>
            </w:r>
          </w:p>
          <w:tbl>
            <w:tblPr>
              <w:tblStyle w:val="27"/>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3227"/>
              <w:gridCol w:w="1095"/>
              <w:gridCol w:w="1095"/>
            </w:tblGrid>
            <w:tr w14:paraId="1B4E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06" w:type="pct"/>
                  <w:noWrap w:val="0"/>
                  <w:vAlign w:val="center"/>
                </w:tcPr>
                <w:p w14:paraId="3CD793F6">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生产线</w:t>
                  </w:r>
                </w:p>
              </w:tc>
              <w:tc>
                <w:tcPr>
                  <w:tcW w:w="2140" w:type="pct"/>
                  <w:noWrap w:val="0"/>
                  <w:vAlign w:val="center"/>
                </w:tcPr>
                <w:p w14:paraId="4466BB1C">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设备名称</w:t>
                  </w:r>
                </w:p>
              </w:tc>
              <w:tc>
                <w:tcPr>
                  <w:tcW w:w="726" w:type="pct"/>
                  <w:noWrap w:val="0"/>
                  <w:vAlign w:val="center"/>
                </w:tcPr>
                <w:p w14:paraId="4310634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型号</w:t>
                  </w:r>
                </w:p>
              </w:tc>
              <w:tc>
                <w:tcPr>
                  <w:tcW w:w="726" w:type="pct"/>
                  <w:noWrap w:val="0"/>
                  <w:vAlign w:val="center"/>
                </w:tcPr>
                <w:p w14:paraId="12B56B8A">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数量</w:t>
                  </w:r>
                </w:p>
              </w:tc>
            </w:tr>
            <w:tr w14:paraId="04BC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06" w:type="pct"/>
                  <w:vMerge w:val="restart"/>
                  <w:noWrap w:val="0"/>
                  <w:vAlign w:val="center"/>
                </w:tcPr>
                <w:p w14:paraId="0C511C0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年产3.3万立方米泡沫塑料生产线</w:t>
                  </w:r>
                </w:p>
              </w:tc>
              <w:tc>
                <w:tcPr>
                  <w:tcW w:w="2140" w:type="pct"/>
                  <w:noWrap w:val="0"/>
                  <w:vAlign w:val="center"/>
                </w:tcPr>
                <w:p w14:paraId="48F9D51E">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发料机</w:t>
                  </w:r>
                </w:p>
              </w:tc>
              <w:tc>
                <w:tcPr>
                  <w:tcW w:w="726" w:type="pct"/>
                  <w:noWrap w:val="0"/>
                  <w:vAlign w:val="center"/>
                </w:tcPr>
                <w:p w14:paraId="2643209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140</w:t>
                  </w:r>
                </w:p>
              </w:tc>
              <w:tc>
                <w:tcPr>
                  <w:tcW w:w="726" w:type="pct"/>
                  <w:noWrap w:val="0"/>
                  <w:vAlign w:val="center"/>
                </w:tcPr>
                <w:p w14:paraId="1446EB84">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1台</w:t>
                  </w:r>
                </w:p>
              </w:tc>
            </w:tr>
            <w:tr w14:paraId="3CB9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5E35DF4F">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20308AB9">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成型机</w:t>
                  </w:r>
                </w:p>
              </w:tc>
              <w:tc>
                <w:tcPr>
                  <w:tcW w:w="726" w:type="pct"/>
                  <w:noWrap w:val="0"/>
                  <w:vAlign w:val="center"/>
                </w:tcPr>
                <w:p w14:paraId="752E8592">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170</w:t>
                  </w:r>
                </w:p>
              </w:tc>
              <w:tc>
                <w:tcPr>
                  <w:tcW w:w="726" w:type="pct"/>
                  <w:noWrap w:val="0"/>
                  <w:vAlign w:val="center"/>
                </w:tcPr>
                <w:p w14:paraId="1D875DD4">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3台</w:t>
                  </w:r>
                </w:p>
              </w:tc>
            </w:tr>
            <w:tr w14:paraId="3441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27A7D23E">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6B3C9FD7">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成型机</w:t>
                  </w:r>
                </w:p>
              </w:tc>
              <w:tc>
                <w:tcPr>
                  <w:tcW w:w="726" w:type="pct"/>
                  <w:noWrap w:val="0"/>
                  <w:vAlign w:val="center"/>
                </w:tcPr>
                <w:p w14:paraId="15A546BD">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140</w:t>
                  </w:r>
                </w:p>
              </w:tc>
              <w:tc>
                <w:tcPr>
                  <w:tcW w:w="726" w:type="pct"/>
                  <w:noWrap w:val="0"/>
                  <w:vAlign w:val="center"/>
                </w:tcPr>
                <w:p w14:paraId="229F8C3B">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2台</w:t>
                  </w:r>
                </w:p>
              </w:tc>
            </w:tr>
            <w:tr w14:paraId="50CA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03B65997">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13CE50ED">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大板机</w:t>
                  </w:r>
                </w:p>
              </w:tc>
              <w:tc>
                <w:tcPr>
                  <w:tcW w:w="726" w:type="pct"/>
                  <w:noWrap w:val="0"/>
                  <w:vAlign w:val="center"/>
                </w:tcPr>
                <w:p w14:paraId="682365B0">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6300</w:t>
                  </w:r>
                </w:p>
              </w:tc>
              <w:tc>
                <w:tcPr>
                  <w:tcW w:w="726" w:type="pct"/>
                  <w:noWrap w:val="0"/>
                  <w:vAlign w:val="center"/>
                </w:tcPr>
                <w:p w14:paraId="58FE29C4">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1台</w:t>
                  </w:r>
                </w:p>
              </w:tc>
            </w:tr>
            <w:tr w14:paraId="65BB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06583F54">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7B44B9DB">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空压机</w:t>
                  </w:r>
                </w:p>
              </w:tc>
              <w:tc>
                <w:tcPr>
                  <w:tcW w:w="726" w:type="pct"/>
                  <w:noWrap w:val="0"/>
                  <w:vAlign w:val="center"/>
                </w:tcPr>
                <w:p w14:paraId="4351412C">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w:t>
                  </w:r>
                </w:p>
              </w:tc>
              <w:tc>
                <w:tcPr>
                  <w:tcW w:w="726" w:type="pct"/>
                  <w:noWrap w:val="0"/>
                  <w:vAlign w:val="center"/>
                </w:tcPr>
                <w:p w14:paraId="571EAD0B">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3台</w:t>
                  </w:r>
                </w:p>
              </w:tc>
            </w:tr>
            <w:tr w14:paraId="0295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584834F7">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0EFE0022">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冷却塔</w:t>
                  </w:r>
                </w:p>
              </w:tc>
              <w:tc>
                <w:tcPr>
                  <w:tcW w:w="726" w:type="pct"/>
                  <w:noWrap w:val="0"/>
                  <w:vAlign w:val="center"/>
                </w:tcPr>
                <w:p w14:paraId="62A0A17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2T</w:t>
                  </w:r>
                </w:p>
              </w:tc>
              <w:tc>
                <w:tcPr>
                  <w:tcW w:w="726" w:type="pct"/>
                  <w:noWrap w:val="0"/>
                  <w:vAlign w:val="center"/>
                </w:tcPr>
                <w:p w14:paraId="134338FF">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1台</w:t>
                  </w:r>
                </w:p>
              </w:tc>
            </w:tr>
            <w:tr w14:paraId="7937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vMerge w:val="continue"/>
                  <w:noWrap w:val="0"/>
                  <w:vAlign w:val="center"/>
                </w:tcPr>
                <w:p w14:paraId="14D8D2CB">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p>
              </w:tc>
              <w:tc>
                <w:tcPr>
                  <w:tcW w:w="2140" w:type="pct"/>
                  <w:noWrap w:val="0"/>
                  <w:vAlign w:val="center"/>
                </w:tcPr>
                <w:p w14:paraId="4AB8B7F3">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蒸汽锅炉</w:t>
                  </w:r>
                </w:p>
              </w:tc>
              <w:tc>
                <w:tcPr>
                  <w:tcW w:w="726" w:type="pct"/>
                  <w:noWrap w:val="0"/>
                  <w:vAlign w:val="center"/>
                </w:tcPr>
                <w:p w14:paraId="5524FA9F">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4t/h，1.25Mpa</w:t>
                  </w:r>
                </w:p>
              </w:tc>
              <w:tc>
                <w:tcPr>
                  <w:tcW w:w="726" w:type="pct"/>
                  <w:noWrap w:val="0"/>
                  <w:vAlign w:val="center"/>
                </w:tcPr>
                <w:p w14:paraId="74D17E47">
                  <w:pPr>
                    <w:pStyle w:val="33"/>
                    <w:numPr>
                      <w:ilvl w:val="0"/>
                      <w:numId w:val="0"/>
                    </w:numPr>
                    <w:spacing w:line="360" w:lineRule="auto"/>
                    <w:jc w:val="center"/>
                    <w:rPr>
                      <w:rFonts w:hint="default"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2台</w:t>
                  </w:r>
                </w:p>
              </w:tc>
            </w:tr>
            <w:tr w14:paraId="36A1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pct"/>
                  <w:noWrap w:val="0"/>
                  <w:vAlign w:val="center"/>
                </w:tcPr>
                <w:p w14:paraId="069BBB82">
                  <w:pPr>
                    <w:pStyle w:val="33"/>
                    <w:numPr>
                      <w:ilvl w:val="0"/>
                      <w:numId w:val="0"/>
                    </w:numPr>
                    <w:spacing w:line="360" w:lineRule="auto"/>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color w:val="auto"/>
                      <w:sz w:val="24"/>
                      <w:szCs w:val="24"/>
                      <w:lang w:val="en-US" w:eastAsia="zh-CN"/>
                    </w:rPr>
                    <w:t>年产170吨地膜及75万个塑料袋</w:t>
                  </w:r>
                </w:p>
              </w:tc>
              <w:tc>
                <w:tcPr>
                  <w:tcW w:w="2140" w:type="pct"/>
                  <w:noWrap w:val="0"/>
                  <w:vAlign w:val="center"/>
                </w:tcPr>
                <w:p w14:paraId="05AC39EA">
                  <w:pPr>
                    <w:pStyle w:val="33"/>
                    <w:numPr>
                      <w:ilvl w:val="0"/>
                      <w:numId w:val="0"/>
                    </w:numPr>
                    <w:spacing w:line="360" w:lineRule="auto"/>
                    <w:ind w:left="0" w:leftChars="0" w:firstLine="0" w:firstLineChars="0"/>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吹膜机</w:t>
                  </w:r>
                </w:p>
              </w:tc>
              <w:tc>
                <w:tcPr>
                  <w:tcW w:w="726" w:type="pct"/>
                  <w:noWrap w:val="0"/>
                  <w:vAlign w:val="center"/>
                </w:tcPr>
                <w:p w14:paraId="147DFA5B">
                  <w:pPr>
                    <w:pStyle w:val="33"/>
                    <w:numPr>
                      <w:ilvl w:val="0"/>
                      <w:numId w:val="0"/>
                    </w:numPr>
                    <w:spacing w:line="360" w:lineRule="auto"/>
                    <w:ind w:left="0" w:leftChars="0" w:firstLine="0" w:firstLineChars="0"/>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1800</w:t>
                  </w:r>
                </w:p>
              </w:tc>
              <w:tc>
                <w:tcPr>
                  <w:tcW w:w="726" w:type="pct"/>
                  <w:noWrap w:val="0"/>
                  <w:vAlign w:val="center"/>
                </w:tcPr>
                <w:p w14:paraId="1F2ECDF1">
                  <w:pPr>
                    <w:pStyle w:val="33"/>
                    <w:numPr>
                      <w:ilvl w:val="0"/>
                      <w:numId w:val="0"/>
                    </w:numPr>
                    <w:spacing w:line="360" w:lineRule="auto"/>
                    <w:ind w:left="0" w:leftChars="0" w:firstLine="0" w:firstLineChars="0"/>
                    <w:jc w:val="center"/>
                    <w:rPr>
                      <w:rFonts w:hint="eastAsia" w:ascii="Times New Roman" w:eastAsia="宋体" w:cs="Times New Roman"/>
                      <w:b w:val="0"/>
                      <w:bCs w:val="0"/>
                      <w:color w:val="auto"/>
                      <w:kern w:val="2"/>
                      <w:sz w:val="21"/>
                      <w:szCs w:val="21"/>
                      <w:vertAlign w:val="baseline"/>
                      <w:lang w:val="en-US" w:eastAsia="zh-CN" w:bidi="ar-SA"/>
                    </w:rPr>
                  </w:pPr>
                  <w:r>
                    <w:rPr>
                      <w:rFonts w:hint="eastAsia" w:ascii="Times New Roman" w:eastAsia="宋体" w:cs="Times New Roman"/>
                      <w:b w:val="0"/>
                      <w:bCs w:val="0"/>
                      <w:color w:val="auto"/>
                      <w:kern w:val="2"/>
                      <w:sz w:val="21"/>
                      <w:szCs w:val="21"/>
                      <w:vertAlign w:val="baseline"/>
                      <w:lang w:val="en-US" w:eastAsia="zh-CN" w:bidi="ar-SA"/>
                    </w:rPr>
                    <w:t>1台</w:t>
                  </w:r>
                </w:p>
              </w:tc>
            </w:tr>
          </w:tbl>
          <w:p w14:paraId="5817EBE0">
            <w:pPr>
              <w:pStyle w:val="33"/>
              <w:numPr>
                <w:ilvl w:val="0"/>
                <w:numId w:val="0"/>
              </w:numPr>
              <w:spacing w:line="360" w:lineRule="auto"/>
              <w:rPr>
                <w:rFonts w:hint="default"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5、</w:t>
            </w:r>
            <w:r>
              <w:rPr>
                <w:rFonts w:hint="eastAsia" w:ascii="宋体" w:hAnsi="宋体" w:cs="宋体"/>
                <w:b/>
                <w:bCs/>
                <w:color w:val="auto"/>
                <w:sz w:val="24"/>
                <w:szCs w:val="24"/>
                <w:lang w:val="en-US" w:eastAsia="zh-CN"/>
              </w:rPr>
              <w:t>依托</w:t>
            </w:r>
            <w:r>
              <w:rPr>
                <w:rFonts w:hint="eastAsia" w:ascii="宋体" w:hAnsi="宋体" w:eastAsia="宋体" w:cs="宋体"/>
                <w:b/>
                <w:bCs/>
                <w:color w:val="auto"/>
                <w:sz w:val="24"/>
                <w:szCs w:val="24"/>
                <w:lang w:val="en-US" w:eastAsia="zh-CN"/>
              </w:rPr>
              <w:t>项目</w:t>
            </w:r>
            <w:r>
              <w:rPr>
                <w:rFonts w:hint="eastAsia" w:ascii="宋体" w:hAnsi="宋体" w:cs="宋体"/>
                <w:b/>
                <w:bCs/>
                <w:color w:val="auto"/>
                <w:sz w:val="24"/>
                <w:szCs w:val="24"/>
                <w:lang w:val="en-US" w:eastAsia="zh-CN"/>
              </w:rPr>
              <w:t>蒸汽平衡</w:t>
            </w:r>
          </w:p>
          <w:p w14:paraId="10AFD351">
            <w:pPr>
              <w:pStyle w:val="24"/>
              <w:adjustRightInd w:val="0"/>
              <w:snapToGrid w:val="0"/>
              <w:ind w:firstLine="240"/>
              <w:rPr>
                <w:color w:val="auto"/>
                <w:kern w:val="24"/>
                <w:sz w:val="24"/>
                <w:highlight w:val="none"/>
              </w:rPr>
            </w:pPr>
            <w:r>
              <w:rPr>
                <w:color w:val="auto"/>
                <w:sz w:val="24"/>
                <w:highlight w:val="none"/>
              </w:rPr>
              <mc:AlternateContent>
                <mc:Choice Requires="wps">
                  <w:drawing>
                    <wp:anchor distT="0" distB="0" distL="114300" distR="114300" simplePos="0" relativeHeight="251729920" behindDoc="0" locked="0" layoutInCell="1" allowOverlap="1">
                      <wp:simplePos x="0" y="0"/>
                      <wp:positionH relativeFrom="column">
                        <wp:posOffset>4198620</wp:posOffset>
                      </wp:positionH>
                      <wp:positionV relativeFrom="paragraph">
                        <wp:posOffset>113030</wp:posOffset>
                      </wp:positionV>
                      <wp:extent cx="446405" cy="255270"/>
                      <wp:effectExtent l="0" t="0" r="0" b="0"/>
                      <wp:wrapNone/>
                      <wp:docPr id="71" name="自选图形 311"/>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5DC8A86B">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311" o:spid="_x0000_s1026" o:spt="109" type="#_x0000_t109" style="position:absolute;left:0pt;margin-left:330.6pt;margin-top:8.9pt;height:20.1pt;width:35.15pt;z-index:251729920;mso-width-relative:page;mso-height-relative:page;" filled="f" stroked="f" coordsize="21600,21600" o:gfxdata="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oHOr1gAAAAkBAAAPAAAAAAAAAAEAIAAAACIAAABkcnMvZG93bnJldi54bWxQSwECFAAUAAAA&#10;CACHTuJAfEg8p7cBAABVAwAADgAAAAAAAAABACAAAAAlAQAAZHJzL2Uyb0RvYy54bWxQSwUGAAAA&#10;AAYABgBZAQAATgUAAAAA&#10;">
                      <v:fill on="f" focussize="0,0"/>
                      <v:stroke on="f"/>
                      <v:imagedata o:title=""/>
                      <o:lock v:ext="edit" aspectratio="f"/>
                      <v:textbox>
                        <w:txbxContent>
                          <w:p w14:paraId="5DC8A86B">
                            <w:pPr>
                              <w:jc w:val="center"/>
                              <w:rPr>
                                <w:rFonts w:hint="default" w:eastAsia="宋体"/>
                                <w:lang w:val="en-US" w:eastAsia="zh-CN"/>
                              </w:rPr>
                            </w:pPr>
                            <w:r>
                              <w:rPr>
                                <w:rFonts w:hint="eastAsia"/>
                                <w:lang w:val="en-US" w:eastAsia="zh-CN"/>
                              </w:rPr>
                              <w:t>30</w:t>
                            </w:r>
                          </w:p>
                        </w:txbxContent>
                      </v:textbox>
                    </v:shape>
                  </w:pict>
                </mc:Fallback>
              </mc:AlternateContent>
            </w:r>
          </w:p>
          <w:p w14:paraId="11D4435B">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727872" behindDoc="0" locked="0" layoutInCell="1" allowOverlap="1">
                      <wp:simplePos x="0" y="0"/>
                      <wp:positionH relativeFrom="column">
                        <wp:posOffset>1938655</wp:posOffset>
                      </wp:positionH>
                      <wp:positionV relativeFrom="paragraph">
                        <wp:posOffset>153035</wp:posOffset>
                      </wp:positionV>
                      <wp:extent cx="617855" cy="255270"/>
                      <wp:effectExtent l="0" t="0" r="0" b="0"/>
                      <wp:wrapNone/>
                      <wp:docPr id="69" name="自选图形 312"/>
                      <wp:cNvGraphicFramePr/>
                      <a:graphic xmlns:a="http://schemas.openxmlformats.org/drawingml/2006/main">
                        <a:graphicData uri="http://schemas.microsoft.com/office/word/2010/wordprocessingShape">
                          <wps:wsp>
                            <wps:cNvSpPr/>
                            <wps:spPr>
                              <a:xfrm>
                                <a:off x="0" y="0"/>
                                <a:ext cx="617855" cy="255270"/>
                              </a:xfrm>
                              <a:prstGeom prst="flowChartProcess">
                                <a:avLst/>
                              </a:prstGeom>
                              <a:noFill/>
                              <a:ln>
                                <a:noFill/>
                              </a:ln>
                            </wps:spPr>
                            <wps:txbx>
                              <w:txbxContent>
                                <w:p w14:paraId="06E1DF58">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312" o:spid="_x0000_s1026" o:spt="109" type="#_x0000_t109" style="position:absolute;left:0pt;margin-left:152.65pt;margin-top:12.05pt;height:20.1pt;width:48.65pt;z-index:251727872;mso-width-relative:page;mso-height-relative:page;" filled="f" stroked="f" coordsize="21600,21600" o:gfxdata="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0t8B9YAAAAJAQAADwAAAAAAAAABACAAAAAiAAAAZHJzL2Rvd25yZXYueG1sUEsBAhQAFAAA&#10;AAgAh07iQDWZkkq4AQAAVQMAAA4AAAAAAAAAAQAgAAAAJQEAAGRycy9lMm9Eb2MueG1sUEsFBgAA&#10;AAAGAAYAWQEAAE8FAAAAAA==&#10;">
                      <v:fill on="f" focussize="0,0"/>
                      <v:stroke on="f"/>
                      <v:imagedata o:title=""/>
                      <o:lock v:ext="edit" aspectratio="f"/>
                      <v:textbox>
                        <w:txbxContent>
                          <w:p w14:paraId="06E1DF58">
                            <w:pPr>
                              <w:jc w:val="center"/>
                              <w:rPr>
                                <w:rFonts w:hint="default" w:eastAsia="宋体"/>
                                <w:lang w:val="en-US" w:eastAsia="zh-CN"/>
                              </w:rPr>
                            </w:pPr>
                            <w:r>
                              <w:rPr>
                                <w:rFonts w:hint="eastAsia"/>
                                <w:lang w:val="en-US" w:eastAsia="zh-CN"/>
                              </w:rPr>
                              <w:t>30</w:t>
                            </w:r>
                          </w:p>
                        </w:txbxContent>
                      </v:textbox>
                    </v:shape>
                  </w:pict>
                </mc:Fallback>
              </mc:AlternateContent>
            </w:r>
            <w:r>
              <w:rPr>
                <w:color w:val="auto"/>
                <w:sz w:val="24"/>
                <w:highlight w:val="none"/>
              </w:rPr>
              <mc:AlternateContent>
                <mc:Choice Requires="wps">
                  <w:drawing>
                    <wp:anchor distT="0" distB="0" distL="114300" distR="114300" simplePos="0" relativeHeight="251724800" behindDoc="0" locked="0" layoutInCell="1" allowOverlap="1">
                      <wp:simplePos x="0" y="0"/>
                      <wp:positionH relativeFrom="column">
                        <wp:posOffset>3431540</wp:posOffset>
                      </wp:positionH>
                      <wp:positionV relativeFrom="paragraph">
                        <wp:posOffset>153670</wp:posOffset>
                      </wp:positionV>
                      <wp:extent cx="1728470" cy="446405"/>
                      <wp:effectExtent l="4445" t="5080" r="19685" b="5715"/>
                      <wp:wrapNone/>
                      <wp:docPr id="66" name="自选图形 313"/>
                      <wp:cNvGraphicFramePr/>
                      <a:graphic xmlns:a="http://schemas.openxmlformats.org/drawingml/2006/main">
                        <a:graphicData uri="http://schemas.microsoft.com/office/word/2010/wordprocessingShape">
                          <wps:wsp>
                            <wps:cNvSpPr/>
                            <wps:spPr>
                              <a:xfrm>
                                <a:off x="0" y="0"/>
                                <a:ext cx="1728470" cy="4464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0C67976">
                                  <w:pPr>
                                    <w:rPr>
                                      <w:color w:val="auto"/>
                                    </w:rPr>
                                  </w:pPr>
                                  <w:r>
                                    <w:rPr>
                                      <w:rFonts w:hint="eastAsia"/>
                                      <w:color w:val="auto"/>
                                      <w:lang w:val="en-US" w:eastAsia="zh-CN"/>
                                    </w:rPr>
                                    <w:t>玉溪钧澄经贸有限公司</w:t>
                                  </w:r>
                                </w:p>
                              </w:txbxContent>
                            </wps:txbx>
                            <wps:bodyPr upright="1"/>
                          </wps:wsp>
                        </a:graphicData>
                      </a:graphic>
                    </wp:anchor>
                  </w:drawing>
                </mc:Choice>
                <mc:Fallback>
                  <w:pict>
                    <v:shape id="自选图形 313" o:spid="_x0000_s1026" o:spt="109" type="#_x0000_t109" style="position:absolute;left:0pt;margin-left:270.2pt;margin-top:12.1pt;height:35.15pt;width:136.1pt;z-index:251724800;mso-width-relative:page;mso-height-relative:page;" fillcolor="#FFFFFF" filled="t" stroked="t" coordsize="21600,21600" o:gfxdata="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MWf/3YAAAACQEAAA8A&#10;AAAAAAAAAQAgAAAAIgAAAGRycy9kb3ducmV2LnhtbFBLAQIUABQAAAAIAIdO4kDCzNXjFwIAAD4E&#10;AAAOAAAAAAAAAAEAIAAAACcBAABkcnMvZTJvRG9jLnhtbFBLBQYAAAAABgAGAFkBAACwBQAAAAA=&#10;">
                      <v:fill on="t" focussize="0,0"/>
                      <v:stroke color="#000000" joinstyle="miter"/>
                      <v:imagedata o:title=""/>
                      <o:lock v:ext="edit" aspectratio="f"/>
                      <v:textbox>
                        <w:txbxContent>
                          <w:p w14:paraId="50C67976">
                            <w:pPr>
                              <w:rPr>
                                <w:color w:val="auto"/>
                              </w:rPr>
                            </w:pPr>
                            <w:r>
                              <w:rPr>
                                <w:rFonts w:hint="eastAsia"/>
                                <w:color w:val="auto"/>
                                <w:lang w:val="en-US" w:eastAsia="zh-CN"/>
                              </w:rPr>
                              <w:t>玉溪钧澄经贸有限公司</w:t>
                            </w:r>
                          </w:p>
                        </w:txbxContent>
                      </v:textbox>
                    </v:shape>
                  </w:pict>
                </mc:Fallback>
              </mc:AlternateContent>
            </w:r>
            <w:r>
              <w:rPr>
                <w:color w:val="auto"/>
                <w:sz w:val="24"/>
                <w:highlight w:val="none"/>
              </w:rPr>
              <mc:AlternateContent>
                <mc:Choice Requires="wps">
                  <w:drawing>
                    <wp:anchor distT="0" distB="0" distL="114300" distR="114300" simplePos="0" relativeHeight="251725824" behindDoc="0" locked="0" layoutInCell="1" allowOverlap="1">
                      <wp:simplePos x="0" y="0"/>
                      <wp:positionH relativeFrom="column">
                        <wp:posOffset>4262120</wp:posOffset>
                      </wp:positionH>
                      <wp:positionV relativeFrom="paragraph">
                        <wp:posOffset>46355</wp:posOffset>
                      </wp:positionV>
                      <wp:extent cx="177165" cy="120015"/>
                      <wp:effectExtent l="6350" t="0" r="26035" b="13335"/>
                      <wp:wrapNone/>
                      <wp:docPr id="67" name="任意多边形 314"/>
                      <wp:cNvGraphicFramePr/>
                      <a:graphic xmlns:a="http://schemas.openxmlformats.org/drawingml/2006/main">
                        <a:graphicData uri="http://schemas.microsoft.com/office/word/2010/wordprocessingShape">
                          <wps:wsp>
                            <wps:cNvSpPr/>
                            <wps:spPr>
                              <a:xfrm>
                                <a:off x="0" y="0"/>
                                <a:ext cx="177165" cy="120015"/>
                              </a:xfrm>
                              <a:custGeom>
                                <a:avLst/>
                                <a:gdLst/>
                                <a:ahLst/>
                                <a:cxnLst/>
                                <a:pathLst>
                                  <a:path w="641" h="434">
                                    <a:moveTo>
                                      <a:pt x="0" y="341"/>
                                    </a:moveTo>
                                    <a:cubicBezTo>
                                      <a:pt x="56" y="307"/>
                                      <a:pt x="202" y="180"/>
                                      <a:pt x="300" y="191"/>
                                    </a:cubicBezTo>
                                    <a:cubicBezTo>
                                      <a:pt x="398" y="202"/>
                                      <a:pt x="423" y="434"/>
                                      <a:pt x="491" y="396"/>
                                    </a:cubicBezTo>
                                    <a:cubicBezTo>
                                      <a:pt x="559" y="358"/>
                                      <a:pt x="608" y="104"/>
                                      <a:pt x="641" y="0"/>
                                    </a:cubicBezTo>
                                  </a:path>
                                </a:pathLst>
                              </a:custGeom>
                              <a:noFill/>
                              <a:ln w="9525" cap="sq" cmpd="sng">
                                <a:solidFill>
                                  <a:srgbClr val="000000"/>
                                </a:solidFill>
                                <a:prstDash val="sysDot"/>
                                <a:headEnd type="none" w="med" len="med"/>
                                <a:tailEnd type="triangle" w="med" len="med"/>
                              </a:ln>
                            </wps:spPr>
                            <wps:bodyPr upright="1"/>
                          </wps:wsp>
                        </a:graphicData>
                      </a:graphic>
                    </wp:anchor>
                  </w:drawing>
                </mc:Choice>
                <mc:Fallback>
                  <w:pict>
                    <v:shape id="任意多边形 314" o:spid="_x0000_s1026" o:spt="100" style="position:absolute;left:0pt;margin-left:335.6pt;margin-top:3.65pt;height:9.45pt;width:13.95pt;z-index:251725824;mso-width-relative:page;mso-height-relative:page;" filled="f" stroked="t" coordsize="641,434" o:gfxdata="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7CQyetYAAAAIAQAADwAAAAAAAAABACAAAAAiAAAAZHJzL2Rvd25yZXYueG1sUEsBAhQAFAAA&#10;AAgAh07iQAKGQLicAgAAkQUAAA4AAAAAAAAAAQAgAAAAJQEAAGRycy9lMm9Eb2MueG1sUEsFBgAA&#10;AAAGAAYAWQEAADMGAAAAAA==&#10;" path="m0,341c56,307,202,180,300,191c398,202,423,434,491,396c559,358,608,104,641,0e">
                      <v:fill on="f" focussize="0,0"/>
                      <v:stroke color="#000000" joinstyle="round" dashstyle="1 1" endcap="square" endarrow="block"/>
                      <v:imagedata o:title=""/>
                      <o:lock v:ext="edit" aspectratio="f"/>
                    </v:shape>
                  </w:pict>
                </mc:Fallback>
              </mc:AlternateContent>
            </w:r>
            <w:r>
              <w:rPr>
                <w:color w:val="auto"/>
                <w:sz w:val="24"/>
                <w:highlight w:val="none"/>
              </w:rPr>
              <mc:AlternateContent>
                <mc:Choice Requires="wps">
                  <w:drawing>
                    <wp:anchor distT="0" distB="0" distL="114300" distR="114300" simplePos="0" relativeHeight="251726848" behindDoc="0" locked="0" layoutInCell="1" allowOverlap="1">
                      <wp:simplePos x="0" y="0"/>
                      <wp:positionH relativeFrom="column">
                        <wp:posOffset>2977515</wp:posOffset>
                      </wp:positionH>
                      <wp:positionV relativeFrom="paragraph">
                        <wp:posOffset>138430</wp:posOffset>
                      </wp:positionV>
                      <wp:extent cx="446405" cy="255270"/>
                      <wp:effectExtent l="0" t="0" r="0" b="0"/>
                      <wp:wrapNone/>
                      <wp:docPr id="68" name="自选图形 315"/>
                      <wp:cNvGraphicFramePr/>
                      <a:graphic xmlns:a="http://schemas.openxmlformats.org/drawingml/2006/main">
                        <a:graphicData uri="http://schemas.microsoft.com/office/word/2010/wordprocessingShape">
                          <wps:wsp>
                            <wps:cNvSpPr/>
                            <wps:spPr>
                              <a:xfrm>
                                <a:off x="0" y="0"/>
                                <a:ext cx="446405" cy="255270"/>
                              </a:xfrm>
                              <a:prstGeom prst="flowChartProcess">
                                <a:avLst/>
                              </a:prstGeom>
                              <a:noFill/>
                              <a:ln>
                                <a:noFill/>
                              </a:ln>
                            </wps:spPr>
                            <wps:txbx>
                              <w:txbxContent>
                                <w:p w14:paraId="078BB746">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315" o:spid="_x0000_s1026" o:spt="109" type="#_x0000_t109" style="position:absolute;left:0pt;margin-left:234.45pt;margin-top:10.9pt;height:20.1pt;width:35.15pt;z-index:251726848;mso-width-relative:page;mso-height-relative:page;" filled="f" stroked="f" coordsize="21600,21600" o:gfxdata="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J2I0DXAAAACQEAAA8AAAAAAAAAAQAgAAAAIgAAAGRycy9kb3ducmV2LnhtbFBLAQIUABQA&#10;AAAIAIdO4kCXFrzWuAEAAFUDAAAOAAAAAAAAAAEAIAAAACYBAABkcnMvZTJvRG9jLnhtbFBLBQYA&#10;AAAABgAGAFkBAABQBQAAAAA=&#10;">
                      <v:fill on="f" focussize="0,0"/>
                      <v:stroke on="f"/>
                      <v:imagedata o:title=""/>
                      <o:lock v:ext="edit" aspectratio="f"/>
                      <v:textbox>
                        <w:txbxContent>
                          <w:p w14:paraId="078BB746">
                            <w:pPr>
                              <w:jc w:val="center"/>
                              <w:rPr>
                                <w:rFonts w:hint="default" w:eastAsia="宋体"/>
                                <w:lang w:val="en-US" w:eastAsia="zh-CN"/>
                              </w:rPr>
                            </w:pPr>
                            <w:r>
                              <w:rPr>
                                <w:rFonts w:hint="eastAsia"/>
                                <w:lang w:val="en-US" w:eastAsia="zh-CN"/>
                              </w:rPr>
                              <w:t>30</w:t>
                            </w:r>
                          </w:p>
                        </w:txbxContent>
                      </v:textbox>
                    </v:shape>
                  </w:pict>
                </mc:Fallback>
              </mc:AlternateContent>
            </w:r>
            <w:r>
              <w:rPr>
                <w:color w:val="auto"/>
                <w:sz w:val="24"/>
                <w:highlight w:val="none"/>
              </w:rPr>
              <mc:AlternateContent>
                <mc:Choice Requires="wps">
                  <w:drawing>
                    <wp:anchor distT="0" distB="0" distL="114300" distR="114300" simplePos="0" relativeHeight="251722752" behindDoc="0" locked="0" layoutInCell="1" allowOverlap="1">
                      <wp:simplePos x="0" y="0"/>
                      <wp:positionH relativeFrom="column">
                        <wp:posOffset>2497455</wp:posOffset>
                      </wp:positionH>
                      <wp:positionV relativeFrom="paragraph">
                        <wp:posOffset>209550</wp:posOffset>
                      </wp:positionV>
                      <wp:extent cx="510540" cy="290830"/>
                      <wp:effectExtent l="4445" t="5080" r="18415" b="8890"/>
                      <wp:wrapNone/>
                      <wp:docPr id="64" name="自选图形 316"/>
                      <wp:cNvGraphicFramePr/>
                      <a:graphic xmlns:a="http://schemas.openxmlformats.org/drawingml/2006/main">
                        <a:graphicData uri="http://schemas.microsoft.com/office/word/2010/wordprocessingShape">
                          <wps:wsp>
                            <wps:cNvSpPr/>
                            <wps:spPr>
                              <a:xfrm>
                                <a:off x="0" y="0"/>
                                <a:ext cx="510540" cy="2908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31930B4">
                                  <w:pPr>
                                    <w:pStyle w:val="25"/>
                                    <w:ind w:left="0" w:leftChars="0" w:firstLine="0" w:firstLineChars="0"/>
                                    <w:jc w:val="both"/>
                                  </w:pPr>
                                  <w:r>
                                    <w:rPr>
                                      <w:rFonts w:hint="eastAsia"/>
                                    </w:rPr>
                                    <w:t>锅炉</w:t>
                                  </w:r>
                                </w:p>
                              </w:txbxContent>
                            </wps:txbx>
                            <wps:bodyPr upright="1"/>
                          </wps:wsp>
                        </a:graphicData>
                      </a:graphic>
                    </wp:anchor>
                  </w:drawing>
                </mc:Choice>
                <mc:Fallback>
                  <w:pict>
                    <v:shape id="自选图形 316" o:spid="_x0000_s1026" o:spt="109" type="#_x0000_t109" style="position:absolute;left:0pt;margin-left:196.65pt;margin-top:16.5pt;height:22.9pt;width:40.2pt;z-index:251722752;mso-width-relative:page;mso-height-relative:page;" fillcolor="#FFFFFF" filled="t" stroked="t" coordsize="21600,21600" o:gfxdata="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XhbuPZAAAACQEA&#10;AA8AAAAAAAAAAQAgAAAAIgAAAGRycy9kb3ducmV2LnhtbFBLAQIUABQAAAAIAIdO4kAjTsdiGQIA&#10;AD0EAAAOAAAAAAAAAAEAIAAAACgBAABkcnMvZTJvRG9jLnhtbFBLBQYAAAAABgAGAFkBAACzBQAA&#10;AAA=&#10;">
                      <v:fill on="t" focussize="0,0"/>
                      <v:stroke color="#000000" joinstyle="miter"/>
                      <v:imagedata o:title=""/>
                      <o:lock v:ext="edit" aspectratio="f"/>
                      <v:textbox>
                        <w:txbxContent>
                          <w:p w14:paraId="531930B4">
                            <w:pPr>
                              <w:pStyle w:val="25"/>
                              <w:ind w:left="0" w:leftChars="0" w:firstLine="0" w:firstLineChars="0"/>
                              <w:jc w:val="both"/>
                            </w:pPr>
                            <w:r>
                              <w:rPr>
                                <w:rFonts w:hint="eastAsia"/>
                              </w:rPr>
                              <w:t>锅炉</w:t>
                            </w:r>
                          </w:p>
                        </w:txbxContent>
                      </v:textbox>
                    </v:shape>
                  </w:pict>
                </mc:Fallback>
              </mc:AlternateContent>
            </w:r>
            <w:r>
              <w:rPr>
                <w:color w:val="auto"/>
                <w:sz w:val="24"/>
                <w:highlight w:val="none"/>
              </w:rPr>
              <mc:AlternateContent>
                <mc:Choice Requires="wps">
                  <w:drawing>
                    <wp:anchor distT="0" distB="0" distL="114300" distR="114300" simplePos="0" relativeHeight="251720704" behindDoc="0" locked="0" layoutInCell="1" allowOverlap="1">
                      <wp:simplePos x="0" y="0"/>
                      <wp:positionH relativeFrom="column">
                        <wp:posOffset>1428750</wp:posOffset>
                      </wp:positionH>
                      <wp:positionV relativeFrom="paragraph">
                        <wp:posOffset>240665</wp:posOffset>
                      </wp:positionV>
                      <wp:extent cx="681355" cy="290830"/>
                      <wp:effectExtent l="4445" t="5080" r="19050" b="8890"/>
                      <wp:wrapNone/>
                      <wp:docPr id="62" name="自选图形 317"/>
                      <wp:cNvGraphicFramePr/>
                      <a:graphic xmlns:a="http://schemas.openxmlformats.org/drawingml/2006/main">
                        <a:graphicData uri="http://schemas.microsoft.com/office/word/2010/wordprocessingShape">
                          <wps:wsp>
                            <wps:cNvSpPr/>
                            <wps:spPr>
                              <a:xfrm>
                                <a:off x="0" y="0"/>
                                <a:ext cx="681355" cy="29083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165BE77">
                                  <w:pPr>
                                    <w:pStyle w:val="25"/>
                                    <w:ind w:left="0" w:leftChars="0" w:firstLine="0" w:firstLineChars="0"/>
                                    <w:jc w:val="both"/>
                                  </w:pPr>
                                  <w:r>
                                    <w:rPr>
                                      <w:rFonts w:hint="eastAsia"/>
                                    </w:rPr>
                                    <w:t>软水箱</w:t>
                                  </w:r>
                                </w:p>
                              </w:txbxContent>
                            </wps:txbx>
                            <wps:bodyPr upright="1"/>
                          </wps:wsp>
                        </a:graphicData>
                      </a:graphic>
                    </wp:anchor>
                  </w:drawing>
                </mc:Choice>
                <mc:Fallback>
                  <w:pict>
                    <v:shape id="自选图形 317" o:spid="_x0000_s1026" o:spt="109" type="#_x0000_t109" style="position:absolute;left:0pt;margin-left:112.5pt;margin-top:18.95pt;height:22.9pt;width:53.65pt;z-index:251720704;mso-width-relative:page;mso-height-relative:page;" fillcolor="#FFFFFF" filled="t" stroked="t" coordsize="21600,21600" o:gfxdata="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s/Od9kAAAAJAQAA&#10;DwAAAAAAAAABACAAAAAiAAAAZHJzL2Rvd25yZXYueG1sUEsBAhQAFAAAAAgAh07iQNVCsKIYAgAA&#10;PQQAAA4AAAAAAAAAAQAgAAAAKAEAAGRycy9lMm9Eb2MueG1sUEsFBgAAAAAGAAYAWQEAALIFAAAA&#10;AA==&#10;">
                      <v:fill on="t" focussize="0,0"/>
                      <v:stroke color="#000000" joinstyle="miter"/>
                      <v:imagedata o:title=""/>
                      <o:lock v:ext="edit" aspectratio="f"/>
                      <v:textbox>
                        <w:txbxContent>
                          <w:p w14:paraId="0165BE77">
                            <w:pPr>
                              <w:pStyle w:val="25"/>
                              <w:ind w:left="0" w:leftChars="0" w:firstLine="0" w:firstLineChars="0"/>
                              <w:jc w:val="both"/>
                            </w:pPr>
                            <w:r>
                              <w:rPr>
                                <w:rFonts w:hint="eastAsia"/>
                              </w:rPr>
                              <w:t>软水箱</w:t>
                            </w:r>
                          </w:p>
                        </w:txbxContent>
                      </v:textbox>
                    </v:shape>
                  </w:pict>
                </mc:Fallback>
              </mc:AlternateContent>
            </w:r>
            <w:r>
              <w:rPr>
                <w:color w:val="auto"/>
                <w:sz w:val="24"/>
                <w:highlight w:val="none"/>
              </w:rPr>
              <mc:AlternateContent>
                <mc:Choice Requires="wps">
                  <w:drawing>
                    <wp:anchor distT="0" distB="0" distL="114300" distR="114300" simplePos="0" relativeHeight="251728896" behindDoc="0" locked="0" layoutInCell="1" allowOverlap="1">
                      <wp:simplePos x="0" y="0"/>
                      <wp:positionH relativeFrom="column">
                        <wp:posOffset>862965</wp:posOffset>
                      </wp:positionH>
                      <wp:positionV relativeFrom="paragraph">
                        <wp:posOffset>184785</wp:posOffset>
                      </wp:positionV>
                      <wp:extent cx="617855" cy="255270"/>
                      <wp:effectExtent l="0" t="0" r="0" b="0"/>
                      <wp:wrapNone/>
                      <wp:docPr id="70" name="自选图形 318"/>
                      <wp:cNvGraphicFramePr/>
                      <a:graphic xmlns:a="http://schemas.openxmlformats.org/drawingml/2006/main">
                        <a:graphicData uri="http://schemas.microsoft.com/office/word/2010/wordprocessingShape">
                          <wps:wsp>
                            <wps:cNvSpPr/>
                            <wps:spPr>
                              <a:xfrm>
                                <a:off x="0" y="0"/>
                                <a:ext cx="617855" cy="255270"/>
                              </a:xfrm>
                              <a:prstGeom prst="flowChartProcess">
                                <a:avLst/>
                              </a:prstGeom>
                              <a:noFill/>
                              <a:ln>
                                <a:noFill/>
                              </a:ln>
                            </wps:spPr>
                            <wps:txbx>
                              <w:txbxContent>
                                <w:p w14:paraId="5DA3FA3E">
                                  <w:pPr>
                                    <w:jc w:val="center"/>
                                    <w:rPr>
                                      <w:rFonts w:hint="default" w:eastAsia="宋体"/>
                                      <w:lang w:val="en-US" w:eastAsia="zh-CN"/>
                                    </w:rPr>
                                  </w:pPr>
                                  <w:r>
                                    <w:rPr>
                                      <w:rFonts w:hint="eastAsia"/>
                                      <w:lang w:val="en-US" w:eastAsia="zh-CN"/>
                                    </w:rPr>
                                    <w:t>30</w:t>
                                  </w:r>
                                </w:p>
                              </w:txbxContent>
                            </wps:txbx>
                            <wps:bodyPr upright="1"/>
                          </wps:wsp>
                        </a:graphicData>
                      </a:graphic>
                    </wp:anchor>
                  </w:drawing>
                </mc:Choice>
                <mc:Fallback>
                  <w:pict>
                    <v:shape id="自选图形 318" o:spid="_x0000_s1026" o:spt="109" type="#_x0000_t109" style="position:absolute;left:0pt;margin-left:67.95pt;margin-top:14.55pt;height:20.1pt;width:48.65pt;z-index:251728896;mso-width-relative:page;mso-height-relative:page;" filled="f" stroked="f" coordsize="21600,21600" o:gfxdata="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6GV5D1gAAAAkBAAAPAAAAAAAAAAEAIAAAACIAAABkcnMvZG93bnJldi54bWxQSwECFAAUAAAA&#10;CACHTuJAu5CslbcBAABVAwAADgAAAAAAAAABACAAAAAlAQAAZHJzL2Uyb0RvYy54bWxQSwUGAAAA&#10;AAYABgBZAQAATgUAAAAA&#10;">
                      <v:fill on="f" focussize="0,0"/>
                      <v:stroke on="f"/>
                      <v:imagedata o:title=""/>
                      <o:lock v:ext="edit" aspectratio="f"/>
                      <v:textbox>
                        <w:txbxContent>
                          <w:p w14:paraId="5DA3FA3E">
                            <w:pPr>
                              <w:jc w:val="center"/>
                              <w:rPr>
                                <w:rFonts w:hint="default" w:eastAsia="宋体"/>
                                <w:lang w:val="en-US" w:eastAsia="zh-CN"/>
                              </w:rPr>
                            </w:pPr>
                            <w:r>
                              <w:rPr>
                                <w:rFonts w:hint="eastAsia"/>
                                <w:lang w:val="en-US" w:eastAsia="zh-CN"/>
                              </w:rPr>
                              <w:t>30</w:t>
                            </w:r>
                          </w:p>
                        </w:txbxContent>
                      </v:textbox>
                    </v:shape>
                  </w:pict>
                </mc:Fallback>
              </mc:AlternateContent>
            </w:r>
          </w:p>
          <w:p w14:paraId="28907D7C">
            <w:pPr>
              <w:pStyle w:val="24"/>
              <w:adjustRightInd w:val="0"/>
              <w:snapToGrid w:val="0"/>
              <w:ind w:firstLine="480" w:firstLineChars="200"/>
              <w:rPr>
                <w:color w:val="auto"/>
                <w:kern w:val="24"/>
                <w:sz w:val="24"/>
                <w:highlight w:val="none"/>
              </w:rPr>
            </w:pPr>
            <w:r>
              <w:rPr>
                <w:color w:val="auto"/>
                <w:sz w:val="24"/>
                <w:highlight w:val="none"/>
              </w:rPr>
              <mc:AlternateContent>
                <mc:Choice Requires="wps">
                  <w:drawing>
                    <wp:anchor distT="0" distB="0" distL="114300" distR="114300" simplePos="0" relativeHeight="251723776" behindDoc="0" locked="0" layoutInCell="1" allowOverlap="1">
                      <wp:simplePos x="0" y="0"/>
                      <wp:positionH relativeFrom="column">
                        <wp:posOffset>3005455</wp:posOffset>
                      </wp:positionH>
                      <wp:positionV relativeFrom="paragraph">
                        <wp:posOffset>107315</wp:posOffset>
                      </wp:positionV>
                      <wp:extent cx="424815" cy="635"/>
                      <wp:effectExtent l="0" t="37465" r="13335" b="38100"/>
                      <wp:wrapNone/>
                      <wp:docPr id="65" name="直线 319"/>
                      <wp:cNvGraphicFramePr/>
                      <a:graphic xmlns:a="http://schemas.openxmlformats.org/drawingml/2006/main">
                        <a:graphicData uri="http://schemas.microsoft.com/office/word/2010/wordprocessingShape">
                          <wps:wsp>
                            <wps:cNvCnPr/>
                            <wps:spPr>
                              <a:xfrm>
                                <a:off x="0" y="0"/>
                                <a:ext cx="42481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19" o:spid="_x0000_s1026" o:spt="20" style="position:absolute;left:0pt;margin-left:236.65pt;margin-top:8.45pt;height:0.05pt;width:33.45pt;z-index:251723776;mso-width-relative:page;mso-height-relative:page;" filled="f" stroked="t" coordsize="21600,21600" o:gfxdata="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Oua03aAAAACQEAAA8AAAAAAAAAAQAgAAAAIgAAAGRycy9kb3ducmV2LnhtbFBLAQIU&#10;ABQAAAAIAIdO4kDbphaJ8QEAAOMDAAAOAAAAAAAAAAEAIAAAACkBAABkcnMvZTJvRG9jLnhtbFBL&#10;BQYAAAAABgAGAFkBAACMBQ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721728" behindDoc="0" locked="0" layoutInCell="1" allowOverlap="1">
                      <wp:simplePos x="0" y="0"/>
                      <wp:positionH relativeFrom="column">
                        <wp:posOffset>2125980</wp:posOffset>
                      </wp:positionH>
                      <wp:positionV relativeFrom="paragraph">
                        <wp:posOffset>124460</wp:posOffset>
                      </wp:positionV>
                      <wp:extent cx="376555" cy="635"/>
                      <wp:effectExtent l="0" t="37465" r="4445" b="38100"/>
                      <wp:wrapNone/>
                      <wp:docPr id="63" name="直线 320"/>
                      <wp:cNvGraphicFramePr/>
                      <a:graphic xmlns:a="http://schemas.openxmlformats.org/drawingml/2006/main">
                        <a:graphicData uri="http://schemas.microsoft.com/office/word/2010/wordprocessingShape">
                          <wps:wsp>
                            <wps:cNvCnPr/>
                            <wps:spPr>
                              <a:xfrm>
                                <a:off x="0" y="0"/>
                                <a:ext cx="37655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0" o:spid="_x0000_s1026" o:spt="20" style="position:absolute;left:0pt;margin-left:167.4pt;margin-top:9.8pt;height:0.05pt;width:29.65pt;z-index:251721728;mso-width-relative:page;mso-height-relative:page;" filled="f" stroked="t" coordsize="21600,21600" o:gfxdata="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9OctdoAAAAJAQAADwAAAAAAAAABACAAAAAiAAAAZHJzL2Rvd25yZXYueG1sUEsBAhQA&#10;FAAAAAgAh07iQGkpAjnwAQAA4wMAAA4AAAAAAAAAAQAgAAAAKQEAAGRycy9lMm9Eb2MueG1sUEsF&#10;BgAAAAAGAAYAWQEAAIsFA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719680" behindDoc="0" locked="0" layoutInCell="1" allowOverlap="1">
                      <wp:simplePos x="0" y="0"/>
                      <wp:positionH relativeFrom="column">
                        <wp:posOffset>1034415</wp:posOffset>
                      </wp:positionH>
                      <wp:positionV relativeFrom="paragraph">
                        <wp:posOffset>144780</wp:posOffset>
                      </wp:positionV>
                      <wp:extent cx="403860" cy="635"/>
                      <wp:effectExtent l="0" t="37465" r="15240" b="38100"/>
                      <wp:wrapNone/>
                      <wp:docPr id="61" name="直线 321"/>
                      <wp:cNvGraphicFramePr/>
                      <a:graphic xmlns:a="http://schemas.openxmlformats.org/drawingml/2006/main">
                        <a:graphicData uri="http://schemas.microsoft.com/office/word/2010/wordprocessingShape">
                          <wps:wsp>
                            <wps:cNvCnPr/>
                            <wps:spPr>
                              <a:xfrm>
                                <a:off x="0" y="0"/>
                                <a:ext cx="40386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1" o:spid="_x0000_s1026" o:spt="20" style="position:absolute;left:0pt;margin-left:81.45pt;margin-top:11.4pt;height:0.05pt;width:31.8pt;z-index:251719680;mso-width-relative:page;mso-height-relative:page;" filled="f" stroked="t" coordsize="21600,21600" o:gfxdata="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z0jpPYAAAACQEAAA8AAAAAAAAAAQAgAAAAIgAAAGRycy9kb3ducmV2LnhtbFBLAQIUABQA&#10;AAAIAIdO4kDpUwnX8AEAAOMDAAAOAAAAAAAAAAEAIAAAACcBAABkcnMvZTJvRG9jLnhtbFBLBQYA&#10;AAAABgAGAFkBAACJBQAAAAA=&#10;">
                      <v:fill on="f" focussize="0,0"/>
                      <v:stroke color="#000000" joinstyle="round" endarrow="block"/>
                      <v:imagedata o:title=""/>
                      <o:lock v:ext="edit" aspectratio="f"/>
                    </v:line>
                  </w:pict>
                </mc:Fallback>
              </mc:AlternateContent>
            </w:r>
            <w:r>
              <w:rPr>
                <w:color w:val="auto"/>
                <w:sz w:val="24"/>
                <w:highlight w:val="none"/>
              </w:rPr>
              <mc:AlternateContent>
                <mc:Choice Requires="wps">
                  <w:drawing>
                    <wp:anchor distT="0" distB="0" distL="114300" distR="114300" simplePos="0" relativeHeight="251718656" behindDoc="0" locked="0" layoutInCell="1" allowOverlap="1">
                      <wp:simplePos x="0" y="0"/>
                      <wp:positionH relativeFrom="column">
                        <wp:posOffset>241300</wp:posOffset>
                      </wp:positionH>
                      <wp:positionV relativeFrom="paragraph">
                        <wp:posOffset>17145</wp:posOffset>
                      </wp:positionV>
                      <wp:extent cx="782320" cy="255270"/>
                      <wp:effectExtent l="5080" t="5080" r="12700" b="6350"/>
                      <wp:wrapNone/>
                      <wp:docPr id="60" name="自选图形 322"/>
                      <wp:cNvGraphicFramePr/>
                      <a:graphic xmlns:a="http://schemas.openxmlformats.org/drawingml/2006/main">
                        <a:graphicData uri="http://schemas.microsoft.com/office/word/2010/wordprocessingShape">
                          <wps:wsp>
                            <wps:cNvSpPr/>
                            <wps:spPr>
                              <a:xfrm>
                                <a:off x="0" y="0"/>
                                <a:ext cx="782320" cy="2552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35BFF84">
                                  <w:pPr>
                                    <w:jc w:val="center"/>
                                  </w:pPr>
                                  <w:r>
                                    <w:rPr>
                                      <w:rFonts w:hint="eastAsia"/>
                                    </w:rPr>
                                    <w:t>软水</w:t>
                                  </w:r>
                                </w:p>
                              </w:txbxContent>
                            </wps:txbx>
                            <wps:bodyPr upright="1"/>
                          </wps:wsp>
                        </a:graphicData>
                      </a:graphic>
                    </wp:anchor>
                  </w:drawing>
                </mc:Choice>
                <mc:Fallback>
                  <w:pict>
                    <v:shape id="自选图形 322" o:spid="_x0000_s1026" o:spt="109" type="#_x0000_t109" style="position:absolute;left:0pt;margin-left:19pt;margin-top:1.35pt;height:20.1pt;width:61.6pt;z-index:251718656;mso-width-relative:page;mso-height-relative:page;" fillcolor="#FFFFFF" filled="t" stroked="t" coordsize="21600,21600" o:gfxdata="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oFXx7XAAAABwEAAA8A&#10;AAAAAAAAAQAgAAAAIgAAAGRycy9kb3ducmV2LnhtbFBLAQIUABQAAAAIAIdO4kCuwFJhGAIAAD0E&#10;AAAOAAAAAAAAAAEAIAAAACYBAABkcnMvZTJvRG9jLnhtbFBLBQYAAAAABgAGAFkBAACwBQAAAAA=&#10;">
                      <v:fill on="t" focussize="0,0"/>
                      <v:stroke color="#000000" joinstyle="miter"/>
                      <v:imagedata o:title=""/>
                      <o:lock v:ext="edit" aspectratio="f"/>
                      <v:textbox>
                        <w:txbxContent>
                          <w:p w14:paraId="735BFF84">
                            <w:pPr>
                              <w:jc w:val="center"/>
                            </w:pPr>
                            <w:r>
                              <w:rPr>
                                <w:rFonts w:hint="eastAsia"/>
                              </w:rPr>
                              <w:t>软水</w:t>
                            </w:r>
                          </w:p>
                        </w:txbxContent>
                      </v:textbox>
                    </v:shape>
                  </w:pict>
                </mc:Fallback>
              </mc:AlternateContent>
            </w:r>
          </w:p>
          <w:p w14:paraId="28E002C5">
            <w:pPr>
              <w:pStyle w:val="24"/>
              <w:adjustRightInd w:val="0"/>
              <w:snapToGrid w:val="0"/>
              <w:ind w:firstLine="480" w:firstLineChars="200"/>
              <w:rPr>
                <w:color w:val="auto"/>
                <w:kern w:val="24"/>
                <w:sz w:val="24"/>
                <w:highlight w:val="none"/>
              </w:rPr>
            </w:pPr>
          </w:p>
          <w:p w14:paraId="6B4179BF">
            <w:pPr>
              <w:adjustRightInd w:val="0"/>
              <w:snapToGrid w:val="0"/>
              <w:spacing w:line="360" w:lineRule="auto"/>
              <w:jc w:val="center"/>
              <w:rPr>
                <w:b/>
                <w:bCs/>
                <w:color w:val="auto"/>
                <w:sz w:val="24"/>
                <w:highlight w:val="none"/>
              </w:rPr>
            </w:pPr>
            <w:r>
              <w:rPr>
                <w:b/>
                <w:color w:val="auto"/>
                <w:kern w:val="24"/>
                <w:szCs w:val="21"/>
                <w:highlight w:val="none"/>
              </w:rPr>
              <w:t>图</w:t>
            </w:r>
            <w:r>
              <w:rPr>
                <w:rFonts w:hint="eastAsia"/>
                <w:b/>
                <w:color w:val="auto"/>
                <w:kern w:val="24"/>
                <w:szCs w:val="21"/>
                <w:highlight w:val="none"/>
              </w:rPr>
              <w:t>2-</w:t>
            </w:r>
            <w:r>
              <w:rPr>
                <w:rFonts w:hint="eastAsia"/>
                <w:b/>
                <w:color w:val="auto"/>
                <w:kern w:val="24"/>
                <w:szCs w:val="21"/>
                <w:highlight w:val="none"/>
                <w:lang w:val="en-US" w:eastAsia="zh-CN"/>
              </w:rPr>
              <w:t xml:space="preserve">6 </w:t>
            </w:r>
            <w:r>
              <w:rPr>
                <w:b/>
                <w:color w:val="auto"/>
                <w:kern w:val="24"/>
                <w:szCs w:val="21"/>
                <w:highlight w:val="none"/>
              </w:rPr>
              <w:t xml:space="preserve"> </w:t>
            </w:r>
            <w:r>
              <w:rPr>
                <w:rFonts w:hint="eastAsia"/>
                <w:b/>
                <w:color w:val="auto"/>
                <w:kern w:val="24"/>
                <w:szCs w:val="21"/>
                <w:highlight w:val="none"/>
                <w:lang w:val="en-US" w:eastAsia="zh-CN"/>
              </w:rPr>
              <w:t>依托项目</w:t>
            </w:r>
            <w:r>
              <w:rPr>
                <w:rFonts w:hint="eastAsia"/>
                <w:b/>
                <w:color w:val="auto"/>
                <w:kern w:val="24"/>
                <w:szCs w:val="21"/>
                <w:highlight w:val="none"/>
              </w:rPr>
              <w:t>蒸汽平衡图</w:t>
            </w:r>
            <w:r>
              <w:rPr>
                <w:b/>
                <w:color w:val="auto"/>
                <w:kern w:val="24"/>
                <w:szCs w:val="21"/>
                <w:highlight w:val="none"/>
              </w:rPr>
              <w:t xml:space="preserve">  单位：</w:t>
            </w:r>
            <w:r>
              <w:rPr>
                <w:rFonts w:hint="eastAsia"/>
                <w:b/>
                <w:color w:val="auto"/>
                <w:kern w:val="24"/>
                <w:szCs w:val="21"/>
                <w:highlight w:val="none"/>
              </w:rPr>
              <w:t>m</w:t>
            </w:r>
            <w:r>
              <w:rPr>
                <w:rFonts w:hint="eastAsia"/>
                <w:b/>
                <w:color w:val="auto"/>
                <w:kern w:val="24"/>
                <w:szCs w:val="21"/>
                <w:highlight w:val="none"/>
                <w:vertAlign w:val="superscript"/>
              </w:rPr>
              <w:t>3</w:t>
            </w:r>
            <w:r>
              <w:rPr>
                <w:rFonts w:hint="eastAsia"/>
                <w:b/>
                <w:color w:val="auto"/>
                <w:kern w:val="24"/>
                <w:szCs w:val="21"/>
                <w:highlight w:val="none"/>
              </w:rPr>
              <w:t>/d</w:t>
            </w:r>
          </w:p>
          <w:p w14:paraId="523A7D8B">
            <w:pPr>
              <w:pStyle w:val="33"/>
              <w:numPr>
                <w:ilvl w:val="0"/>
                <w:numId w:val="0"/>
              </w:numPr>
              <w:spacing w:line="360" w:lineRule="auto"/>
              <w:rPr>
                <w:rFonts w:hint="default" w:ascii="Times New Roman" w:eastAsia="宋体" w:cs="Times New Roman"/>
                <w:b/>
                <w:bCs/>
                <w:color w:val="auto"/>
                <w:kern w:val="2"/>
                <w:sz w:val="24"/>
                <w:szCs w:val="24"/>
                <w:lang w:val="en-US" w:eastAsia="zh-CN" w:bidi="ar-SA"/>
              </w:rPr>
            </w:pPr>
            <w:r>
              <w:rPr>
                <w:rFonts w:hint="eastAsia" w:ascii="Times New Roman" w:eastAsia="宋体" w:cs="Times New Roman"/>
                <w:b/>
                <w:bCs/>
                <w:color w:val="auto"/>
                <w:kern w:val="2"/>
                <w:sz w:val="24"/>
                <w:szCs w:val="24"/>
                <w:lang w:val="en-US" w:eastAsia="zh-CN" w:bidi="ar-SA"/>
              </w:rPr>
              <w:t>6、</w:t>
            </w:r>
            <w:r>
              <w:rPr>
                <w:rFonts w:hint="eastAsia" w:ascii="宋体" w:hAnsi="宋体" w:cs="宋体"/>
                <w:b/>
                <w:bCs/>
                <w:color w:val="auto"/>
                <w:sz w:val="24"/>
                <w:szCs w:val="24"/>
                <w:lang w:val="en-US" w:eastAsia="zh-CN"/>
              </w:rPr>
              <w:t>依托</w:t>
            </w:r>
            <w:r>
              <w:rPr>
                <w:rFonts w:hint="eastAsia" w:ascii="宋体" w:hAnsi="宋体" w:eastAsia="宋体" w:cs="宋体"/>
                <w:b/>
                <w:bCs/>
                <w:color w:val="auto"/>
                <w:sz w:val="24"/>
                <w:szCs w:val="24"/>
                <w:lang w:val="en-US" w:eastAsia="zh-CN"/>
              </w:rPr>
              <w:t>项目污染物产排情况如下</w:t>
            </w:r>
          </w:p>
          <w:p w14:paraId="081AB6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0"/>
                <w:sz w:val="24"/>
                <w:szCs w:val="24"/>
                <w:lang w:eastAsia="zh-CN"/>
              </w:rPr>
            </w:pPr>
            <w:r>
              <w:rPr>
                <w:rFonts w:hint="eastAsia" w:ascii="Times New Roman" w:hAnsi="Times New Roman" w:cs="Times New Roman"/>
                <w:b/>
                <w:bCs/>
                <w:color w:val="auto"/>
                <w:kern w:val="0"/>
                <w:sz w:val="24"/>
                <w:szCs w:val="24"/>
                <w:lang w:val="en-US" w:eastAsia="zh-CN"/>
              </w:rPr>
              <w:t>（1）</w:t>
            </w:r>
            <w:r>
              <w:rPr>
                <w:rFonts w:hint="eastAsia" w:ascii="宋体" w:hAnsi="宋体" w:cs="宋体"/>
                <w:b/>
                <w:bCs/>
                <w:color w:val="auto"/>
                <w:sz w:val="24"/>
                <w:szCs w:val="24"/>
                <w:lang w:val="en-US" w:eastAsia="zh-CN"/>
              </w:rPr>
              <w:t>依托</w:t>
            </w: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lang w:eastAsia="zh-CN"/>
              </w:rPr>
              <w:t>废气</w:t>
            </w:r>
            <w:r>
              <w:rPr>
                <w:rFonts w:hint="eastAsia" w:ascii="宋体" w:hAnsi="宋体" w:cs="宋体"/>
                <w:b/>
                <w:color w:val="auto"/>
                <w:sz w:val="24"/>
                <w:szCs w:val="24"/>
                <w:lang w:eastAsia="zh-CN"/>
              </w:rPr>
              <w:t>产生及排放情况</w:t>
            </w:r>
          </w:p>
          <w:p w14:paraId="1D0855BF">
            <w:pPr>
              <w:pStyle w:val="33"/>
              <w:numPr>
                <w:ilvl w:val="0"/>
                <w:numId w:val="0"/>
              </w:numPr>
              <w:spacing w:line="360" w:lineRule="auto"/>
              <w:rPr>
                <w:rFonts w:hint="default" w:ascii="宋体" w:hAnsi="宋体" w:eastAsia="宋体" w:cs="宋体"/>
                <w:color w:val="auto"/>
                <w:kern w:val="2"/>
                <w:sz w:val="24"/>
                <w:szCs w:val="24"/>
                <w:lang w:val="en-US" w:eastAsia="zh-CN" w:bidi="ar-SA"/>
              </w:rPr>
            </w:pPr>
            <w:r>
              <w:rPr>
                <w:rFonts w:hint="eastAsia" w:ascii="Times New Roman" w:eastAsia="宋体" w:cs="Times New Roman"/>
                <w:color w:val="auto"/>
                <w:lang w:val="en-US" w:eastAsia="zh-CN"/>
              </w:rPr>
              <w:t xml:space="preserve">  </w:t>
            </w:r>
            <w:r>
              <w:rPr>
                <w:rFonts w:hint="eastAsia" w:cs="Times New Roman"/>
                <w:color w:val="auto"/>
                <w:lang w:val="en-US" w:eastAsia="zh-CN"/>
              </w:rPr>
              <w:t xml:space="preserve"> </w:t>
            </w:r>
            <w:r>
              <w:rPr>
                <w:rFonts w:hint="eastAsia" w:ascii="Times New Roman" w:eastAsia="宋体" w:cs="Times New Roman"/>
                <w:color w:val="auto"/>
                <w:lang w:val="en-US" w:eastAsia="zh-CN"/>
              </w:rPr>
              <w:t xml:space="preserve"> </w:t>
            </w:r>
            <w:r>
              <w:rPr>
                <w:rFonts w:hint="eastAsia" w:ascii="Times New Roman" w:eastAsia="宋体" w:cs="Times New Roman"/>
                <w:b w:val="0"/>
                <w:bCs w:val="0"/>
                <w:color w:val="auto"/>
                <w:lang w:val="en-US" w:eastAsia="zh-CN"/>
              </w:rPr>
              <w:t>①</w:t>
            </w:r>
            <w:r>
              <w:rPr>
                <w:rFonts w:hint="eastAsia" w:cs="Times New Roman"/>
                <w:b w:val="0"/>
                <w:bCs w:val="0"/>
                <w:color w:val="auto"/>
                <w:lang w:val="en-US" w:eastAsia="zh-CN"/>
              </w:rPr>
              <w:t>生物质</w:t>
            </w:r>
            <w:r>
              <w:rPr>
                <w:rFonts w:hint="eastAsia" w:ascii="宋体" w:hAnsi="宋体" w:eastAsia="宋体" w:cs="宋体"/>
                <w:color w:val="auto"/>
                <w:kern w:val="2"/>
                <w:sz w:val="24"/>
                <w:szCs w:val="24"/>
                <w:lang w:val="en-US" w:eastAsia="zh-CN" w:bidi="ar-SA"/>
              </w:rPr>
              <w:t>锅炉废气</w:t>
            </w:r>
          </w:p>
          <w:p w14:paraId="5FCD60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宋体" w:hAnsi="宋体" w:eastAsia="宋体" w:cs="宋体"/>
                <w:color w:val="auto"/>
                <w:kern w:val="2"/>
                <w:sz w:val="24"/>
                <w:szCs w:val="24"/>
                <w:lang w:val="en-US" w:eastAsia="zh-CN" w:bidi="ar-SA"/>
              </w:rPr>
              <w:t xml:space="preserve"> 依托项目采用1台4t生物质锅炉供汽，锅炉全年运行250天，每天8小时，年运行2000小时，锅炉废气通过35m高的排气筒排放。根</w:t>
            </w:r>
            <w:r>
              <w:rPr>
                <w:rFonts w:hint="eastAsia" w:ascii="宋体" w:hAnsi="宋体" w:eastAsia="宋体" w:cs="宋体"/>
                <w:color w:val="auto"/>
                <w:sz w:val="24"/>
                <w:szCs w:val="24"/>
                <w:lang w:val="en-US" w:eastAsia="zh-CN"/>
              </w:rPr>
              <w:t>据</w:t>
            </w:r>
            <w:r>
              <w:rPr>
                <w:rFonts w:hint="eastAsia" w:ascii="宋体" w:hAnsi="宋体" w:cs="宋体"/>
                <w:color w:val="auto"/>
                <w:sz w:val="24"/>
                <w:szCs w:val="24"/>
                <w:lang w:val="en-US" w:eastAsia="zh-CN"/>
              </w:rPr>
              <w:t>《玉溪市恒威商贸有限公司迁建年产4万立方米泡沫塑料及塑料制品生产线项目竣工环境保护验收监测</w:t>
            </w:r>
            <w:r>
              <w:rPr>
                <w:rFonts w:hint="eastAsia" w:ascii="宋体" w:hAnsi="宋体" w:eastAsia="宋体" w:cs="宋体"/>
                <w:color w:val="auto"/>
                <w:sz w:val="24"/>
                <w:szCs w:val="24"/>
                <w:lang w:val="en-US" w:eastAsia="zh-CN"/>
              </w:rPr>
              <w:t>报告</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2018年12月18日至12月19日，云南清源环境科技有限公司对项目锅炉废气排放口排放的废气进行了监测。根据验收监测结果，锅炉废气排放口颗粒物排放浓度为</w:t>
            </w:r>
            <w:r>
              <w:rPr>
                <w:rFonts w:hint="default" w:ascii="Times New Roman" w:hAnsi="Times New Roman" w:cs="Times New Roman"/>
                <w:color w:val="auto"/>
                <w:sz w:val="24"/>
                <w:szCs w:val="24"/>
                <w:lang w:val="en-US" w:eastAsia="zh-CN"/>
              </w:rPr>
              <w:t>37.1~49.7mg/m³，SO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vertAlign w:val="baseline"/>
                <w:lang w:val="en-US" w:eastAsia="zh-CN"/>
              </w:rPr>
              <w:t>排放浓度为21~35mg/m³，氮氧化物排放浓度监测范围为138~222mg/m³，</w:t>
            </w:r>
            <w:r>
              <w:rPr>
                <w:rFonts w:hint="eastAsia" w:ascii="Times New Roman" w:hAnsi="Times New Roman" w:cs="Times New Roman"/>
                <w:color w:val="auto"/>
                <w:sz w:val="24"/>
                <w:szCs w:val="24"/>
                <w:vertAlign w:val="baseline"/>
                <w:lang w:val="en-US" w:eastAsia="zh-CN"/>
              </w:rPr>
              <w:t>林格曼烟气黑度＜1，</w:t>
            </w:r>
            <w:r>
              <w:rPr>
                <w:rFonts w:hint="default" w:ascii="Times New Roman" w:hAnsi="Times New Roman" w:eastAsia="宋体" w:cs="Times New Roman"/>
                <w:b w:val="0"/>
                <w:bCs w:val="0"/>
                <w:color w:val="auto"/>
                <w:sz w:val="24"/>
                <w:szCs w:val="24"/>
                <w:lang w:val="en-US" w:eastAsia="zh-CN"/>
              </w:rPr>
              <w:t>能够满足《锅炉大气污染物排放标准》（GB13271-2014）表2中新建燃煤锅炉大气污染物排放限值。根据监测结果核算，项目</w:t>
            </w:r>
            <w:r>
              <w:rPr>
                <w:rFonts w:hint="eastAsia" w:cs="Times New Roman"/>
                <w:b w:val="0"/>
                <w:bCs w:val="0"/>
                <w:color w:val="auto"/>
                <w:sz w:val="24"/>
                <w:szCs w:val="24"/>
                <w:lang w:val="en-US" w:eastAsia="zh-CN"/>
              </w:rPr>
              <w:t>锅炉</w:t>
            </w:r>
            <w:r>
              <w:rPr>
                <w:rFonts w:hint="default" w:ascii="Times New Roman" w:hAnsi="Times New Roman" w:eastAsia="宋体" w:cs="Times New Roman"/>
                <w:b w:val="0"/>
                <w:bCs w:val="0"/>
                <w:color w:val="auto"/>
                <w:sz w:val="24"/>
                <w:szCs w:val="24"/>
                <w:lang w:val="en-US" w:eastAsia="zh-CN"/>
              </w:rPr>
              <w:t>主要污染物排放量为</w:t>
            </w:r>
            <w:r>
              <w:rPr>
                <w:rFonts w:hint="default" w:ascii="Times New Roman" w:hAnsi="Times New Roman" w:cs="Times New Roman"/>
                <w:b w:val="0"/>
                <w:bCs w:val="0"/>
                <w:color w:val="auto"/>
                <w:sz w:val="24"/>
                <w:szCs w:val="24"/>
                <w:lang w:val="en-US" w:eastAsia="zh-CN"/>
              </w:rPr>
              <w:t>颗粒物：0.</w:t>
            </w:r>
            <w:r>
              <w:rPr>
                <w:rFonts w:hint="eastAsia" w:cs="Times New Roman"/>
                <w:b w:val="0"/>
                <w:bCs w:val="0"/>
                <w:color w:val="auto"/>
                <w:sz w:val="24"/>
                <w:szCs w:val="24"/>
                <w:lang w:val="en-US" w:eastAsia="zh-CN"/>
              </w:rPr>
              <w:t>202</w:t>
            </w:r>
            <w:r>
              <w:rPr>
                <w:rFonts w:hint="default" w:ascii="Times New Roman" w:hAnsi="Times New Roman" w:eastAsia="宋体" w:cs="Times New Roman"/>
                <w:b w:val="0"/>
                <w:bCs w:val="0"/>
                <w:color w:val="auto"/>
                <w:sz w:val="24"/>
                <w:szCs w:val="24"/>
                <w:lang w:val="en-US" w:eastAsia="zh-CN"/>
              </w:rPr>
              <w:t>t/a、SO</w:t>
            </w:r>
            <w:r>
              <w:rPr>
                <w:rFonts w:hint="default" w:ascii="Times New Roman" w:hAnsi="Times New Roman" w:eastAsia="宋体" w:cs="Times New Roman"/>
                <w:b w:val="0"/>
                <w:bCs w:val="0"/>
                <w:color w:val="auto"/>
                <w:sz w:val="24"/>
                <w:szCs w:val="24"/>
                <w:vertAlign w:val="subscript"/>
                <w:lang w:val="en-US" w:eastAsia="zh-CN"/>
              </w:rPr>
              <w:t>2</w:t>
            </w:r>
            <w:r>
              <w:rPr>
                <w:rFonts w:hint="default" w:ascii="Times New Roman" w:hAnsi="Times New Roman" w:cs="Times New Roman"/>
                <w:b w:val="0"/>
                <w:bCs w:val="0"/>
                <w:color w:val="auto"/>
                <w:sz w:val="24"/>
                <w:szCs w:val="24"/>
                <w:vertAlign w:val="baseline"/>
                <w:lang w:val="en-US" w:eastAsia="zh-CN"/>
              </w:rPr>
              <w:t>：</w:t>
            </w:r>
            <w:r>
              <w:rPr>
                <w:rFonts w:hint="default" w:ascii="Times New Roman" w:hAnsi="Times New Roman" w:eastAsia="宋体" w:cs="Times New Roman"/>
                <w:b w:val="0"/>
                <w:bCs w:val="0"/>
                <w:color w:val="auto"/>
                <w:sz w:val="24"/>
                <w:szCs w:val="24"/>
                <w:lang w:val="en-US" w:eastAsia="zh-CN"/>
              </w:rPr>
              <w:t>0.</w:t>
            </w:r>
            <w:r>
              <w:rPr>
                <w:rFonts w:hint="eastAsia" w:cs="Times New Roman"/>
                <w:b w:val="0"/>
                <w:bCs w:val="0"/>
                <w:color w:val="auto"/>
                <w:sz w:val="24"/>
                <w:szCs w:val="24"/>
                <w:lang w:val="en-US" w:eastAsia="zh-CN"/>
              </w:rPr>
              <w:t>135</w:t>
            </w:r>
            <w:r>
              <w:rPr>
                <w:rFonts w:hint="default" w:ascii="Times New Roman" w:hAnsi="Times New Roman" w:eastAsia="宋体" w:cs="Times New Roman"/>
                <w:b w:val="0"/>
                <w:bCs w:val="0"/>
                <w:color w:val="auto"/>
                <w:sz w:val="24"/>
                <w:szCs w:val="24"/>
                <w:lang w:val="en-US" w:eastAsia="zh-CN"/>
              </w:rPr>
              <w:t>t/a、NOx</w:t>
            </w:r>
            <w:r>
              <w:rPr>
                <w:rFonts w:hint="default"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0.81</w:t>
            </w:r>
            <w:r>
              <w:rPr>
                <w:rFonts w:hint="default" w:ascii="Times New Roman" w:hAnsi="Times New Roman" w:eastAsia="宋体" w:cs="Times New Roman"/>
                <w:b w:val="0"/>
                <w:bCs w:val="0"/>
                <w:color w:val="auto"/>
                <w:sz w:val="24"/>
                <w:szCs w:val="24"/>
                <w:lang w:val="en-US" w:eastAsia="zh-CN"/>
              </w:rPr>
              <w:t>t/a</w:t>
            </w:r>
            <w:r>
              <w:rPr>
                <w:rFonts w:hint="default" w:ascii="Times New Roman" w:hAnsi="Times New Roman" w:cs="Times New Roman"/>
                <w:b w:val="0"/>
                <w:bCs w:val="0"/>
                <w:color w:val="auto"/>
                <w:sz w:val="24"/>
                <w:szCs w:val="24"/>
                <w:lang w:val="en-US" w:eastAsia="zh-CN"/>
              </w:rPr>
              <w:t>，</w:t>
            </w:r>
            <w:r>
              <w:rPr>
                <w:rFonts w:hint="default" w:ascii="Times New Roman" w:hAnsi="Times New Roman" w:cs="Times New Roman"/>
                <w:color w:val="auto"/>
                <w:sz w:val="24"/>
                <w:highlight w:val="none"/>
                <w:lang w:eastAsia="zh-CN"/>
              </w:rPr>
              <w:t>蒸汽发生器</w:t>
            </w:r>
            <w:r>
              <w:rPr>
                <w:rFonts w:hint="default" w:ascii="Times New Roman" w:hAnsi="Times New Roman" w:cs="Times New Roman"/>
                <w:color w:val="auto"/>
                <w:sz w:val="24"/>
                <w:highlight w:val="none"/>
              </w:rPr>
              <w:t>烟气产生量为</w:t>
            </w:r>
            <w:r>
              <w:rPr>
                <w:rFonts w:hint="eastAsia" w:cs="Times New Roman"/>
                <w:color w:val="auto"/>
                <w:kern w:val="24"/>
                <w:sz w:val="24"/>
                <w:highlight w:val="none"/>
                <w:lang w:val="en-US" w:eastAsia="zh-CN"/>
              </w:rPr>
              <w:t>1026.9</w:t>
            </w:r>
            <w:r>
              <w:rPr>
                <w:rFonts w:hint="default" w:ascii="Times New Roman" w:hAnsi="Times New Roman" w:cs="Times New Roman"/>
                <w:color w:val="auto"/>
                <w:kern w:val="24"/>
                <w:sz w:val="24"/>
                <w:highlight w:val="none"/>
              </w:rPr>
              <w:t>万m</w:t>
            </w:r>
            <w:r>
              <w:rPr>
                <w:rFonts w:hint="default" w:ascii="Times New Roman" w:hAnsi="Times New Roman" w:cs="Times New Roman"/>
                <w:color w:val="auto"/>
                <w:kern w:val="24"/>
                <w:sz w:val="24"/>
                <w:highlight w:val="none"/>
                <w:vertAlign w:val="superscript"/>
              </w:rPr>
              <w:t>3</w:t>
            </w:r>
            <w:r>
              <w:rPr>
                <w:rFonts w:hint="default" w:ascii="Times New Roman" w:hAnsi="Times New Roman" w:cs="Times New Roman"/>
                <w:color w:val="auto"/>
                <w:kern w:val="24"/>
                <w:sz w:val="24"/>
                <w:highlight w:val="none"/>
              </w:rPr>
              <w:t>/a</w:t>
            </w:r>
            <w:r>
              <w:rPr>
                <w:rFonts w:hint="default" w:ascii="Times New Roman" w:hAnsi="Times New Roman" w:cs="Times New Roman"/>
                <w:color w:val="auto"/>
                <w:kern w:val="24"/>
                <w:sz w:val="24"/>
                <w:highlight w:val="none"/>
                <w:lang w:eastAsia="zh-CN"/>
              </w:rPr>
              <w:t>。</w:t>
            </w:r>
          </w:p>
          <w:p w14:paraId="38521A11">
            <w:pPr>
              <w:pStyle w:val="33"/>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w:t>
            </w:r>
            <w:r>
              <w:rPr>
                <w:rFonts w:hint="eastAsia" w:ascii="宋体" w:hAnsi="宋体" w:cs="宋体"/>
                <w:color w:val="auto"/>
                <w:sz w:val="24"/>
                <w:szCs w:val="24"/>
                <w:lang w:val="en-US" w:eastAsia="zh-CN"/>
              </w:rPr>
              <w:t>生产异味（非甲烷总烃）</w:t>
            </w:r>
          </w:p>
          <w:p w14:paraId="6714BF40">
            <w:pPr>
              <w:pStyle w:val="33"/>
              <w:spacing w:line="360" w:lineRule="auto"/>
              <w:ind w:firstLine="48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托项目由于生产原料为可挥发性聚乙烯树脂，因此生产过程中会产生非甲烷总烃。根据《玉溪市恒威商贸有限公司迁建年产4万立方米泡沫塑料及塑料制品生产线项目竣工环境保护验收监测报告》，2018年12月18日至12月19日，云南清源环境科技有限公司对项目厂区无组织排放的废气（非甲烷总烃）进行了监测。根据验收监测结果，项目厂区无组织排放的废气（非甲烷总烃）的排放浓度</w:t>
            </w:r>
            <w:r>
              <w:rPr>
                <w:rFonts w:hint="default" w:ascii="Times New Roman" w:hAnsi="Times New Roman" w:eastAsia="宋体" w:cs="Times New Roman"/>
                <w:color w:val="auto"/>
                <w:kern w:val="2"/>
                <w:sz w:val="24"/>
                <w:szCs w:val="24"/>
                <w:lang w:val="en-US" w:eastAsia="zh-CN" w:bidi="ar-SA"/>
              </w:rPr>
              <w:t>0.35mg/m³~1.57mg/m³</w:t>
            </w:r>
            <w:r>
              <w:rPr>
                <w:rFonts w:hint="eastAsia" w:ascii="宋体" w:hAnsi="宋体" w:eastAsia="宋体" w:cs="宋体"/>
                <w:color w:val="auto"/>
                <w:kern w:val="2"/>
                <w:sz w:val="24"/>
                <w:szCs w:val="24"/>
                <w:lang w:val="en-US" w:eastAsia="zh-CN" w:bidi="ar-SA"/>
              </w:rPr>
              <w:t>，满足GB16297-1996《大气污染物综合排放标准》表2中非甲烷总烃排放浓度限值标准。</w:t>
            </w:r>
          </w:p>
          <w:p w14:paraId="5525372F">
            <w:pPr>
              <w:pStyle w:val="33"/>
              <w:numPr>
                <w:ilvl w:val="0"/>
                <w:numId w:val="0"/>
              </w:numPr>
              <w:spacing w:line="360" w:lineRule="auto"/>
              <w:rPr>
                <w:rFonts w:hint="default" w:ascii="Times New Roman" w:eastAsia="宋体" w:cs="Times New Roman"/>
                <w:color w:val="auto"/>
                <w:lang w:val="en-US" w:eastAsia="zh-CN"/>
              </w:rPr>
            </w:pPr>
            <w:r>
              <w:rPr>
                <w:rFonts w:hint="eastAsia" w:ascii="Times New Roman" w:eastAsia="宋体" w:cs="Times New Roman"/>
                <w:color w:val="auto"/>
                <w:lang w:val="en-US" w:eastAsia="zh-CN"/>
              </w:rPr>
              <w:t xml:space="preserve">    ③</w:t>
            </w:r>
            <w:r>
              <w:rPr>
                <w:rFonts w:hint="eastAsia" w:ascii="宋体" w:hAnsi="宋体" w:cs="宋体"/>
                <w:color w:val="auto"/>
                <w:kern w:val="0"/>
                <w:sz w:val="24"/>
                <w:szCs w:val="24"/>
                <w:lang w:val="en-US" w:eastAsia="zh-CN" w:bidi="ar"/>
              </w:rPr>
              <w:t>臭气浓度</w:t>
            </w:r>
          </w:p>
          <w:p w14:paraId="76F50BD4">
            <w:pPr>
              <w:pStyle w:val="33"/>
              <w:spacing w:line="360" w:lineRule="auto"/>
              <w:ind w:firstLine="48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生产过程中还会产生臭气，根据《玉溪市恒威商贸有限公司迁建年产4万立方米泡沫塑料及塑料制品生产线项目竣工环境保护验收监测报告》，2018年12月18日至12月19日，云南清源环境科技有限公司对项目厂区无组织排放的废气（臭气浓度）进行了监测。根据验收监测结果，项目厂区无组织排放的废气（臭气浓度）的排放浓度</w:t>
            </w:r>
            <w:r>
              <w:rPr>
                <w:rFonts w:hint="default" w:ascii="宋体" w:hAnsi="宋体" w:eastAsia="宋体" w:cs="宋体"/>
                <w:color w:val="auto"/>
                <w:kern w:val="2"/>
                <w:sz w:val="24"/>
                <w:szCs w:val="24"/>
                <w:lang w:val="en-US" w:eastAsia="zh-CN" w:bidi="ar-SA"/>
              </w:rPr>
              <w:t>为11~18</w:t>
            </w:r>
            <w:r>
              <w:rPr>
                <w:rFonts w:hint="eastAsia" w:ascii="宋体" w:hAnsi="宋体" w:eastAsia="宋体" w:cs="宋体"/>
                <w:color w:val="auto"/>
                <w:kern w:val="2"/>
                <w:sz w:val="24"/>
                <w:szCs w:val="24"/>
                <w:lang w:val="en-US" w:eastAsia="zh-CN" w:bidi="ar-SA"/>
              </w:rPr>
              <w:t>无量纲，满足GB15554-1993《恶臭污染物排放标准》表一新建扩建二级标准限值要求。</w:t>
            </w:r>
          </w:p>
          <w:p w14:paraId="6E57A552">
            <w:pPr>
              <w:keepNext w:val="0"/>
              <w:keepLines w:val="0"/>
              <w:pageBreakBefore w:val="0"/>
              <w:widowControl w:val="0"/>
              <w:kinsoku/>
              <w:wordWrap/>
              <w:overflowPunct/>
              <w:topLinePunct w:val="0"/>
              <w:autoSpaceDE/>
              <w:autoSpaceDN/>
              <w:bidi w:val="0"/>
              <w:adjustRightInd/>
              <w:snapToGrid/>
              <w:spacing w:line="360" w:lineRule="auto"/>
              <w:ind w:firstLine="210" w:firstLineChars="100"/>
              <w:jc w:val="left"/>
              <w:textAlignment w:val="auto"/>
              <w:rPr>
                <w:rFonts w:hint="eastAsia" w:ascii="Times New Roman" w:hAnsi="Times New Roman" w:eastAsia="宋体" w:cs="Times New Roman"/>
                <w:b/>
                <w:bCs/>
                <w:color w:val="auto"/>
                <w:kern w:val="0"/>
                <w:sz w:val="24"/>
                <w:szCs w:val="24"/>
                <w:lang w:eastAsia="zh-CN"/>
              </w:rPr>
            </w:pPr>
            <w:r>
              <w:rPr>
                <w:rFonts w:hint="eastAsia" w:ascii="Times New Roman" w:eastAsia="宋体" w:cs="Times New Roman"/>
                <w:color w:val="auto"/>
                <w:lang w:val="en-US" w:eastAsia="zh-CN"/>
              </w:rPr>
              <w:t xml:space="preserve"> </w:t>
            </w:r>
            <w:r>
              <w:rPr>
                <w:rFonts w:hint="eastAsia" w:ascii="Times New Roman" w:hAnsi="Times New Roman" w:cs="Times New Roman"/>
                <w:b/>
                <w:bCs/>
                <w:color w:val="auto"/>
                <w:kern w:val="0"/>
                <w:sz w:val="24"/>
                <w:szCs w:val="24"/>
                <w:lang w:val="en-US" w:eastAsia="zh-CN"/>
              </w:rPr>
              <w:t>（2）</w:t>
            </w:r>
            <w:r>
              <w:rPr>
                <w:rFonts w:hint="eastAsia" w:ascii="宋体" w:hAnsi="宋体" w:cs="宋体"/>
                <w:b/>
                <w:bCs/>
                <w:color w:val="auto"/>
                <w:sz w:val="24"/>
                <w:szCs w:val="24"/>
                <w:lang w:val="en-US" w:eastAsia="zh-CN"/>
              </w:rPr>
              <w:t>依托</w:t>
            </w: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lang w:eastAsia="zh-CN"/>
              </w:rPr>
              <w:t>废水</w:t>
            </w:r>
            <w:r>
              <w:rPr>
                <w:rFonts w:hint="eastAsia" w:ascii="宋体" w:hAnsi="宋体" w:cs="宋体"/>
                <w:b/>
                <w:color w:val="auto"/>
                <w:sz w:val="24"/>
                <w:szCs w:val="24"/>
                <w:lang w:eastAsia="zh-CN"/>
              </w:rPr>
              <w:t>产生及排放情况</w:t>
            </w:r>
          </w:p>
          <w:p w14:paraId="3DFE51E2">
            <w:pPr>
              <w:pStyle w:val="33"/>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cs="Times New Roman"/>
                <w:color w:val="auto"/>
                <w:lang w:val="en-US" w:eastAsia="zh-CN"/>
              </w:rPr>
              <w:t>根据《玉溪市恒威商贸有限公司迁建年产4万立方米泡沫塑料及塑料制品生产线项目竣工环境保护验收监测报告》，依托项目产生的废水主要为水膜除尘废水、清净下水及生活污水。</w:t>
            </w:r>
          </w:p>
          <w:p w14:paraId="5E1D4951">
            <w:pPr>
              <w:pStyle w:val="33"/>
              <w:numPr>
                <w:ilvl w:val="0"/>
                <w:numId w:val="0"/>
              </w:numPr>
              <w:spacing w:line="360" w:lineRule="auto"/>
              <w:rPr>
                <w:rFonts w:hint="default" w:ascii="Times New Roman" w:eastAsia="宋体" w:cs="Times New Roman"/>
                <w:b/>
                <w:bCs/>
                <w:color w:val="auto"/>
                <w:lang w:val="en-US" w:eastAsia="zh-CN"/>
              </w:rPr>
            </w:pPr>
            <w:r>
              <w:rPr>
                <w:rFonts w:hint="eastAsia" w:cs="Times New Roman"/>
                <w:color w:val="auto"/>
                <w:lang w:val="en-US" w:eastAsia="zh-CN"/>
              </w:rPr>
              <w:t xml:space="preserve">    水膜除尘产生的废水经过沉淀池沉淀后，循环使用，不外排；锅炉软水制备产生的清净下水部分回用于厂区绿化，剩余部分通过冷却塔循环使用，不外排；项目产生的生活污水通过3m³的化粪池沉淀处理后，委托当地农民进行清掏，用于周边植被施肥，不外排。</w:t>
            </w:r>
            <w:r>
              <w:rPr>
                <w:rFonts w:hint="eastAsia" w:ascii="Times New Roman" w:eastAsia="宋体" w:cs="Times New Roman"/>
                <w:color w:val="auto"/>
                <w:lang w:val="en-US" w:eastAsia="zh-CN"/>
              </w:rPr>
              <w:t xml:space="preserve">  </w:t>
            </w:r>
          </w:p>
          <w:p w14:paraId="27B671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auto"/>
                <w:kern w:val="0"/>
                <w:sz w:val="24"/>
                <w:szCs w:val="24"/>
                <w:lang w:eastAsia="zh-CN"/>
              </w:rPr>
            </w:pPr>
            <w:r>
              <w:rPr>
                <w:rFonts w:hint="eastAsia" w:ascii="Times New Roman" w:hAnsi="Times New Roman" w:cs="Times New Roman"/>
                <w:b/>
                <w:bCs/>
                <w:color w:val="auto"/>
                <w:kern w:val="0"/>
                <w:sz w:val="24"/>
                <w:szCs w:val="24"/>
                <w:lang w:val="en-US" w:eastAsia="zh-CN"/>
              </w:rPr>
              <w:t>（3）</w:t>
            </w:r>
            <w:r>
              <w:rPr>
                <w:rFonts w:hint="eastAsia" w:ascii="宋体" w:hAnsi="宋体" w:cs="宋体"/>
                <w:b/>
                <w:bCs/>
                <w:color w:val="auto"/>
                <w:sz w:val="24"/>
                <w:szCs w:val="24"/>
                <w:lang w:val="en-US" w:eastAsia="zh-CN"/>
              </w:rPr>
              <w:t>依托</w:t>
            </w:r>
            <w:r>
              <w:rPr>
                <w:rFonts w:hint="eastAsia" w:ascii="宋体" w:hAnsi="宋体" w:cs="宋体"/>
                <w:b/>
                <w:color w:val="auto"/>
                <w:sz w:val="24"/>
                <w:szCs w:val="24"/>
                <w:lang w:val="en-US" w:eastAsia="zh-CN"/>
              </w:rPr>
              <w:t>项目</w:t>
            </w:r>
            <w:r>
              <w:rPr>
                <w:rFonts w:hint="eastAsia" w:ascii="宋体" w:hAnsi="宋体" w:eastAsia="宋体" w:cs="宋体"/>
                <w:b/>
                <w:color w:val="auto"/>
                <w:sz w:val="24"/>
                <w:szCs w:val="24"/>
                <w:lang w:eastAsia="zh-CN"/>
              </w:rPr>
              <w:t>噪声</w:t>
            </w:r>
            <w:r>
              <w:rPr>
                <w:rFonts w:hint="eastAsia" w:ascii="宋体" w:hAnsi="宋体" w:cs="宋体"/>
                <w:b/>
                <w:color w:val="auto"/>
                <w:sz w:val="24"/>
                <w:szCs w:val="24"/>
                <w:lang w:eastAsia="zh-CN"/>
              </w:rPr>
              <w:t>产生及排放情况</w:t>
            </w:r>
          </w:p>
          <w:p w14:paraId="2884E289">
            <w:pPr>
              <w:pStyle w:val="33"/>
              <w:spacing w:line="360" w:lineRule="auto"/>
              <w:ind w:firstLine="480"/>
              <w:rPr>
                <w:rFonts w:hint="default" w:ascii="Times New Roman" w:hAnsi="Times New Roman" w:eastAsia="宋体" w:cs="Times New Roman"/>
                <w:color w:val="auto"/>
                <w:lang w:val="en-US" w:eastAsia="zh-CN"/>
              </w:rPr>
            </w:pPr>
            <w:r>
              <w:rPr>
                <w:rFonts w:hint="eastAsia" w:cs="Times New Roman"/>
                <w:color w:val="auto"/>
                <w:lang w:val="en-US" w:eastAsia="zh-CN"/>
              </w:rPr>
              <w:t>依托</w:t>
            </w:r>
            <w:r>
              <w:rPr>
                <w:rFonts w:hint="eastAsia" w:ascii="Times New Roman" w:eastAsia="宋体" w:cs="Times New Roman"/>
                <w:color w:val="auto"/>
                <w:lang w:val="en-US" w:eastAsia="zh-CN"/>
              </w:rPr>
              <w:t>项目</w:t>
            </w:r>
            <w:r>
              <w:rPr>
                <w:rFonts w:hint="eastAsia" w:ascii="宋体" w:hAnsi="宋体" w:eastAsia="宋体" w:cs="宋体"/>
                <w:color w:val="auto"/>
                <w:sz w:val="24"/>
              </w:rPr>
              <w:t>噪声源主要为</w:t>
            </w:r>
            <w:r>
              <w:rPr>
                <w:rFonts w:hint="eastAsia"/>
                <w:color w:val="auto"/>
                <w:sz w:val="24"/>
                <w:szCs w:val="24"/>
                <w:lang w:val="en-US" w:eastAsia="zh-CN"/>
              </w:rPr>
              <w:t>设备噪声</w:t>
            </w:r>
            <w:r>
              <w:rPr>
                <w:rFonts w:hint="eastAsia" w:ascii="宋体" w:hAnsi="宋体" w:eastAsia="宋体" w:cs="宋体"/>
                <w:color w:val="auto"/>
                <w:sz w:val="24"/>
              </w:rPr>
              <w:t>等，</w:t>
            </w:r>
            <w:r>
              <w:rPr>
                <w:rFonts w:hint="eastAsia" w:ascii="宋体" w:hAnsi="宋体" w:eastAsia="宋体" w:cs="宋体"/>
                <w:color w:val="auto"/>
                <w:kern w:val="0"/>
                <w:sz w:val="24"/>
                <w:szCs w:val="24"/>
                <w:lang w:val="en-US" w:eastAsia="zh-CN"/>
              </w:rPr>
              <w:t>其噪声值约为65</w:t>
            </w:r>
            <w:r>
              <w:rPr>
                <w:rFonts w:hint="default" w:ascii="Times New Roman" w:hAnsi="Times New Roman" w:eastAsia="宋体" w:cs="Times New Roman"/>
                <w:color w:val="auto"/>
                <w:kern w:val="0"/>
                <w:sz w:val="24"/>
                <w:szCs w:val="24"/>
                <w:lang w:val="en-US" w:eastAsia="zh-CN"/>
              </w:rPr>
              <w:t>~</w:t>
            </w:r>
            <w:r>
              <w:rPr>
                <w:rFonts w:hint="eastAsia" w:ascii="Times New Roman" w:hAnsi="Times New Roman" w:eastAsia="宋体" w:cs="Times New Roman"/>
                <w:color w:val="auto"/>
                <w:kern w:val="0"/>
                <w:sz w:val="24"/>
                <w:szCs w:val="24"/>
                <w:lang w:val="en-US" w:eastAsia="zh-CN"/>
              </w:rPr>
              <w:t>90</w:t>
            </w:r>
            <w:r>
              <w:rPr>
                <w:rFonts w:hint="default" w:ascii="Times New Roman" w:hAnsi="Times New Roman" w:eastAsia="宋体" w:cs="Times New Roman"/>
                <w:color w:val="auto"/>
                <w:kern w:val="0"/>
                <w:sz w:val="24"/>
                <w:szCs w:val="24"/>
                <w:lang w:val="en-US" w:eastAsia="zh-CN"/>
              </w:rPr>
              <w:t>dB(A)</w:t>
            </w:r>
            <w:r>
              <w:rPr>
                <w:rFonts w:hint="eastAsia" w:ascii="Times New Roman" w:hAnsi="Times New Roman" w:eastAsia="宋体" w:cs="Times New Roman"/>
                <w:color w:val="auto"/>
                <w:kern w:val="0"/>
                <w:sz w:val="24"/>
                <w:szCs w:val="24"/>
                <w:lang w:val="en-US" w:eastAsia="zh-CN"/>
              </w:rPr>
              <w:t>。</w:t>
            </w:r>
            <w:r>
              <w:rPr>
                <w:rFonts w:hint="eastAsia" w:ascii="宋体" w:hAnsi="宋体" w:eastAsia="宋体" w:cs="宋体"/>
                <w:color w:val="auto"/>
                <w:sz w:val="24"/>
                <w:lang w:eastAsia="zh-CN"/>
              </w:rPr>
              <w:t>厂区</w:t>
            </w:r>
            <w:r>
              <w:rPr>
                <w:rFonts w:hint="eastAsia" w:ascii="宋体" w:hAnsi="宋体" w:eastAsia="宋体" w:cs="宋体"/>
                <w:color w:val="auto"/>
                <w:sz w:val="24"/>
              </w:rPr>
              <w:t>采用国家推荐使用的低噪声设备，并针对不同的噪声源采取不同的防噪减振措施。如密闭厂房，隔声减振措施等，减少震动对环境的影响</w:t>
            </w:r>
            <w:r>
              <w:rPr>
                <w:rFonts w:hint="eastAsia" w:ascii="宋体" w:hAnsi="宋体" w:eastAsia="宋体" w:cs="宋体"/>
                <w:color w:val="auto"/>
                <w:sz w:val="24"/>
                <w:lang w:eastAsia="zh-CN"/>
              </w:rPr>
              <w:t>，</w:t>
            </w:r>
            <w:r>
              <w:rPr>
                <w:rFonts w:hint="eastAsia" w:ascii="宋体" w:hAnsi="宋体" w:eastAsia="宋体" w:cs="宋体"/>
                <w:color w:val="auto"/>
                <w:kern w:val="2"/>
                <w:sz w:val="24"/>
                <w:szCs w:val="24"/>
                <w:lang w:val="en-US" w:eastAsia="zh-CN" w:bidi="ar-SA"/>
              </w:rPr>
              <w:t>根</w:t>
            </w:r>
            <w:r>
              <w:rPr>
                <w:rFonts w:hint="eastAsia" w:ascii="宋体" w:hAnsi="宋体" w:eastAsia="宋体" w:cs="宋体"/>
                <w:color w:val="auto"/>
                <w:sz w:val="24"/>
                <w:szCs w:val="24"/>
                <w:lang w:val="en-US" w:eastAsia="zh-CN"/>
              </w:rPr>
              <w:t>据</w:t>
            </w:r>
            <w:r>
              <w:rPr>
                <w:rFonts w:hint="eastAsia" w:ascii="宋体" w:hAnsi="宋体" w:cs="宋体"/>
                <w:color w:val="auto"/>
                <w:sz w:val="24"/>
                <w:szCs w:val="24"/>
                <w:lang w:val="en-US" w:eastAsia="zh-CN"/>
              </w:rPr>
              <w:t>《玉溪市恒威商贸有限公司迁建年产4万立方米泡沫塑料及塑料制品生产线项目竣工环境保护验收监测</w:t>
            </w:r>
            <w:r>
              <w:rPr>
                <w:rFonts w:hint="eastAsia" w:ascii="宋体" w:hAnsi="宋体" w:eastAsia="宋体" w:cs="宋体"/>
                <w:color w:val="auto"/>
                <w:sz w:val="24"/>
                <w:szCs w:val="24"/>
                <w:lang w:val="en-US" w:eastAsia="zh-CN"/>
              </w:rPr>
              <w:t>报告</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，2018年12月18日至12月19日，云南清源环境科技有限公司对项目厂界噪声进行了监测。根据验收监测结果，厂界噪声东、南、西、北昼间测值在4</w:t>
            </w:r>
            <w:r>
              <w:rPr>
                <w:rFonts w:hint="default" w:ascii="Times New Roman" w:hAnsi="Times New Roman" w:eastAsia="宋体" w:cs="Times New Roman"/>
                <w:color w:val="auto"/>
                <w:sz w:val="24"/>
                <w:szCs w:val="24"/>
                <w:lang w:val="en-US" w:eastAsia="zh-CN"/>
              </w:rPr>
              <w:t>6.3dB(A)~59.6dB(A)</w:t>
            </w:r>
            <w:r>
              <w:rPr>
                <w:rFonts w:hint="eastAsia" w:ascii="Times New Roman" w:hAnsi="Times New Roman" w:eastAsia="宋体" w:cs="Times New Roman"/>
                <w:color w:val="auto"/>
                <w:sz w:val="24"/>
                <w:szCs w:val="24"/>
                <w:lang w:val="en-US" w:eastAsia="zh-CN"/>
              </w:rPr>
              <w:t>之间，夜间测值在</w:t>
            </w:r>
            <w:r>
              <w:rPr>
                <w:rFonts w:hint="eastAsia" w:ascii="宋体" w:hAnsi="宋体" w:eastAsia="宋体" w:cs="宋体"/>
                <w:color w:val="auto"/>
                <w:sz w:val="24"/>
                <w:szCs w:val="24"/>
                <w:lang w:val="en-US" w:eastAsia="zh-CN"/>
              </w:rPr>
              <w:t>43.2</w:t>
            </w:r>
            <w:r>
              <w:rPr>
                <w:rFonts w:hint="default" w:ascii="Times New Roman" w:hAnsi="Times New Roman" w:eastAsia="宋体" w:cs="Times New Roman"/>
                <w:color w:val="auto"/>
                <w:sz w:val="24"/>
                <w:szCs w:val="24"/>
                <w:lang w:val="en-US" w:eastAsia="zh-CN"/>
              </w:rPr>
              <w:t>dB(A)~</w:t>
            </w:r>
            <w:r>
              <w:rPr>
                <w:rFonts w:hint="eastAsia" w:ascii="Times New Roman" w:hAnsi="Times New Roman" w:eastAsia="宋体" w:cs="Times New Roman"/>
                <w:color w:val="auto"/>
                <w:sz w:val="24"/>
                <w:szCs w:val="24"/>
                <w:lang w:val="en-US" w:eastAsia="zh-CN"/>
              </w:rPr>
              <w:t>48.2</w:t>
            </w:r>
            <w:r>
              <w:rPr>
                <w:rFonts w:hint="default" w:ascii="Times New Roman" w:hAnsi="Times New Roman" w:eastAsia="宋体" w:cs="Times New Roman"/>
                <w:color w:val="auto"/>
                <w:sz w:val="24"/>
                <w:szCs w:val="24"/>
                <w:lang w:val="en-US" w:eastAsia="zh-CN"/>
              </w:rPr>
              <w:t>dB(A)</w:t>
            </w:r>
            <w:r>
              <w:rPr>
                <w:rFonts w:hint="eastAsia" w:ascii="Times New Roman" w:hAnsi="Times New Roman" w:eastAsia="宋体" w:cs="Times New Roman"/>
                <w:color w:val="auto"/>
                <w:sz w:val="24"/>
                <w:szCs w:val="24"/>
                <w:lang w:val="en-US" w:eastAsia="zh-CN"/>
              </w:rPr>
              <w:t>之间，均达到（GB12348-2008）《工业企业厂界环境噪声排放标准》中2类标准的要求</w:t>
            </w:r>
            <w:r>
              <w:rPr>
                <w:rFonts w:hint="default" w:ascii="Times New Roman" w:hAnsi="Times New Roman" w:eastAsia="宋体" w:cs="Times New Roman"/>
                <w:color w:val="auto"/>
                <w:sz w:val="24"/>
                <w:szCs w:val="24"/>
                <w:lang w:val="en-US" w:eastAsia="zh-CN"/>
              </w:rPr>
              <w:t>。</w:t>
            </w:r>
          </w:p>
          <w:p w14:paraId="681B56C7">
            <w:pPr>
              <w:pStyle w:val="33"/>
              <w:numPr>
                <w:ilvl w:val="0"/>
                <w:numId w:val="0"/>
              </w:numPr>
              <w:spacing w:line="360" w:lineRule="auto"/>
              <w:ind w:firstLine="482" w:firstLineChars="200"/>
              <w:rPr>
                <w:rFonts w:hint="eastAsia" w:ascii="Times New Roman" w:eastAsia="宋体" w:cs="Times New Roman"/>
                <w:b/>
                <w:bCs/>
                <w:color w:val="auto"/>
                <w:lang w:val="en-US" w:eastAsia="zh-CN"/>
              </w:rPr>
            </w:pPr>
            <w:r>
              <w:rPr>
                <w:rFonts w:hint="eastAsia" w:ascii="Times New Roman" w:eastAsia="宋体" w:cs="Times New Roman"/>
                <w:b/>
                <w:bCs/>
                <w:color w:val="auto"/>
                <w:lang w:val="en-US" w:eastAsia="zh-CN"/>
              </w:rPr>
              <w:t>（4）</w:t>
            </w:r>
            <w:r>
              <w:rPr>
                <w:rFonts w:hint="eastAsia" w:cs="Times New Roman"/>
                <w:b/>
                <w:bCs/>
                <w:color w:val="auto"/>
                <w:lang w:val="en-US" w:eastAsia="zh-CN"/>
              </w:rPr>
              <w:t>依托</w:t>
            </w:r>
            <w:r>
              <w:rPr>
                <w:rFonts w:hint="eastAsia" w:ascii="Times New Roman" w:eastAsia="宋体" w:cs="Times New Roman"/>
                <w:b/>
                <w:bCs/>
                <w:color w:val="auto"/>
                <w:lang w:val="en-US" w:eastAsia="zh-CN"/>
              </w:rPr>
              <w:t>项目固废产生及排放情况</w:t>
            </w:r>
          </w:p>
          <w:p w14:paraId="1B97E2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color w:val="auto"/>
                <w:kern w:val="2"/>
                <w:sz w:val="24"/>
                <w:szCs w:val="24"/>
                <w:lang w:val="en-US" w:eastAsia="zh-CN" w:bidi="ar-SA"/>
              </w:rPr>
              <w:t>根</w:t>
            </w:r>
            <w:r>
              <w:rPr>
                <w:rFonts w:hint="eastAsia" w:ascii="宋体" w:hAnsi="宋体" w:eastAsia="宋体" w:cs="宋体"/>
                <w:color w:val="auto"/>
                <w:sz w:val="24"/>
                <w:szCs w:val="24"/>
                <w:lang w:val="en-US" w:eastAsia="zh-CN"/>
              </w:rPr>
              <w:t>据</w:t>
            </w:r>
            <w:r>
              <w:rPr>
                <w:rFonts w:hint="eastAsia" w:ascii="宋体" w:hAnsi="宋体" w:cs="宋体"/>
                <w:color w:val="auto"/>
                <w:sz w:val="24"/>
                <w:szCs w:val="24"/>
                <w:lang w:val="en-US" w:eastAsia="zh-CN"/>
              </w:rPr>
              <w:t>《玉溪市恒威商贸有限公司迁建年产4万立方米泡沫塑料及塑料制品生产线项目竣工环境保护验收监测</w:t>
            </w:r>
            <w:r>
              <w:rPr>
                <w:rFonts w:hint="eastAsia" w:ascii="宋体" w:hAnsi="宋体" w:eastAsia="宋体" w:cs="宋体"/>
                <w:color w:val="auto"/>
                <w:sz w:val="24"/>
                <w:szCs w:val="24"/>
                <w:lang w:val="en-US" w:eastAsia="zh-CN"/>
              </w:rPr>
              <w:t>报告</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w:t>
            </w:r>
            <w:r>
              <w:rPr>
                <w:rFonts w:hint="eastAsia" w:ascii="宋体" w:hAnsi="宋体" w:cs="宋体"/>
                <w:b w:val="0"/>
                <w:bCs w:val="0"/>
                <w:color w:val="auto"/>
                <w:sz w:val="24"/>
                <w:szCs w:val="24"/>
                <w:vertAlign w:val="baseline"/>
                <w:lang w:val="en-US" w:eastAsia="zh-CN"/>
              </w:rPr>
              <w:t>依托项目固体废物主要为水膜除尘设备除尘灰、锅炉灰渣、废泡沫颗粒、废塑料膜、塑料袋、职工生活垃圾等</w:t>
            </w:r>
            <w:r>
              <w:rPr>
                <w:rFonts w:hint="eastAsia" w:ascii="宋体" w:hAnsi="宋体" w:eastAsia="宋体" w:cs="宋体"/>
                <w:b w:val="0"/>
                <w:bCs w:val="0"/>
                <w:color w:val="auto"/>
                <w:kern w:val="2"/>
                <w:sz w:val="24"/>
                <w:szCs w:val="24"/>
                <w:vertAlign w:val="baseline"/>
                <w:lang w:val="en-US" w:eastAsia="zh-CN" w:bidi="ar-SA"/>
              </w:rPr>
              <w:t>。</w:t>
            </w:r>
            <w:r>
              <w:rPr>
                <w:rFonts w:hint="eastAsia" w:ascii="宋体" w:hAnsi="宋体" w:cs="宋体"/>
                <w:b w:val="0"/>
                <w:bCs w:val="0"/>
                <w:color w:val="auto"/>
                <w:kern w:val="2"/>
                <w:sz w:val="24"/>
                <w:szCs w:val="24"/>
                <w:vertAlign w:val="baseline"/>
                <w:lang w:val="en-US" w:eastAsia="zh-CN" w:bidi="ar-SA"/>
              </w:rPr>
              <w:t>其中锅炉灰渣和水膜除尘设备产生的除尘灰清掏后全部出售给附近农民，用作周边农田有机肥施用，废泡沫颗粒外售用于花卉种植，废边角料外售给废品收购站废塑料膜和废塑料袋回用于生产，生活垃圾收集后委托当地环卫部门清理清运，化粪池污泥委托当地环卫部门每半年清掏一次，并负责清理清运。</w:t>
            </w:r>
            <w:r>
              <w:rPr>
                <w:rFonts w:hint="eastAsia" w:ascii="宋体" w:hAnsi="宋体" w:eastAsia="宋体" w:cs="宋体"/>
                <w:b w:val="0"/>
                <w:bCs w:val="0"/>
                <w:color w:val="auto"/>
                <w:kern w:val="2"/>
                <w:sz w:val="24"/>
                <w:szCs w:val="24"/>
                <w:vertAlign w:val="baseline"/>
                <w:lang w:val="en-US" w:eastAsia="zh-CN" w:bidi="ar-SA"/>
              </w:rPr>
              <w:t xml:space="preserve"> </w:t>
            </w:r>
          </w:p>
          <w:p w14:paraId="1524B993">
            <w:pPr>
              <w:pStyle w:val="33"/>
              <w:numPr>
                <w:ilvl w:val="0"/>
                <w:numId w:val="0"/>
              </w:numPr>
              <w:spacing w:line="360" w:lineRule="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7、与项目有关的原有环境污染问题有：</w:t>
            </w:r>
          </w:p>
          <w:p w14:paraId="75696998">
            <w:pPr>
              <w:spacing w:line="360" w:lineRule="auto"/>
              <w:ind w:firstLine="482"/>
              <w:rPr>
                <w:color w:val="auto"/>
              </w:rPr>
            </w:pPr>
            <w:r>
              <w:rPr>
                <w:rFonts w:hint="eastAsia" w:ascii="宋体" w:hAnsi="宋体" w:cs="宋体"/>
                <w:color w:val="auto"/>
                <w:sz w:val="24"/>
                <w:lang w:val="en-US" w:eastAsia="zh-CN"/>
              </w:rPr>
              <w:t>根据现场踏勘，项目已经建成，锅炉房排气筒实际建设了15m高，不符合现行的管理规定，项</w:t>
            </w:r>
            <w:r>
              <w:rPr>
                <w:rFonts w:hint="eastAsia" w:ascii="宋体" w:hAnsi="宋体" w:eastAsia="宋体" w:cs="宋体"/>
                <w:color w:val="auto"/>
                <w:kern w:val="0"/>
                <w:sz w:val="24"/>
                <w:szCs w:val="24"/>
                <w:lang w:val="en-US" w:eastAsia="zh-CN" w:bidi="ar-SA"/>
              </w:rPr>
              <w:t>目未办理过环评，属于未批先建项目。</w:t>
            </w:r>
            <w:r>
              <w:rPr>
                <w:rFonts w:hint="eastAsia" w:ascii="宋体" w:hAnsi="宋体" w:cs="宋体"/>
                <w:color w:val="auto"/>
                <w:sz w:val="24"/>
                <w:lang w:val="en-US" w:eastAsia="zh-CN"/>
              </w:rPr>
              <w:t>根据《锅炉大气污染物排放标准》（GB13271-2014）中新建燃煤锅炉房烟囱最低允许高度，锅炉房装机总容量</w:t>
            </w:r>
            <w:r>
              <w:rPr>
                <w:rFonts w:hint="default" w:ascii="Times New Roman" w:hAnsi="Times New Roman" w:cs="Times New Roman"/>
                <w:color w:val="auto"/>
                <w:sz w:val="24"/>
                <w:lang w:val="en-US" w:eastAsia="zh-CN"/>
              </w:rPr>
              <w:t>4~＜10t/h的</w:t>
            </w:r>
            <w:r>
              <w:rPr>
                <w:rFonts w:hint="eastAsia" w:ascii="宋体" w:hAnsi="宋体" w:cs="宋体"/>
                <w:color w:val="auto"/>
                <w:sz w:val="24"/>
                <w:lang w:val="en-US" w:eastAsia="zh-CN"/>
              </w:rPr>
              <w:t>，烟囱最低允许高度为35m。</w:t>
            </w:r>
            <w:r>
              <w:rPr>
                <w:rFonts w:hint="eastAsia"/>
                <w:color w:val="auto"/>
                <w:sz w:val="24"/>
                <w:highlight w:val="none"/>
                <w:lang w:eastAsia="zh-CN"/>
              </w:rPr>
              <w:t>蒸汽发生器</w:t>
            </w:r>
            <w:r>
              <w:rPr>
                <w:rFonts w:hint="eastAsia"/>
                <w:color w:val="auto"/>
                <w:sz w:val="24"/>
                <w:highlight w:val="none"/>
              </w:rPr>
              <w:t>排放口周围200m内有建筑物时，排放口高度应高于最高建筑物3m以上，根据现场调查情况，项目</w:t>
            </w:r>
            <w:r>
              <w:rPr>
                <w:rFonts w:hint="eastAsia"/>
                <w:color w:val="auto"/>
                <w:sz w:val="24"/>
                <w:highlight w:val="none"/>
                <w:lang w:eastAsia="zh-CN"/>
              </w:rPr>
              <w:t>蒸汽发生器</w:t>
            </w:r>
            <w:r>
              <w:rPr>
                <w:rFonts w:hint="eastAsia"/>
                <w:color w:val="auto"/>
                <w:sz w:val="24"/>
                <w:highlight w:val="none"/>
              </w:rPr>
              <w:t>排放口周围200m内最高建筑物为</w:t>
            </w:r>
            <w:r>
              <w:rPr>
                <w:rFonts w:hint="eastAsia"/>
                <w:color w:val="auto"/>
                <w:sz w:val="24"/>
                <w:highlight w:val="none"/>
                <w:lang w:eastAsia="zh-CN"/>
              </w:rPr>
              <w:t>钧澄</w:t>
            </w:r>
            <w:r>
              <w:rPr>
                <w:rFonts w:hint="eastAsia"/>
                <w:color w:val="auto"/>
                <w:sz w:val="24"/>
                <w:highlight w:val="none"/>
                <w:lang w:val="en-US" w:eastAsia="zh-CN"/>
              </w:rPr>
              <w:t>公司</w:t>
            </w:r>
            <w:r>
              <w:rPr>
                <w:rFonts w:hint="eastAsia"/>
                <w:color w:val="auto"/>
                <w:sz w:val="24"/>
                <w:highlight w:val="none"/>
              </w:rPr>
              <w:t>标准厂房，最高建筑约</w:t>
            </w:r>
            <w:r>
              <w:rPr>
                <w:rFonts w:hint="eastAsia"/>
                <w:color w:val="auto"/>
                <w:sz w:val="24"/>
                <w:highlight w:val="none"/>
                <w:lang w:val="en-US" w:eastAsia="zh-CN"/>
              </w:rPr>
              <w:t>8</w:t>
            </w:r>
            <w:r>
              <w:rPr>
                <w:rFonts w:hint="eastAsia"/>
                <w:color w:val="auto"/>
                <w:sz w:val="24"/>
                <w:highlight w:val="none"/>
              </w:rPr>
              <w:t>m，</w:t>
            </w:r>
            <w:r>
              <w:rPr>
                <w:rFonts w:hint="eastAsia"/>
                <w:color w:val="auto"/>
                <w:sz w:val="24"/>
                <w:highlight w:val="none"/>
                <w:lang w:val="en-US" w:eastAsia="zh-CN"/>
              </w:rPr>
              <w:t>因此，本环评要求，</w:t>
            </w:r>
            <w:r>
              <w:rPr>
                <w:rFonts w:hint="eastAsia"/>
                <w:color w:val="auto"/>
                <w:sz w:val="24"/>
                <w:highlight w:val="none"/>
              </w:rPr>
              <w:t>本项目</w:t>
            </w:r>
            <w:r>
              <w:rPr>
                <w:rFonts w:hint="eastAsia"/>
                <w:color w:val="auto"/>
                <w:sz w:val="24"/>
                <w:highlight w:val="none"/>
                <w:lang w:eastAsia="zh-CN"/>
              </w:rPr>
              <w:t>蒸汽发生器</w:t>
            </w:r>
            <w:r>
              <w:rPr>
                <w:rFonts w:hint="eastAsia"/>
                <w:color w:val="auto"/>
                <w:sz w:val="24"/>
                <w:highlight w:val="none"/>
              </w:rPr>
              <w:t>排放口（DA001）高度</w:t>
            </w:r>
            <w:r>
              <w:rPr>
                <w:rFonts w:hint="eastAsia"/>
                <w:color w:val="auto"/>
                <w:sz w:val="24"/>
                <w:highlight w:val="none"/>
                <w:lang w:val="en-US" w:eastAsia="zh-CN"/>
              </w:rPr>
              <w:t>应</w:t>
            </w:r>
            <w:r>
              <w:rPr>
                <w:rFonts w:hint="eastAsia"/>
                <w:color w:val="auto"/>
                <w:sz w:val="24"/>
                <w:highlight w:val="none"/>
              </w:rPr>
              <w:t>设置为</w:t>
            </w:r>
            <w:r>
              <w:rPr>
                <w:rFonts w:hint="eastAsia"/>
                <w:color w:val="auto"/>
                <w:sz w:val="24"/>
                <w:highlight w:val="none"/>
                <w:lang w:val="en-US" w:eastAsia="zh-CN"/>
              </w:rPr>
              <w:t>≥35</w:t>
            </w:r>
            <w:r>
              <w:rPr>
                <w:rFonts w:hint="eastAsia"/>
                <w:color w:val="auto"/>
                <w:sz w:val="24"/>
                <w:highlight w:val="none"/>
              </w:rPr>
              <w:t>m。</w:t>
            </w:r>
          </w:p>
          <w:p w14:paraId="6C6F059D">
            <w:pPr>
              <w:pStyle w:val="33"/>
              <w:numPr>
                <w:ilvl w:val="0"/>
                <w:numId w:val="0"/>
              </w:numPr>
              <w:spacing w:line="360" w:lineRule="auto"/>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8、本项目实施后对大气污染物减排的贡献及项目建设的必要性：</w:t>
            </w:r>
          </w:p>
          <w:p w14:paraId="5FB370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lang w:val="en-US" w:eastAsia="zh-CN"/>
              </w:rPr>
            </w:pPr>
            <w:r>
              <w:rPr>
                <w:rFonts w:hint="eastAsia" w:ascii="宋体" w:hAnsi="宋体" w:cs="宋体"/>
                <w:color w:val="auto"/>
                <w:sz w:val="24"/>
                <w:lang w:val="en-US" w:eastAsia="zh-CN"/>
              </w:rPr>
              <w:t>原有锅炉房建设有1台4t生物质锅炉对钧澄公司供汽，原生物质锅炉废气采用水膜除尘后通过35m高的排气筒排放，根据</w:t>
            </w:r>
            <w:r>
              <w:rPr>
                <w:rFonts w:hint="eastAsia" w:ascii="宋体" w:hAnsi="宋体" w:cs="宋体"/>
                <w:color w:val="auto"/>
                <w:sz w:val="24"/>
                <w:szCs w:val="24"/>
                <w:lang w:val="en-US" w:eastAsia="zh-CN"/>
              </w:rPr>
              <w:t>《</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项目环境影响报告表</w:t>
            </w:r>
            <w:r>
              <w:rPr>
                <w:rFonts w:hint="eastAsia" w:ascii="宋体" w:hAnsi="宋体" w:cs="宋体"/>
                <w:color w:val="auto"/>
                <w:sz w:val="24"/>
                <w:szCs w:val="24"/>
                <w:lang w:val="en-US" w:eastAsia="zh-CN"/>
              </w:rPr>
              <w:t>》及其批复</w:t>
            </w:r>
            <w:r>
              <w:rPr>
                <w:rFonts w:hint="default" w:ascii="Times New Roman" w:hAnsi="Times New Roman" w:eastAsia="宋体" w:cs="Times New Roman"/>
                <w:b w:val="0"/>
                <w:bCs w:val="0"/>
                <w:color w:val="auto"/>
                <w:sz w:val="24"/>
                <w:szCs w:val="24"/>
                <w:lang w:val="en-US" w:eastAsia="zh-CN"/>
              </w:rPr>
              <w:t>，</w:t>
            </w:r>
            <w:r>
              <w:rPr>
                <w:rFonts w:hint="eastAsia" w:cs="Times New Roman"/>
                <w:b w:val="0"/>
                <w:bCs w:val="0"/>
                <w:color w:val="auto"/>
                <w:sz w:val="24"/>
                <w:szCs w:val="24"/>
                <w:lang w:val="en-US" w:eastAsia="zh-CN"/>
              </w:rPr>
              <w:t>锅炉</w:t>
            </w:r>
            <w:r>
              <w:rPr>
                <w:rFonts w:hint="default" w:ascii="Times New Roman" w:hAnsi="Times New Roman" w:eastAsia="宋体" w:cs="Times New Roman"/>
                <w:b w:val="0"/>
                <w:bCs w:val="0"/>
                <w:color w:val="auto"/>
                <w:sz w:val="24"/>
                <w:szCs w:val="24"/>
                <w:lang w:val="en-US" w:eastAsia="zh-CN"/>
              </w:rPr>
              <w:t>主要污染物排放量为</w:t>
            </w:r>
            <w:r>
              <w:rPr>
                <w:rFonts w:hint="default" w:ascii="Times New Roman" w:hAnsi="Times New Roman" w:cs="Times New Roman"/>
                <w:b w:val="0"/>
                <w:bCs w:val="0"/>
                <w:color w:val="auto"/>
                <w:sz w:val="24"/>
                <w:szCs w:val="24"/>
                <w:lang w:val="en-US" w:eastAsia="zh-CN"/>
              </w:rPr>
              <w:t>颗粒物：</w:t>
            </w:r>
            <w:r>
              <w:rPr>
                <w:rFonts w:hint="eastAsia" w:cs="Times New Roman"/>
                <w:b w:val="0"/>
                <w:bCs w:val="0"/>
                <w:color w:val="auto"/>
                <w:sz w:val="24"/>
                <w:szCs w:val="24"/>
                <w:lang w:val="en-US" w:eastAsia="zh-CN"/>
              </w:rPr>
              <w:t>0.294</w:t>
            </w:r>
            <w:r>
              <w:rPr>
                <w:rFonts w:hint="default" w:ascii="Times New Roman" w:hAnsi="Times New Roman" w:eastAsia="宋体" w:cs="Times New Roman"/>
                <w:b w:val="0"/>
                <w:bCs w:val="0"/>
                <w:color w:val="auto"/>
                <w:sz w:val="24"/>
                <w:szCs w:val="24"/>
                <w:lang w:val="en-US" w:eastAsia="zh-CN"/>
              </w:rPr>
              <w:t>t/a、SO</w:t>
            </w:r>
            <w:r>
              <w:rPr>
                <w:rFonts w:hint="default" w:ascii="Times New Roman" w:hAnsi="Times New Roman" w:eastAsia="宋体" w:cs="Times New Roman"/>
                <w:b w:val="0"/>
                <w:bCs w:val="0"/>
                <w:color w:val="auto"/>
                <w:sz w:val="24"/>
                <w:szCs w:val="24"/>
                <w:vertAlign w:val="subscript"/>
                <w:lang w:val="en-US" w:eastAsia="zh-CN"/>
              </w:rPr>
              <w:t>2</w:t>
            </w:r>
            <w:r>
              <w:rPr>
                <w:rFonts w:hint="default" w:ascii="Times New Roman" w:hAnsi="Times New Roman" w:cs="Times New Roman"/>
                <w:b w:val="0"/>
                <w:bCs w:val="0"/>
                <w:color w:val="auto"/>
                <w:sz w:val="24"/>
                <w:szCs w:val="24"/>
                <w:vertAlign w:val="baseline"/>
                <w:lang w:val="en-US" w:eastAsia="zh-CN"/>
              </w:rPr>
              <w:t>：</w:t>
            </w:r>
            <w:r>
              <w:rPr>
                <w:rFonts w:hint="eastAsia" w:cs="Times New Roman"/>
                <w:b w:val="0"/>
                <w:bCs w:val="0"/>
                <w:color w:val="auto"/>
                <w:sz w:val="24"/>
                <w:szCs w:val="24"/>
                <w:lang w:val="en-US" w:eastAsia="zh-CN"/>
              </w:rPr>
              <w:t>1.20</w:t>
            </w:r>
            <w:r>
              <w:rPr>
                <w:rFonts w:hint="default" w:ascii="Times New Roman" w:hAnsi="Times New Roman" w:eastAsia="宋体" w:cs="Times New Roman"/>
                <w:b w:val="0"/>
                <w:bCs w:val="0"/>
                <w:color w:val="auto"/>
                <w:sz w:val="24"/>
                <w:szCs w:val="24"/>
                <w:lang w:val="en-US" w:eastAsia="zh-CN"/>
              </w:rPr>
              <w:t>t/a、NOx</w:t>
            </w:r>
            <w:r>
              <w:rPr>
                <w:rFonts w:hint="default"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0.80</w:t>
            </w:r>
            <w:r>
              <w:rPr>
                <w:rFonts w:hint="default" w:ascii="Times New Roman" w:hAnsi="Times New Roman" w:eastAsia="宋体" w:cs="Times New Roman"/>
                <w:b w:val="0"/>
                <w:bCs w:val="0"/>
                <w:color w:val="auto"/>
                <w:sz w:val="24"/>
                <w:szCs w:val="24"/>
                <w:lang w:val="en-US" w:eastAsia="zh-CN"/>
              </w:rPr>
              <w:t>t/a</w:t>
            </w:r>
            <w:r>
              <w:rPr>
                <w:rFonts w:hint="default" w:ascii="Times New Roman" w:hAnsi="Times New Roman" w:cs="Times New Roman"/>
                <w:b w:val="0"/>
                <w:bCs w:val="0"/>
                <w:color w:val="auto"/>
                <w:sz w:val="24"/>
                <w:szCs w:val="24"/>
                <w:lang w:val="en-US" w:eastAsia="zh-CN"/>
              </w:rPr>
              <w:t>，</w:t>
            </w:r>
            <w:r>
              <w:rPr>
                <w:rFonts w:hint="default" w:ascii="Times New Roman" w:hAnsi="Times New Roman" w:cs="Times New Roman"/>
                <w:color w:val="auto"/>
                <w:sz w:val="24"/>
                <w:highlight w:val="none"/>
                <w:lang w:eastAsia="zh-CN"/>
              </w:rPr>
              <w:t>蒸汽发生器</w:t>
            </w:r>
            <w:r>
              <w:rPr>
                <w:rFonts w:hint="default" w:ascii="Times New Roman" w:hAnsi="Times New Roman" w:cs="Times New Roman"/>
                <w:color w:val="auto"/>
                <w:sz w:val="24"/>
                <w:highlight w:val="none"/>
              </w:rPr>
              <w:t>烟气产生量为</w:t>
            </w:r>
            <w:r>
              <w:rPr>
                <w:rFonts w:hint="eastAsia" w:cs="Times New Roman"/>
                <w:color w:val="auto"/>
                <w:kern w:val="24"/>
                <w:sz w:val="24"/>
                <w:highlight w:val="none"/>
                <w:lang w:val="en-US" w:eastAsia="zh-CN"/>
              </w:rPr>
              <w:t>1700</w:t>
            </w:r>
            <w:r>
              <w:rPr>
                <w:rFonts w:hint="default" w:ascii="Times New Roman" w:hAnsi="Times New Roman" w:cs="Times New Roman"/>
                <w:color w:val="auto"/>
                <w:kern w:val="24"/>
                <w:sz w:val="24"/>
                <w:highlight w:val="none"/>
              </w:rPr>
              <w:t>万m</w:t>
            </w:r>
            <w:r>
              <w:rPr>
                <w:rFonts w:hint="default" w:ascii="Times New Roman" w:hAnsi="Times New Roman" w:cs="Times New Roman"/>
                <w:color w:val="auto"/>
                <w:kern w:val="24"/>
                <w:sz w:val="24"/>
                <w:highlight w:val="none"/>
                <w:vertAlign w:val="superscript"/>
              </w:rPr>
              <w:t>3</w:t>
            </w:r>
            <w:r>
              <w:rPr>
                <w:rFonts w:hint="default" w:ascii="Times New Roman" w:hAnsi="Times New Roman" w:cs="Times New Roman"/>
                <w:color w:val="auto"/>
                <w:kern w:val="24"/>
                <w:sz w:val="24"/>
                <w:highlight w:val="none"/>
              </w:rPr>
              <w:t>/a</w:t>
            </w:r>
            <w:r>
              <w:rPr>
                <w:rFonts w:hint="default" w:ascii="Times New Roman" w:hAnsi="Times New Roman" w:cs="Times New Roman"/>
                <w:color w:val="auto"/>
                <w:kern w:val="24"/>
                <w:sz w:val="24"/>
                <w:highlight w:val="none"/>
                <w:lang w:eastAsia="zh-CN"/>
              </w:rPr>
              <w:t>。</w:t>
            </w:r>
            <w:r>
              <w:rPr>
                <w:rFonts w:hint="eastAsia" w:cs="Times New Roman"/>
                <w:color w:val="auto"/>
                <w:kern w:val="24"/>
                <w:sz w:val="24"/>
                <w:highlight w:val="none"/>
                <w:lang w:val="en-US" w:eastAsia="zh-CN"/>
              </w:rPr>
              <w:t>本项目建设的3组2.5t/h的生物质蒸汽发生器原替代</w:t>
            </w:r>
            <w:r>
              <w:rPr>
                <w:rFonts w:hint="eastAsia" w:ascii="宋体" w:hAnsi="宋体" w:cs="宋体"/>
                <w:color w:val="auto"/>
                <w:sz w:val="24"/>
                <w:lang w:val="en-US" w:eastAsia="zh-CN"/>
              </w:rPr>
              <w:t>1台4t生物质锅炉对钧澄公司供汽，</w:t>
            </w:r>
            <w:r>
              <w:rPr>
                <w:rFonts w:hint="eastAsia" w:ascii="宋体" w:hAnsi="宋体" w:eastAsia="宋体" w:cs="宋体"/>
                <w:b w:val="0"/>
                <w:bCs w:val="0"/>
                <w:color w:val="auto"/>
                <w:sz w:val="24"/>
                <w:szCs w:val="24"/>
                <w:lang w:val="en-US" w:eastAsia="zh-CN"/>
              </w:rPr>
              <w:t>根据</w:t>
            </w:r>
            <w:r>
              <w:rPr>
                <w:rFonts w:hint="eastAsia" w:ascii="宋体" w:hAnsi="宋体" w:cs="宋体"/>
                <w:b w:val="0"/>
                <w:bCs w:val="0"/>
                <w:color w:val="auto"/>
                <w:sz w:val="24"/>
                <w:szCs w:val="24"/>
                <w:lang w:val="en-US" w:eastAsia="zh-CN"/>
              </w:rPr>
              <w:t>自行</w:t>
            </w:r>
            <w:r>
              <w:rPr>
                <w:rFonts w:hint="eastAsia" w:ascii="宋体" w:hAnsi="宋体" w:eastAsia="宋体" w:cs="宋体"/>
                <w:b w:val="0"/>
                <w:bCs w:val="0"/>
                <w:color w:val="auto"/>
                <w:sz w:val="24"/>
                <w:szCs w:val="24"/>
                <w:lang w:val="en-US" w:eastAsia="zh-CN"/>
              </w:rPr>
              <w:t>监测结果</w:t>
            </w:r>
            <w:r>
              <w:rPr>
                <w:rFonts w:hint="eastAsia" w:ascii="宋体" w:hAnsi="宋体" w:cs="宋体"/>
                <w:b w:val="0"/>
                <w:bCs w:val="0"/>
                <w:color w:val="auto"/>
                <w:sz w:val="24"/>
                <w:szCs w:val="24"/>
                <w:lang w:val="en-US" w:eastAsia="zh-CN"/>
              </w:rPr>
              <w:t>最大排放速率核算</w:t>
            </w:r>
            <w:r>
              <w:rPr>
                <w:rFonts w:hint="eastAsia" w:ascii="宋体" w:hAnsi="宋体" w:eastAsia="宋体" w:cs="宋体"/>
                <w:b w:val="0"/>
                <w:bCs w:val="0"/>
                <w:color w:val="auto"/>
                <w:sz w:val="24"/>
                <w:szCs w:val="24"/>
                <w:lang w:val="en-US" w:eastAsia="zh-CN"/>
              </w:rPr>
              <w:t>，项目蒸发器主要污染物排放量为</w:t>
            </w:r>
            <w:r>
              <w:rPr>
                <w:rFonts w:hint="eastAsia" w:ascii="宋体" w:hAnsi="宋体" w:cs="宋体"/>
                <w:b w:val="0"/>
                <w:bCs w:val="0"/>
                <w:color w:val="auto"/>
                <w:sz w:val="24"/>
                <w:szCs w:val="24"/>
                <w:lang w:val="en-US" w:eastAsia="zh-CN"/>
              </w:rPr>
              <w:t>颗粒物：</w:t>
            </w:r>
            <w:r>
              <w:rPr>
                <w:rFonts w:hint="eastAsia" w:ascii="宋体" w:hAnsi="宋体" w:eastAsia="宋体" w:cs="宋体"/>
                <w:b w:val="0"/>
                <w:bCs w:val="0"/>
                <w:color w:val="auto"/>
                <w:sz w:val="24"/>
                <w:szCs w:val="24"/>
                <w:lang w:val="en-US" w:eastAsia="zh-CN"/>
              </w:rPr>
              <w:t>项目蒸发器主要污染物排放量为</w:t>
            </w:r>
            <w:r>
              <w:rPr>
                <w:rFonts w:hint="eastAsia" w:ascii="宋体" w:hAnsi="宋体" w:cs="宋体"/>
                <w:b w:val="0"/>
                <w:bCs w:val="0"/>
                <w:color w:val="auto"/>
                <w:sz w:val="24"/>
                <w:szCs w:val="24"/>
                <w:lang w:val="en-US" w:eastAsia="zh-CN"/>
              </w:rPr>
              <w:t>颗粒物：0.0348</w:t>
            </w:r>
            <w:r>
              <w:rPr>
                <w:rFonts w:hint="eastAsia" w:ascii="宋体" w:hAnsi="宋体" w:eastAsia="宋体" w:cs="宋体"/>
                <w:b w:val="0"/>
                <w:bCs w:val="0"/>
                <w:color w:val="auto"/>
                <w:sz w:val="24"/>
                <w:szCs w:val="24"/>
                <w:lang w:val="en-US" w:eastAsia="zh-CN"/>
              </w:rPr>
              <w:t>t/a、SO</w:t>
            </w:r>
            <w:r>
              <w:rPr>
                <w:rFonts w:hint="eastAsia" w:ascii="宋体" w:hAnsi="宋体" w:eastAsia="宋体" w:cs="宋体"/>
                <w:b w:val="0"/>
                <w:bCs w:val="0"/>
                <w:color w:val="auto"/>
                <w:sz w:val="24"/>
                <w:szCs w:val="24"/>
                <w:vertAlign w:val="subscript"/>
                <w:lang w:val="en-US" w:eastAsia="zh-CN"/>
              </w:rPr>
              <w:t>2</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lang w:val="en-US" w:eastAsia="zh-CN"/>
              </w:rPr>
              <w:t>0.0</w:t>
            </w:r>
            <w:r>
              <w:rPr>
                <w:rFonts w:hint="eastAsia" w:ascii="宋体" w:hAnsi="宋体" w:cs="宋体"/>
                <w:b w:val="0"/>
                <w:bCs w:val="0"/>
                <w:color w:val="auto"/>
                <w:sz w:val="24"/>
                <w:szCs w:val="24"/>
                <w:lang w:val="en-US" w:eastAsia="zh-CN"/>
              </w:rPr>
              <w:t>24</w:t>
            </w:r>
            <w:r>
              <w:rPr>
                <w:rFonts w:hint="eastAsia" w:ascii="宋体" w:hAnsi="宋体" w:eastAsia="宋体" w:cs="宋体"/>
                <w:b w:val="0"/>
                <w:bCs w:val="0"/>
                <w:color w:val="auto"/>
                <w:sz w:val="24"/>
                <w:szCs w:val="24"/>
                <w:lang w:val="en-US" w:eastAsia="zh-CN"/>
              </w:rPr>
              <w:t>t/a、NOx</w:t>
            </w:r>
            <w:r>
              <w:rPr>
                <w:rFonts w:hint="eastAsia" w:ascii="宋体" w:hAnsi="宋体" w:cs="宋体"/>
                <w:b w:val="0"/>
                <w:bCs w:val="0"/>
                <w:color w:val="auto"/>
                <w:sz w:val="24"/>
                <w:szCs w:val="24"/>
                <w:lang w:val="en-US" w:eastAsia="zh-CN"/>
              </w:rPr>
              <w:t>：0.6936</w:t>
            </w:r>
            <w:r>
              <w:rPr>
                <w:rFonts w:hint="eastAsia" w:ascii="宋体" w:hAnsi="宋体" w:eastAsia="宋体" w:cs="宋体"/>
                <w:b w:val="0"/>
                <w:bCs w:val="0"/>
                <w:color w:val="auto"/>
                <w:sz w:val="24"/>
                <w:szCs w:val="24"/>
                <w:lang w:val="en-US" w:eastAsia="zh-CN"/>
              </w:rPr>
              <w:t>t/a</w:t>
            </w:r>
            <w:r>
              <w:rPr>
                <w:rFonts w:hint="eastAsia" w:ascii="宋体" w:hAnsi="宋体" w:cs="宋体"/>
                <w:b w:val="0"/>
                <w:bCs w:val="0"/>
                <w:color w:val="auto"/>
                <w:sz w:val="24"/>
                <w:szCs w:val="24"/>
                <w:lang w:val="en-US" w:eastAsia="zh-CN"/>
              </w:rPr>
              <w:t>，</w:t>
            </w:r>
            <w:r>
              <w:rPr>
                <w:rFonts w:hint="eastAsia"/>
                <w:color w:val="auto"/>
                <w:sz w:val="24"/>
                <w:highlight w:val="none"/>
                <w:lang w:eastAsia="zh-CN"/>
              </w:rPr>
              <w:t>蒸汽发生器</w:t>
            </w:r>
            <w:r>
              <w:rPr>
                <w:rFonts w:hint="eastAsia"/>
                <w:color w:val="auto"/>
                <w:sz w:val="24"/>
                <w:highlight w:val="none"/>
              </w:rPr>
              <w:t>烟气产生量为</w:t>
            </w:r>
            <w:r>
              <w:rPr>
                <w:rFonts w:hint="eastAsia"/>
                <w:color w:val="auto"/>
                <w:kern w:val="24"/>
                <w:sz w:val="24"/>
                <w:highlight w:val="none"/>
                <w:lang w:val="en-US" w:eastAsia="zh-CN"/>
              </w:rPr>
              <w:t>796.68</w:t>
            </w:r>
            <w:r>
              <w:rPr>
                <w:rFonts w:hint="eastAsia"/>
                <w:color w:val="auto"/>
                <w:kern w:val="24"/>
                <w:sz w:val="24"/>
                <w:highlight w:val="none"/>
              </w:rPr>
              <w:t>万m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eastAsia="zh-CN"/>
              </w:rPr>
              <w:t>。</w:t>
            </w:r>
            <w:r>
              <w:rPr>
                <w:rFonts w:hint="eastAsia" w:ascii="宋体" w:hAnsi="宋体" w:cs="宋体"/>
                <w:color w:val="auto"/>
                <w:sz w:val="24"/>
                <w:lang w:val="en-US" w:eastAsia="zh-CN"/>
              </w:rPr>
              <w:t>本项目锅炉废气采用低氮燃烧技术，减少氮氧化物的排放，颗粒物采用旋风除尘+布袋除尘器处理后外排，采取的废气治理技术为当下现行可行技术，能够保证废气达标排放，减少了主要污染物的排放量，满足排放总量控制要求。</w:t>
            </w:r>
          </w:p>
          <w:p w14:paraId="057216AB">
            <w:pPr>
              <w:spacing w:line="360" w:lineRule="auto"/>
              <w:ind w:firstLine="482"/>
              <w:rPr>
                <w:rFonts w:hint="default" w:ascii="宋体" w:hAnsi="宋体" w:cs="宋体"/>
                <w:color w:val="auto"/>
                <w:sz w:val="24"/>
                <w:lang w:val="en-US" w:eastAsia="zh-CN"/>
              </w:rPr>
            </w:pPr>
            <w:r>
              <w:rPr>
                <w:rFonts w:hint="eastAsia" w:ascii="宋体" w:hAnsi="宋体" w:cs="宋体"/>
                <w:color w:val="auto"/>
                <w:sz w:val="24"/>
                <w:lang w:val="en-US" w:eastAsia="zh-CN"/>
              </w:rPr>
              <w:t>项目的建设能增加额定蒸汽的供应，且采用废气污染物治理措施是高效的，项目的建设能减少主要废气污染物的排放，达到节能减排的效果。综上项目的建设是必要的。</w:t>
            </w:r>
          </w:p>
          <w:p w14:paraId="14272E3D">
            <w:pPr>
              <w:spacing w:line="360" w:lineRule="auto"/>
              <w:ind w:firstLine="482"/>
              <w:rPr>
                <w:rFonts w:hint="eastAsia" w:ascii="宋体" w:hAnsi="宋体" w:cs="宋体"/>
                <w:color w:val="auto"/>
                <w:sz w:val="24"/>
                <w:lang w:val="en-US" w:eastAsia="zh-CN"/>
              </w:rPr>
            </w:pPr>
          </w:p>
          <w:p w14:paraId="01D6B7E9">
            <w:pPr>
              <w:spacing w:line="360" w:lineRule="auto"/>
              <w:ind w:firstLine="482"/>
              <w:rPr>
                <w:rFonts w:hint="eastAsia" w:ascii="宋体" w:hAnsi="宋体" w:cs="宋体"/>
                <w:color w:val="auto"/>
                <w:sz w:val="24"/>
                <w:lang w:val="en-US" w:eastAsia="zh-CN"/>
              </w:rPr>
            </w:pPr>
          </w:p>
          <w:p w14:paraId="4DE89171">
            <w:pPr>
              <w:spacing w:line="360" w:lineRule="auto"/>
              <w:ind w:firstLine="482"/>
              <w:rPr>
                <w:rFonts w:hint="eastAsia" w:ascii="宋体" w:hAnsi="宋体" w:cs="宋体"/>
                <w:color w:val="auto"/>
                <w:sz w:val="24"/>
                <w:lang w:val="en-US" w:eastAsia="zh-CN"/>
              </w:rPr>
            </w:pPr>
          </w:p>
          <w:p w14:paraId="3BE1F8FC">
            <w:pPr>
              <w:pStyle w:val="24"/>
              <w:ind w:firstLine="210"/>
              <w:rPr>
                <w:bCs/>
                <w:color w:val="auto"/>
                <w:szCs w:val="21"/>
                <w:highlight w:val="none"/>
              </w:rPr>
            </w:pPr>
          </w:p>
          <w:p w14:paraId="5706C3BB">
            <w:pPr>
              <w:pStyle w:val="24"/>
              <w:ind w:firstLine="210"/>
              <w:rPr>
                <w:rFonts w:hint="eastAsia" w:eastAsia="宋体"/>
                <w:bCs/>
                <w:color w:val="auto"/>
                <w:szCs w:val="21"/>
                <w:highlight w:val="none"/>
                <w:lang w:eastAsia="zh-CN"/>
              </w:rPr>
            </w:pPr>
          </w:p>
          <w:p w14:paraId="5D6A5986">
            <w:pPr>
              <w:pStyle w:val="25"/>
              <w:ind w:firstLine="0" w:firstLineChars="0"/>
              <w:rPr>
                <w:color w:val="auto"/>
                <w:highlight w:val="none"/>
              </w:rPr>
            </w:pPr>
          </w:p>
        </w:tc>
      </w:tr>
    </w:tbl>
    <w:p w14:paraId="039BB61E">
      <w:pPr>
        <w:pStyle w:val="22"/>
        <w:jc w:val="center"/>
        <w:rPr>
          <w:rFonts w:ascii="Times New Roman" w:hAnsi="Times New Roman" w:eastAsia="黑体"/>
          <w:snapToGrid w:val="0"/>
          <w:color w:val="auto"/>
          <w:sz w:val="36"/>
          <w:szCs w:val="36"/>
          <w:highlight w:val="none"/>
        </w:rPr>
        <w:sectPr>
          <w:pgSz w:w="11906" w:h="16838"/>
          <w:pgMar w:top="1701" w:right="1531" w:bottom="1701" w:left="1531" w:header="851" w:footer="851" w:gutter="0"/>
          <w:pgNumType w:fmt="decimal"/>
          <w:cols w:space="720" w:num="1"/>
          <w:docGrid w:linePitch="312" w:charSpace="0"/>
        </w:sectPr>
      </w:pPr>
    </w:p>
    <w:p w14:paraId="68BF69CC">
      <w:pPr>
        <w:pStyle w:val="22"/>
        <w:jc w:val="center"/>
        <w:outlineLvl w:val="0"/>
        <w:rPr>
          <w:rFonts w:ascii="Times New Roman" w:hAnsi="Times New Roman" w:eastAsia="黑体"/>
          <w:snapToGrid w:val="0"/>
          <w:color w:val="auto"/>
          <w:sz w:val="30"/>
          <w:szCs w:val="30"/>
          <w:highlight w:val="none"/>
        </w:rPr>
      </w:pPr>
      <w:bookmarkStart w:id="20" w:name="_Toc7342"/>
      <w:r>
        <w:rPr>
          <w:rFonts w:ascii="Times New Roman" w:hAnsi="黑体" w:eastAsia="黑体"/>
          <w:snapToGrid w:val="0"/>
          <w:color w:val="auto"/>
          <w:sz w:val="30"/>
          <w:szCs w:val="30"/>
          <w:highlight w:val="none"/>
        </w:rPr>
        <w:t>三、区域环境质量现状、环境保护目标及评价标准</w:t>
      </w:r>
      <w:bookmarkEnd w:id="20"/>
    </w:p>
    <w:tbl>
      <w:tblPr>
        <w:tblStyle w:val="26"/>
        <w:tblW w:w="93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943"/>
      </w:tblGrid>
      <w:tr w14:paraId="2449C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56" w:type="dxa"/>
            <w:vAlign w:val="center"/>
          </w:tcPr>
          <w:p w14:paraId="31286C6F">
            <w:pPr>
              <w:adjustRightInd w:val="0"/>
              <w:snapToGrid w:val="0"/>
              <w:jc w:val="center"/>
              <w:rPr>
                <w:color w:val="auto"/>
                <w:kern w:val="0"/>
                <w:sz w:val="24"/>
                <w:highlight w:val="none"/>
              </w:rPr>
            </w:pPr>
            <w:r>
              <w:rPr>
                <w:color w:val="auto"/>
                <w:kern w:val="0"/>
                <w:sz w:val="24"/>
                <w:highlight w:val="none"/>
              </w:rPr>
              <w:t>区域</w:t>
            </w:r>
          </w:p>
          <w:p w14:paraId="00A029B0">
            <w:pPr>
              <w:adjustRightInd w:val="0"/>
              <w:snapToGrid w:val="0"/>
              <w:jc w:val="center"/>
              <w:rPr>
                <w:color w:val="auto"/>
                <w:kern w:val="0"/>
                <w:sz w:val="24"/>
                <w:highlight w:val="none"/>
              </w:rPr>
            </w:pPr>
            <w:r>
              <w:rPr>
                <w:color w:val="auto"/>
                <w:kern w:val="0"/>
                <w:sz w:val="24"/>
                <w:highlight w:val="none"/>
              </w:rPr>
              <w:t>环境</w:t>
            </w:r>
          </w:p>
          <w:p w14:paraId="1E4ECD90">
            <w:pPr>
              <w:adjustRightInd w:val="0"/>
              <w:snapToGrid w:val="0"/>
              <w:jc w:val="center"/>
              <w:rPr>
                <w:color w:val="auto"/>
                <w:kern w:val="0"/>
                <w:sz w:val="24"/>
                <w:highlight w:val="none"/>
              </w:rPr>
            </w:pPr>
            <w:r>
              <w:rPr>
                <w:color w:val="auto"/>
                <w:kern w:val="0"/>
                <w:sz w:val="24"/>
                <w:highlight w:val="none"/>
              </w:rPr>
              <w:t>质量</w:t>
            </w:r>
          </w:p>
          <w:p w14:paraId="5B9A88D0">
            <w:pPr>
              <w:adjustRightInd w:val="0"/>
              <w:snapToGrid w:val="0"/>
              <w:jc w:val="center"/>
              <w:rPr>
                <w:color w:val="auto"/>
                <w:kern w:val="0"/>
                <w:sz w:val="24"/>
                <w:highlight w:val="none"/>
              </w:rPr>
            </w:pPr>
            <w:r>
              <w:rPr>
                <w:color w:val="auto"/>
                <w:kern w:val="0"/>
                <w:sz w:val="24"/>
                <w:highlight w:val="none"/>
              </w:rPr>
              <w:t>现状</w:t>
            </w:r>
          </w:p>
        </w:tc>
        <w:tc>
          <w:tcPr>
            <w:tcW w:w="8943" w:type="dxa"/>
          </w:tcPr>
          <w:p w14:paraId="7CD72A33">
            <w:pPr>
              <w:spacing w:line="360" w:lineRule="auto"/>
              <w:ind w:firstLine="482" w:firstLineChars="200"/>
              <w:contextualSpacing/>
              <w:outlineLvl w:val="2"/>
              <w:rPr>
                <w:b/>
                <w:color w:val="auto"/>
                <w:sz w:val="24"/>
                <w:highlight w:val="none"/>
              </w:rPr>
            </w:pPr>
            <w:bookmarkStart w:id="21" w:name="_Toc531017790"/>
            <w:r>
              <w:rPr>
                <w:b/>
                <w:bCs/>
                <w:color w:val="auto"/>
                <w:sz w:val="24"/>
                <w:highlight w:val="none"/>
              </w:rPr>
              <w:t>一、</w:t>
            </w:r>
            <w:r>
              <w:rPr>
                <w:b/>
                <w:color w:val="auto"/>
                <w:sz w:val="24"/>
                <w:highlight w:val="none"/>
              </w:rPr>
              <w:t>环境空气</w:t>
            </w:r>
            <w:bookmarkEnd w:id="21"/>
          </w:p>
          <w:p w14:paraId="370D3AE3">
            <w:pPr>
              <w:spacing w:line="360" w:lineRule="auto"/>
              <w:ind w:firstLine="480"/>
              <w:rPr>
                <w:color w:val="auto"/>
                <w:sz w:val="24"/>
                <w:highlight w:val="none"/>
              </w:rPr>
            </w:pPr>
            <w:bookmarkStart w:id="22" w:name="_Toc12118053"/>
            <w:bookmarkStart w:id="23" w:name="_Toc531017791"/>
            <w:r>
              <w:rPr>
                <w:color w:val="auto"/>
                <w:sz w:val="24"/>
                <w:highlight w:val="none"/>
              </w:rPr>
              <w:t>1、环境空气质量标准</w:t>
            </w:r>
          </w:p>
          <w:p w14:paraId="1AD03C0D">
            <w:pPr>
              <w:pStyle w:val="80"/>
              <w:ind w:firstLine="480"/>
              <w:rPr>
                <w:color w:val="auto"/>
                <w:highlight w:val="none"/>
              </w:rPr>
            </w:pPr>
            <w:r>
              <w:rPr>
                <w:color w:val="auto"/>
                <w:highlight w:val="none"/>
              </w:rPr>
              <w:t>项目位于</w:t>
            </w:r>
            <w:r>
              <w:rPr>
                <w:rFonts w:hint="eastAsia"/>
                <w:color w:val="auto"/>
                <w:highlight w:val="none"/>
                <w:lang w:eastAsia="zh-CN"/>
              </w:rPr>
              <w:t>云南省玉溪市红塔区北城街道环城南路中</w:t>
            </w:r>
            <w:r>
              <w:rPr>
                <w:rFonts w:hint="eastAsia"/>
                <w:color w:val="auto"/>
                <w:highlight w:val="none"/>
                <w:lang w:val="en-US" w:eastAsia="zh-CN"/>
              </w:rPr>
              <w:t>段</w:t>
            </w:r>
            <w:r>
              <w:rPr>
                <w:rFonts w:hint="eastAsia"/>
                <w:color w:val="auto"/>
                <w:highlight w:val="none"/>
                <w:lang w:eastAsia="zh-CN"/>
              </w:rPr>
              <w:t>（钧澄公司内）</w:t>
            </w:r>
            <w:r>
              <w:rPr>
                <w:color w:val="auto"/>
                <w:highlight w:val="none"/>
              </w:rPr>
              <w:t>，项目所在区域大气环境执行《环境空气质量标准》（GB3095-2012）中的二级标准。标准值见表3-1。</w:t>
            </w:r>
          </w:p>
          <w:p w14:paraId="241E66C9">
            <w:pPr>
              <w:adjustRightInd w:val="0"/>
              <w:snapToGrid w:val="0"/>
              <w:spacing w:line="360" w:lineRule="auto"/>
              <w:jc w:val="center"/>
              <w:rPr>
                <w:b/>
                <w:color w:val="auto"/>
                <w:kern w:val="24"/>
                <w:sz w:val="24"/>
                <w:highlight w:val="none"/>
              </w:rPr>
            </w:pPr>
            <w:r>
              <w:rPr>
                <w:b/>
                <w:color w:val="auto"/>
                <w:kern w:val="24"/>
                <w:sz w:val="24"/>
                <w:highlight w:val="none"/>
              </w:rPr>
              <w:t>表3-1  环境空气质量标准</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908"/>
              <w:gridCol w:w="1235"/>
              <w:gridCol w:w="964"/>
              <w:gridCol w:w="3000"/>
            </w:tblGrid>
            <w:tr w14:paraId="497A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920" w:type="pct"/>
                  <w:vMerge w:val="restart"/>
                  <w:vAlign w:val="center"/>
                </w:tcPr>
                <w:p w14:paraId="477C79F3">
                  <w:pPr>
                    <w:adjustRightInd w:val="0"/>
                    <w:snapToGrid w:val="0"/>
                    <w:jc w:val="center"/>
                    <w:rPr>
                      <w:color w:val="auto"/>
                      <w:szCs w:val="21"/>
                      <w:highlight w:val="none"/>
                    </w:rPr>
                  </w:pPr>
                  <w:r>
                    <w:rPr>
                      <w:color w:val="auto"/>
                      <w:szCs w:val="21"/>
                      <w:highlight w:val="none"/>
                    </w:rPr>
                    <w:t>污染物</w:t>
                  </w:r>
                </w:p>
              </w:tc>
              <w:tc>
                <w:tcPr>
                  <w:tcW w:w="1803" w:type="pct"/>
                  <w:gridSpan w:val="2"/>
                  <w:vAlign w:val="center"/>
                </w:tcPr>
                <w:p w14:paraId="40F04634">
                  <w:pPr>
                    <w:adjustRightInd w:val="0"/>
                    <w:snapToGrid w:val="0"/>
                    <w:jc w:val="center"/>
                    <w:rPr>
                      <w:color w:val="auto"/>
                      <w:szCs w:val="21"/>
                      <w:highlight w:val="none"/>
                    </w:rPr>
                  </w:pPr>
                  <w:r>
                    <w:rPr>
                      <w:color w:val="auto"/>
                      <w:szCs w:val="21"/>
                      <w:highlight w:val="none"/>
                    </w:rPr>
                    <w:t>浓度限值</w:t>
                  </w:r>
                </w:p>
              </w:tc>
              <w:tc>
                <w:tcPr>
                  <w:tcW w:w="553" w:type="pct"/>
                </w:tcPr>
                <w:p w14:paraId="709BC506">
                  <w:pPr>
                    <w:adjustRightInd w:val="0"/>
                    <w:snapToGrid w:val="0"/>
                    <w:jc w:val="center"/>
                    <w:rPr>
                      <w:color w:val="auto"/>
                      <w:szCs w:val="21"/>
                      <w:highlight w:val="none"/>
                    </w:rPr>
                  </w:pPr>
                  <w:r>
                    <w:rPr>
                      <w:color w:val="auto"/>
                      <w:szCs w:val="21"/>
                      <w:highlight w:val="none"/>
                    </w:rPr>
                    <w:t>单位</w:t>
                  </w:r>
                </w:p>
              </w:tc>
              <w:tc>
                <w:tcPr>
                  <w:tcW w:w="1721" w:type="pct"/>
                </w:tcPr>
                <w:p w14:paraId="03093628">
                  <w:pPr>
                    <w:adjustRightInd w:val="0"/>
                    <w:snapToGrid w:val="0"/>
                    <w:jc w:val="center"/>
                    <w:rPr>
                      <w:color w:val="auto"/>
                      <w:szCs w:val="21"/>
                      <w:highlight w:val="none"/>
                    </w:rPr>
                  </w:pPr>
                  <w:r>
                    <w:rPr>
                      <w:color w:val="auto"/>
                      <w:szCs w:val="21"/>
                      <w:highlight w:val="none"/>
                    </w:rPr>
                    <w:t>标准来源</w:t>
                  </w:r>
                </w:p>
              </w:tc>
            </w:tr>
            <w:tr w14:paraId="1E4A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920" w:type="pct"/>
                  <w:vMerge w:val="continue"/>
                  <w:vAlign w:val="center"/>
                </w:tcPr>
                <w:p w14:paraId="5449820B">
                  <w:pPr>
                    <w:adjustRightInd w:val="0"/>
                    <w:snapToGrid w:val="0"/>
                    <w:jc w:val="center"/>
                    <w:rPr>
                      <w:color w:val="auto"/>
                      <w:szCs w:val="21"/>
                      <w:highlight w:val="none"/>
                    </w:rPr>
                  </w:pPr>
                </w:p>
              </w:tc>
              <w:tc>
                <w:tcPr>
                  <w:tcW w:w="1094" w:type="pct"/>
                  <w:vAlign w:val="center"/>
                </w:tcPr>
                <w:p w14:paraId="73A8855D">
                  <w:pPr>
                    <w:adjustRightInd w:val="0"/>
                    <w:snapToGrid w:val="0"/>
                    <w:jc w:val="center"/>
                    <w:rPr>
                      <w:color w:val="auto"/>
                      <w:szCs w:val="21"/>
                      <w:highlight w:val="none"/>
                    </w:rPr>
                  </w:pPr>
                  <w:r>
                    <w:rPr>
                      <w:color w:val="auto"/>
                      <w:szCs w:val="21"/>
                      <w:highlight w:val="none"/>
                    </w:rPr>
                    <w:t>取值时间</w:t>
                  </w:r>
                </w:p>
              </w:tc>
              <w:tc>
                <w:tcPr>
                  <w:tcW w:w="709" w:type="pct"/>
                  <w:vAlign w:val="center"/>
                </w:tcPr>
                <w:p w14:paraId="571CACB7">
                  <w:pPr>
                    <w:adjustRightInd w:val="0"/>
                    <w:snapToGrid w:val="0"/>
                    <w:jc w:val="center"/>
                    <w:rPr>
                      <w:color w:val="auto"/>
                      <w:szCs w:val="21"/>
                      <w:highlight w:val="none"/>
                    </w:rPr>
                  </w:pPr>
                  <w:r>
                    <w:rPr>
                      <w:color w:val="auto"/>
                      <w:szCs w:val="21"/>
                      <w:highlight w:val="none"/>
                    </w:rPr>
                    <w:t>二级标准</w:t>
                  </w:r>
                </w:p>
              </w:tc>
              <w:tc>
                <w:tcPr>
                  <w:tcW w:w="553" w:type="pct"/>
                  <w:vMerge w:val="restart"/>
                  <w:vAlign w:val="center"/>
                </w:tcPr>
                <w:p w14:paraId="176B8E20">
                  <w:pPr>
                    <w:adjustRightInd w:val="0"/>
                    <w:snapToGrid w:val="0"/>
                    <w:jc w:val="center"/>
                    <w:rPr>
                      <w:color w:val="auto"/>
                      <w:szCs w:val="21"/>
                      <w:highlight w:val="none"/>
                    </w:rPr>
                  </w:pPr>
                  <w:r>
                    <w:rPr>
                      <w:color w:val="auto"/>
                      <w:szCs w:val="21"/>
                      <w:highlight w:val="none"/>
                    </w:rPr>
                    <w:t>μg/m</w:t>
                  </w:r>
                  <w:r>
                    <w:rPr>
                      <w:color w:val="auto"/>
                      <w:szCs w:val="21"/>
                      <w:highlight w:val="none"/>
                      <w:vertAlign w:val="superscript"/>
                    </w:rPr>
                    <w:t>3</w:t>
                  </w:r>
                </w:p>
              </w:tc>
              <w:tc>
                <w:tcPr>
                  <w:tcW w:w="1721" w:type="pct"/>
                  <w:vMerge w:val="restart"/>
                  <w:vAlign w:val="center"/>
                </w:tcPr>
                <w:p w14:paraId="392BDA05">
                  <w:pPr>
                    <w:adjustRightInd w:val="0"/>
                    <w:snapToGrid w:val="0"/>
                    <w:jc w:val="center"/>
                    <w:rPr>
                      <w:color w:val="auto"/>
                      <w:szCs w:val="21"/>
                      <w:highlight w:val="none"/>
                    </w:rPr>
                  </w:pPr>
                  <w:r>
                    <w:rPr>
                      <w:color w:val="auto"/>
                      <w:szCs w:val="21"/>
                      <w:highlight w:val="none"/>
                    </w:rPr>
                    <w:t>《环境空气质量标准》（GB3095-2012）中</w:t>
                  </w:r>
                  <w:r>
                    <w:rPr>
                      <w:rFonts w:hint="eastAsia"/>
                      <w:color w:val="auto"/>
                      <w:szCs w:val="21"/>
                      <w:highlight w:val="none"/>
                    </w:rPr>
                    <w:t>表1、表2</w:t>
                  </w:r>
                  <w:r>
                    <w:rPr>
                      <w:color w:val="auto"/>
                      <w:szCs w:val="21"/>
                      <w:highlight w:val="none"/>
                    </w:rPr>
                    <w:t>的二级标准</w:t>
                  </w:r>
                </w:p>
              </w:tc>
            </w:tr>
            <w:tr w14:paraId="5ECF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27FBE367">
                  <w:pPr>
                    <w:adjustRightInd w:val="0"/>
                    <w:snapToGrid w:val="0"/>
                    <w:jc w:val="center"/>
                    <w:rPr>
                      <w:color w:val="auto"/>
                      <w:szCs w:val="21"/>
                      <w:highlight w:val="none"/>
                    </w:rPr>
                  </w:pPr>
                  <w:r>
                    <w:rPr>
                      <w:color w:val="auto"/>
                      <w:szCs w:val="21"/>
                      <w:highlight w:val="none"/>
                    </w:rPr>
                    <w:t>二氧化硫（SO</w:t>
                  </w:r>
                  <w:r>
                    <w:rPr>
                      <w:color w:val="auto"/>
                      <w:szCs w:val="21"/>
                      <w:highlight w:val="none"/>
                      <w:vertAlign w:val="subscript"/>
                    </w:rPr>
                    <w:t>2</w:t>
                  </w:r>
                  <w:r>
                    <w:rPr>
                      <w:color w:val="auto"/>
                      <w:szCs w:val="21"/>
                      <w:highlight w:val="none"/>
                    </w:rPr>
                    <w:t>）</w:t>
                  </w:r>
                </w:p>
              </w:tc>
              <w:tc>
                <w:tcPr>
                  <w:tcW w:w="1094" w:type="pct"/>
                  <w:vAlign w:val="center"/>
                </w:tcPr>
                <w:p w14:paraId="5F0762C6">
                  <w:pPr>
                    <w:adjustRightInd w:val="0"/>
                    <w:snapToGrid w:val="0"/>
                    <w:jc w:val="center"/>
                    <w:rPr>
                      <w:color w:val="auto"/>
                      <w:szCs w:val="21"/>
                      <w:highlight w:val="none"/>
                    </w:rPr>
                  </w:pPr>
                  <w:r>
                    <w:rPr>
                      <w:color w:val="auto"/>
                      <w:szCs w:val="21"/>
                      <w:highlight w:val="none"/>
                    </w:rPr>
                    <w:t>年平均</w:t>
                  </w:r>
                </w:p>
              </w:tc>
              <w:tc>
                <w:tcPr>
                  <w:tcW w:w="709" w:type="pct"/>
                  <w:vAlign w:val="center"/>
                </w:tcPr>
                <w:p w14:paraId="4C260928">
                  <w:pPr>
                    <w:adjustRightInd w:val="0"/>
                    <w:snapToGrid w:val="0"/>
                    <w:jc w:val="center"/>
                    <w:rPr>
                      <w:color w:val="auto"/>
                      <w:szCs w:val="21"/>
                      <w:highlight w:val="none"/>
                    </w:rPr>
                  </w:pPr>
                  <w:r>
                    <w:rPr>
                      <w:color w:val="auto"/>
                      <w:szCs w:val="21"/>
                      <w:highlight w:val="none"/>
                    </w:rPr>
                    <w:t>60</w:t>
                  </w:r>
                </w:p>
              </w:tc>
              <w:tc>
                <w:tcPr>
                  <w:tcW w:w="553" w:type="pct"/>
                  <w:vMerge w:val="continue"/>
                  <w:vAlign w:val="center"/>
                </w:tcPr>
                <w:p w14:paraId="2280599D">
                  <w:pPr>
                    <w:adjustRightInd w:val="0"/>
                    <w:snapToGrid w:val="0"/>
                    <w:jc w:val="center"/>
                    <w:rPr>
                      <w:color w:val="auto"/>
                      <w:szCs w:val="21"/>
                      <w:highlight w:val="none"/>
                    </w:rPr>
                  </w:pPr>
                </w:p>
              </w:tc>
              <w:tc>
                <w:tcPr>
                  <w:tcW w:w="1721" w:type="pct"/>
                  <w:vMerge w:val="continue"/>
                  <w:vAlign w:val="center"/>
                </w:tcPr>
                <w:p w14:paraId="54320586">
                  <w:pPr>
                    <w:adjustRightInd w:val="0"/>
                    <w:snapToGrid w:val="0"/>
                    <w:jc w:val="center"/>
                    <w:rPr>
                      <w:color w:val="auto"/>
                      <w:szCs w:val="21"/>
                      <w:highlight w:val="none"/>
                    </w:rPr>
                  </w:pPr>
                </w:p>
              </w:tc>
            </w:tr>
            <w:tr w14:paraId="638C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2DC2D66B">
                  <w:pPr>
                    <w:adjustRightInd w:val="0"/>
                    <w:snapToGrid w:val="0"/>
                    <w:jc w:val="center"/>
                    <w:rPr>
                      <w:color w:val="auto"/>
                      <w:szCs w:val="21"/>
                      <w:highlight w:val="none"/>
                    </w:rPr>
                  </w:pPr>
                </w:p>
              </w:tc>
              <w:tc>
                <w:tcPr>
                  <w:tcW w:w="1094" w:type="pct"/>
                  <w:vAlign w:val="center"/>
                </w:tcPr>
                <w:p w14:paraId="1A27A20E">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154B61E8">
                  <w:pPr>
                    <w:adjustRightInd w:val="0"/>
                    <w:snapToGrid w:val="0"/>
                    <w:jc w:val="center"/>
                    <w:rPr>
                      <w:color w:val="auto"/>
                      <w:szCs w:val="21"/>
                      <w:highlight w:val="none"/>
                    </w:rPr>
                  </w:pPr>
                  <w:r>
                    <w:rPr>
                      <w:color w:val="auto"/>
                      <w:szCs w:val="21"/>
                      <w:highlight w:val="none"/>
                    </w:rPr>
                    <w:t>150</w:t>
                  </w:r>
                </w:p>
              </w:tc>
              <w:tc>
                <w:tcPr>
                  <w:tcW w:w="553" w:type="pct"/>
                  <w:vMerge w:val="continue"/>
                  <w:vAlign w:val="center"/>
                </w:tcPr>
                <w:p w14:paraId="4191634E">
                  <w:pPr>
                    <w:adjustRightInd w:val="0"/>
                    <w:snapToGrid w:val="0"/>
                    <w:jc w:val="center"/>
                    <w:rPr>
                      <w:color w:val="auto"/>
                      <w:szCs w:val="21"/>
                      <w:highlight w:val="none"/>
                    </w:rPr>
                  </w:pPr>
                </w:p>
              </w:tc>
              <w:tc>
                <w:tcPr>
                  <w:tcW w:w="1721" w:type="pct"/>
                  <w:vMerge w:val="continue"/>
                  <w:vAlign w:val="center"/>
                </w:tcPr>
                <w:p w14:paraId="7C57950C">
                  <w:pPr>
                    <w:adjustRightInd w:val="0"/>
                    <w:snapToGrid w:val="0"/>
                    <w:jc w:val="center"/>
                    <w:rPr>
                      <w:color w:val="auto"/>
                      <w:szCs w:val="21"/>
                      <w:highlight w:val="none"/>
                    </w:rPr>
                  </w:pPr>
                </w:p>
              </w:tc>
            </w:tr>
            <w:tr w14:paraId="00EC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0555034E">
                  <w:pPr>
                    <w:adjustRightInd w:val="0"/>
                    <w:snapToGrid w:val="0"/>
                    <w:jc w:val="center"/>
                    <w:rPr>
                      <w:color w:val="auto"/>
                      <w:szCs w:val="21"/>
                      <w:highlight w:val="none"/>
                    </w:rPr>
                  </w:pPr>
                </w:p>
              </w:tc>
              <w:tc>
                <w:tcPr>
                  <w:tcW w:w="1094" w:type="pct"/>
                  <w:vAlign w:val="center"/>
                </w:tcPr>
                <w:p w14:paraId="35429F23">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018DE46E">
                  <w:pPr>
                    <w:adjustRightInd w:val="0"/>
                    <w:snapToGrid w:val="0"/>
                    <w:jc w:val="center"/>
                    <w:rPr>
                      <w:color w:val="auto"/>
                      <w:szCs w:val="21"/>
                      <w:highlight w:val="none"/>
                    </w:rPr>
                  </w:pPr>
                  <w:r>
                    <w:rPr>
                      <w:color w:val="auto"/>
                      <w:szCs w:val="21"/>
                      <w:highlight w:val="none"/>
                    </w:rPr>
                    <w:t>500</w:t>
                  </w:r>
                </w:p>
              </w:tc>
              <w:tc>
                <w:tcPr>
                  <w:tcW w:w="553" w:type="pct"/>
                  <w:vMerge w:val="continue"/>
                  <w:vAlign w:val="center"/>
                </w:tcPr>
                <w:p w14:paraId="61DFC6FE">
                  <w:pPr>
                    <w:adjustRightInd w:val="0"/>
                    <w:snapToGrid w:val="0"/>
                    <w:jc w:val="center"/>
                    <w:rPr>
                      <w:color w:val="auto"/>
                      <w:szCs w:val="21"/>
                      <w:highlight w:val="none"/>
                    </w:rPr>
                  </w:pPr>
                </w:p>
              </w:tc>
              <w:tc>
                <w:tcPr>
                  <w:tcW w:w="1721" w:type="pct"/>
                  <w:vMerge w:val="continue"/>
                  <w:vAlign w:val="center"/>
                </w:tcPr>
                <w:p w14:paraId="568F2489">
                  <w:pPr>
                    <w:adjustRightInd w:val="0"/>
                    <w:snapToGrid w:val="0"/>
                    <w:jc w:val="center"/>
                    <w:rPr>
                      <w:color w:val="auto"/>
                      <w:szCs w:val="21"/>
                      <w:highlight w:val="none"/>
                    </w:rPr>
                  </w:pPr>
                </w:p>
              </w:tc>
            </w:tr>
            <w:tr w14:paraId="5BF4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595FF5CF">
                  <w:pPr>
                    <w:adjustRightInd w:val="0"/>
                    <w:snapToGrid w:val="0"/>
                    <w:jc w:val="center"/>
                    <w:rPr>
                      <w:color w:val="auto"/>
                      <w:szCs w:val="21"/>
                      <w:highlight w:val="none"/>
                    </w:rPr>
                  </w:pPr>
                  <w:r>
                    <w:rPr>
                      <w:color w:val="auto"/>
                      <w:szCs w:val="21"/>
                      <w:highlight w:val="none"/>
                    </w:rPr>
                    <w:t>二氧化氮(NO</w:t>
                  </w:r>
                  <w:r>
                    <w:rPr>
                      <w:color w:val="auto"/>
                      <w:szCs w:val="21"/>
                      <w:highlight w:val="none"/>
                      <w:vertAlign w:val="subscript"/>
                    </w:rPr>
                    <w:t>2</w:t>
                  </w:r>
                  <w:r>
                    <w:rPr>
                      <w:color w:val="auto"/>
                      <w:szCs w:val="21"/>
                      <w:highlight w:val="none"/>
                    </w:rPr>
                    <w:t>)</w:t>
                  </w:r>
                </w:p>
              </w:tc>
              <w:tc>
                <w:tcPr>
                  <w:tcW w:w="1094" w:type="pct"/>
                  <w:vAlign w:val="center"/>
                </w:tcPr>
                <w:p w14:paraId="729A54AC">
                  <w:pPr>
                    <w:adjustRightInd w:val="0"/>
                    <w:snapToGrid w:val="0"/>
                    <w:jc w:val="center"/>
                    <w:rPr>
                      <w:color w:val="auto"/>
                      <w:szCs w:val="21"/>
                      <w:highlight w:val="none"/>
                    </w:rPr>
                  </w:pPr>
                  <w:r>
                    <w:rPr>
                      <w:color w:val="auto"/>
                      <w:szCs w:val="21"/>
                      <w:highlight w:val="none"/>
                    </w:rPr>
                    <w:t>年平均</w:t>
                  </w:r>
                </w:p>
              </w:tc>
              <w:tc>
                <w:tcPr>
                  <w:tcW w:w="709" w:type="pct"/>
                  <w:vAlign w:val="center"/>
                </w:tcPr>
                <w:p w14:paraId="78278DD0">
                  <w:pPr>
                    <w:adjustRightInd w:val="0"/>
                    <w:snapToGrid w:val="0"/>
                    <w:jc w:val="center"/>
                    <w:rPr>
                      <w:color w:val="auto"/>
                      <w:szCs w:val="21"/>
                      <w:highlight w:val="none"/>
                    </w:rPr>
                  </w:pPr>
                  <w:r>
                    <w:rPr>
                      <w:color w:val="auto"/>
                      <w:szCs w:val="21"/>
                      <w:highlight w:val="none"/>
                    </w:rPr>
                    <w:t>40</w:t>
                  </w:r>
                </w:p>
              </w:tc>
              <w:tc>
                <w:tcPr>
                  <w:tcW w:w="553" w:type="pct"/>
                  <w:vMerge w:val="continue"/>
                  <w:vAlign w:val="center"/>
                </w:tcPr>
                <w:p w14:paraId="5EEAF446">
                  <w:pPr>
                    <w:adjustRightInd w:val="0"/>
                    <w:snapToGrid w:val="0"/>
                    <w:jc w:val="center"/>
                    <w:rPr>
                      <w:color w:val="auto"/>
                      <w:szCs w:val="21"/>
                      <w:highlight w:val="none"/>
                    </w:rPr>
                  </w:pPr>
                </w:p>
              </w:tc>
              <w:tc>
                <w:tcPr>
                  <w:tcW w:w="1721" w:type="pct"/>
                  <w:vMerge w:val="continue"/>
                  <w:vAlign w:val="center"/>
                </w:tcPr>
                <w:p w14:paraId="32E4C42F">
                  <w:pPr>
                    <w:adjustRightInd w:val="0"/>
                    <w:snapToGrid w:val="0"/>
                    <w:jc w:val="center"/>
                    <w:rPr>
                      <w:color w:val="auto"/>
                      <w:szCs w:val="21"/>
                      <w:highlight w:val="none"/>
                    </w:rPr>
                  </w:pPr>
                </w:p>
              </w:tc>
            </w:tr>
            <w:tr w14:paraId="11C9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7A66E9DC">
                  <w:pPr>
                    <w:adjustRightInd w:val="0"/>
                    <w:snapToGrid w:val="0"/>
                    <w:jc w:val="center"/>
                    <w:rPr>
                      <w:color w:val="auto"/>
                      <w:szCs w:val="21"/>
                      <w:highlight w:val="none"/>
                    </w:rPr>
                  </w:pPr>
                </w:p>
              </w:tc>
              <w:tc>
                <w:tcPr>
                  <w:tcW w:w="1094" w:type="pct"/>
                  <w:vAlign w:val="center"/>
                </w:tcPr>
                <w:p w14:paraId="40602444">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2F969F87">
                  <w:pPr>
                    <w:adjustRightInd w:val="0"/>
                    <w:snapToGrid w:val="0"/>
                    <w:jc w:val="center"/>
                    <w:rPr>
                      <w:color w:val="auto"/>
                      <w:szCs w:val="21"/>
                      <w:highlight w:val="none"/>
                    </w:rPr>
                  </w:pPr>
                  <w:r>
                    <w:rPr>
                      <w:color w:val="auto"/>
                      <w:szCs w:val="21"/>
                      <w:highlight w:val="none"/>
                    </w:rPr>
                    <w:t>80</w:t>
                  </w:r>
                </w:p>
              </w:tc>
              <w:tc>
                <w:tcPr>
                  <w:tcW w:w="553" w:type="pct"/>
                  <w:vMerge w:val="continue"/>
                  <w:vAlign w:val="center"/>
                </w:tcPr>
                <w:p w14:paraId="2F78515B">
                  <w:pPr>
                    <w:adjustRightInd w:val="0"/>
                    <w:snapToGrid w:val="0"/>
                    <w:jc w:val="center"/>
                    <w:rPr>
                      <w:color w:val="auto"/>
                      <w:szCs w:val="21"/>
                      <w:highlight w:val="none"/>
                    </w:rPr>
                  </w:pPr>
                </w:p>
              </w:tc>
              <w:tc>
                <w:tcPr>
                  <w:tcW w:w="1721" w:type="pct"/>
                  <w:vMerge w:val="continue"/>
                  <w:vAlign w:val="center"/>
                </w:tcPr>
                <w:p w14:paraId="3BBF24ED">
                  <w:pPr>
                    <w:adjustRightInd w:val="0"/>
                    <w:snapToGrid w:val="0"/>
                    <w:jc w:val="center"/>
                    <w:rPr>
                      <w:color w:val="auto"/>
                      <w:szCs w:val="21"/>
                      <w:highlight w:val="none"/>
                    </w:rPr>
                  </w:pPr>
                </w:p>
              </w:tc>
            </w:tr>
            <w:tr w14:paraId="08F4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28CC2FD3">
                  <w:pPr>
                    <w:adjustRightInd w:val="0"/>
                    <w:snapToGrid w:val="0"/>
                    <w:jc w:val="center"/>
                    <w:rPr>
                      <w:color w:val="auto"/>
                      <w:szCs w:val="21"/>
                      <w:highlight w:val="none"/>
                    </w:rPr>
                  </w:pPr>
                </w:p>
              </w:tc>
              <w:tc>
                <w:tcPr>
                  <w:tcW w:w="1094" w:type="pct"/>
                  <w:vAlign w:val="center"/>
                </w:tcPr>
                <w:p w14:paraId="74C05FBE">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4DE73819">
                  <w:pPr>
                    <w:adjustRightInd w:val="0"/>
                    <w:snapToGrid w:val="0"/>
                    <w:jc w:val="center"/>
                    <w:rPr>
                      <w:color w:val="auto"/>
                      <w:szCs w:val="21"/>
                      <w:highlight w:val="none"/>
                    </w:rPr>
                  </w:pPr>
                  <w:r>
                    <w:rPr>
                      <w:color w:val="auto"/>
                      <w:szCs w:val="21"/>
                      <w:highlight w:val="none"/>
                    </w:rPr>
                    <w:t>200</w:t>
                  </w:r>
                </w:p>
              </w:tc>
              <w:tc>
                <w:tcPr>
                  <w:tcW w:w="553" w:type="pct"/>
                  <w:vMerge w:val="continue"/>
                  <w:vAlign w:val="center"/>
                </w:tcPr>
                <w:p w14:paraId="0931E908">
                  <w:pPr>
                    <w:adjustRightInd w:val="0"/>
                    <w:snapToGrid w:val="0"/>
                    <w:jc w:val="center"/>
                    <w:rPr>
                      <w:color w:val="auto"/>
                      <w:szCs w:val="21"/>
                      <w:highlight w:val="none"/>
                    </w:rPr>
                  </w:pPr>
                </w:p>
              </w:tc>
              <w:tc>
                <w:tcPr>
                  <w:tcW w:w="1721" w:type="pct"/>
                  <w:vMerge w:val="continue"/>
                  <w:vAlign w:val="center"/>
                </w:tcPr>
                <w:p w14:paraId="7A26C07F">
                  <w:pPr>
                    <w:adjustRightInd w:val="0"/>
                    <w:snapToGrid w:val="0"/>
                    <w:jc w:val="center"/>
                    <w:rPr>
                      <w:color w:val="auto"/>
                      <w:szCs w:val="21"/>
                      <w:highlight w:val="none"/>
                    </w:rPr>
                  </w:pPr>
                </w:p>
              </w:tc>
            </w:tr>
            <w:tr w14:paraId="76C4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2A1C665D">
                  <w:pPr>
                    <w:adjustRightInd w:val="0"/>
                    <w:snapToGrid w:val="0"/>
                    <w:jc w:val="center"/>
                    <w:rPr>
                      <w:color w:val="auto"/>
                      <w:szCs w:val="21"/>
                      <w:highlight w:val="none"/>
                    </w:rPr>
                  </w:pPr>
                  <w:r>
                    <w:rPr>
                      <w:color w:val="auto"/>
                      <w:szCs w:val="21"/>
                      <w:highlight w:val="none"/>
                    </w:rPr>
                    <w:t>一氧化碳（CO）</w:t>
                  </w:r>
                </w:p>
              </w:tc>
              <w:tc>
                <w:tcPr>
                  <w:tcW w:w="1094" w:type="pct"/>
                  <w:vAlign w:val="center"/>
                </w:tcPr>
                <w:p w14:paraId="171F93E1">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23B07383">
                  <w:pPr>
                    <w:adjustRightInd w:val="0"/>
                    <w:snapToGrid w:val="0"/>
                    <w:jc w:val="center"/>
                    <w:rPr>
                      <w:color w:val="auto"/>
                      <w:szCs w:val="21"/>
                      <w:highlight w:val="none"/>
                    </w:rPr>
                  </w:pPr>
                  <w:r>
                    <w:rPr>
                      <w:color w:val="auto"/>
                      <w:szCs w:val="21"/>
                      <w:highlight w:val="none"/>
                    </w:rPr>
                    <w:t>4</w:t>
                  </w:r>
                </w:p>
              </w:tc>
              <w:tc>
                <w:tcPr>
                  <w:tcW w:w="553" w:type="pct"/>
                  <w:vMerge w:val="restart"/>
                  <w:vAlign w:val="center"/>
                </w:tcPr>
                <w:p w14:paraId="372A5AE7">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1721" w:type="pct"/>
                  <w:vMerge w:val="continue"/>
                  <w:vAlign w:val="center"/>
                </w:tcPr>
                <w:p w14:paraId="0E77E432">
                  <w:pPr>
                    <w:adjustRightInd w:val="0"/>
                    <w:snapToGrid w:val="0"/>
                    <w:jc w:val="center"/>
                    <w:rPr>
                      <w:color w:val="auto"/>
                      <w:szCs w:val="21"/>
                      <w:highlight w:val="none"/>
                    </w:rPr>
                  </w:pPr>
                </w:p>
              </w:tc>
            </w:tr>
            <w:tr w14:paraId="0526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76DF3FC9">
                  <w:pPr>
                    <w:adjustRightInd w:val="0"/>
                    <w:snapToGrid w:val="0"/>
                    <w:jc w:val="center"/>
                    <w:rPr>
                      <w:color w:val="auto"/>
                      <w:szCs w:val="21"/>
                      <w:highlight w:val="none"/>
                    </w:rPr>
                  </w:pPr>
                </w:p>
              </w:tc>
              <w:tc>
                <w:tcPr>
                  <w:tcW w:w="1094" w:type="pct"/>
                  <w:vAlign w:val="center"/>
                </w:tcPr>
                <w:p w14:paraId="1FB92CB5">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1241C07F">
                  <w:pPr>
                    <w:adjustRightInd w:val="0"/>
                    <w:snapToGrid w:val="0"/>
                    <w:jc w:val="center"/>
                    <w:rPr>
                      <w:color w:val="auto"/>
                      <w:szCs w:val="21"/>
                      <w:highlight w:val="none"/>
                    </w:rPr>
                  </w:pPr>
                  <w:r>
                    <w:rPr>
                      <w:color w:val="auto"/>
                      <w:szCs w:val="21"/>
                      <w:highlight w:val="none"/>
                    </w:rPr>
                    <w:t>10</w:t>
                  </w:r>
                </w:p>
              </w:tc>
              <w:tc>
                <w:tcPr>
                  <w:tcW w:w="553" w:type="pct"/>
                  <w:vMerge w:val="continue"/>
                  <w:vAlign w:val="center"/>
                </w:tcPr>
                <w:p w14:paraId="13089213">
                  <w:pPr>
                    <w:adjustRightInd w:val="0"/>
                    <w:snapToGrid w:val="0"/>
                    <w:jc w:val="center"/>
                    <w:rPr>
                      <w:color w:val="auto"/>
                      <w:szCs w:val="21"/>
                      <w:highlight w:val="none"/>
                    </w:rPr>
                  </w:pPr>
                </w:p>
              </w:tc>
              <w:tc>
                <w:tcPr>
                  <w:tcW w:w="1721" w:type="pct"/>
                  <w:vMerge w:val="continue"/>
                  <w:vAlign w:val="center"/>
                </w:tcPr>
                <w:p w14:paraId="6214268F">
                  <w:pPr>
                    <w:adjustRightInd w:val="0"/>
                    <w:snapToGrid w:val="0"/>
                    <w:jc w:val="center"/>
                    <w:rPr>
                      <w:color w:val="auto"/>
                      <w:szCs w:val="21"/>
                      <w:highlight w:val="none"/>
                    </w:rPr>
                  </w:pPr>
                </w:p>
              </w:tc>
            </w:tr>
            <w:tr w14:paraId="28B7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49E454D6">
                  <w:pPr>
                    <w:adjustRightInd w:val="0"/>
                    <w:snapToGrid w:val="0"/>
                    <w:jc w:val="center"/>
                    <w:rPr>
                      <w:color w:val="auto"/>
                      <w:szCs w:val="21"/>
                      <w:highlight w:val="none"/>
                    </w:rPr>
                  </w:pPr>
                  <w:r>
                    <w:rPr>
                      <w:color w:val="auto"/>
                      <w:szCs w:val="21"/>
                      <w:highlight w:val="none"/>
                    </w:rPr>
                    <w:t>臭氧（O</w:t>
                  </w:r>
                  <w:r>
                    <w:rPr>
                      <w:color w:val="auto"/>
                      <w:szCs w:val="21"/>
                      <w:highlight w:val="none"/>
                      <w:vertAlign w:val="subscript"/>
                    </w:rPr>
                    <w:t>3</w:t>
                  </w:r>
                  <w:r>
                    <w:rPr>
                      <w:color w:val="auto"/>
                      <w:szCs w:val="21"/>
                      <w:highlight w:val="none"/>
                    </w:rPr>
                    <w:t>）</w:t>
                  </w:r>
                </w:p>
              </w:tc>
              <w:tc>
                <w:tcPr>
                  <w:tcW w:w="1094" w:type="pct"/>
                  <w:vAlign w:val="center"/>
                </w:tcPr>
                <w:p w14:paraId="50C6ABF1">
                  <w:pPr>
                    <w:adjustRightInd w:val="0"/>
                    <w:snapToGrid w:val="0"/>
                    <w:jc w:val="center"/>
                    <w:rPr>
                      <w:color w:val="auto"/>
                      <w:szCs w:val="21"/>
                      <w:highlight w:val="none"/>
                    </w:rPr>
                  </w:pPr>
                  <w:r>
                    <w:rPr>
                      <w:color w:val="auto"/>
                      <w:szCs w:val="21"/>
                      <w:highlight w:val="none"/>
                    </w:rPr>
                    <w:t>日最大8小时平均</w:t>
                  </w:r>
                </w:p>
              </w:tc>
              <w:tc>
                <w:tcPr>
                  <w:tcW w:w="709" w:type="pct"/>
                  <w:vAlign w:val="center"/>
                </w:tcPr>
                <w:p w14:paraId="108479DC">
                  <w:pPr>
                    <w:adjustRightInd w:val="0"/>
                    <w:snapToGrid w:val="0"/>
                    <w:jc w:val="center"/>
                    <w:rPr>
                      <w:color w:val="auto"/>
                      <w:szCs w:val="21"/>
                      <w:highlight w:val="none"/>
                    </w:rPr>
                  </w:pPr>
                  <w:r>
                    <w:rPr>
                      <w:color w:val="auto"/>
                      <w:szCs w:val="21"/>
                      <w:highlight w:val="none"/>
                    </w:rPr>
                    <w:t>160</w:t>
                  </w:r>
                </w:p>
              </w:tc>
              <w:tc>
                <w:tcPr>
                  <w:tcW w:w="553" w:type="pct"/>
                  <w:vMerge w:val="restart"/>
                  <w:vAlign w:val="center"/>
                </w:tcPr>
                <w:p w14:paraId="11219E56">
                  <w:pPr>
                    <w:adjustRightInd w:val="0"/>
                    <w:snapToGrid w:val="0"/>
                    <w:jc w:val="center"/>
                    <w:rPr>
                      <w:color w:val="auto"/>
                      <w:szCs w:val="21"/>
                      <w:highlight w:val="none"/>
                    </w:rPr>
                  </w:pPr>
                  <w:r>
                    <w:rPr>
                      <w:color w:val="auto"/>
                      <w:szCs w:val="21"/>
                      <w:highlight w:val="none"/>
                    </w:rPr>
                    <w:t>μg/m</w:t>
                  </w:r>
                  <w:r>
                    <w:rPr>
                      <w:color w:val="auto"/>
                      <w:szCs w:val="21"/>
                      <w:highlight w:val="none"/>
                      <w:vertAlign w:val="superscript"/>
                    </w:rPr>
                    <w:t>3</w:t>
                  </w:r>
                </w:p>
              </w:tc>
              <w:tc>
                <w:tcPr>
                  <w:tcW w:w="1721" w:type="pct"/>
                  <w:vMerge w:val="continue"/>
                  <w:vAlign w:val="center"/>
                </w:tcPr>
                <w:p w14:paraId="7BA67BA2">
                  <w:pPr>
                    <w:adjustRightInd w:val="0"/>
                    <w:snapToGrid w:val="0"/>
                    <w:jc w:val="center"/>
                    <w:rPr>
                      <w:color w:val="auto"/>
                      <w:szCs w:val="21"/>
                      <w:highlight w:val="none"/>
                    </w:rPr>
                  </w:pPr>
                </w:p>
              </w:tc>
            </w:tr>
            <w:tr w14:paraId="6C82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continue"/>
                  <w:vAlign w:val="center"/>
                </w:tcPr>
                <w:p w14:paraId="762CCA2F">
                  <w:pPr>
                    <w:adjustRightInd w:val="0"/>
                    <w:snapToGrid w:val="0"/>
                    <w:jc w:val="center"/>
                    <w:rPr>
                      <w:color w:val="auto"/>
                      <w:szCs w:val="21"/>
                      <w:highlight w:val="none"/>
                    </w:rPr>
                  </w:pPr>
                </w:p>
              </w:tc>
              <w:tc>
                <w:tcPr>
                  <w:tcW w:w="1094" w:type="pct"/>
                  <w:vAlign w:val="center"/>
                </w:tcPr>
                <w:p w14:paraId="31DCD7ED">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1F275FA1">
                  <w:pPr>
                    <w:adjustRightInd w:val="0"/>
                    <w:snapToGrid w:val="0"/>
                    <w:jc w:val="center"/>
                    <w:rPr>
                      <w:color w:val="auto"/>
                      <w:szCs w:val="21"/>
                      <w:highlight w:val="none"/>
                    </w:rPr>
                  </w:pPr>
                  <w:r>
                    <w:rPr>
                      <w:color w:val="auto"/>
                      <w:szCs w:val="21"/>
                      <w:highlight w:val="none"/>
                    </w:rPr>
                    <w:t>200</w:t>
                  </w:r>
                </w:p>
              </w:tc>
              <w:tc>
                <w:tcPr>
                  <w:tcW w:w="553" w:type="pct"/>
                  <w:vMerge w:val="continue"/>
                  <w:vAlign w:val="center"/>
                </w:tcPr>
                <w:p w14:paraId="753E8601">
                  <w:pPr>
                    <w:adjustRightInd w:val="0"/>
                    <w:snapToGrid w:val="0"/>
                    <w:jc w:val="center"/>
                    <w:rPr>
                      <w:color w:val="auto"/>
                      <w:szCs w:val="21"/>
                      <w:highlight w:val="none"/>
                    </w:rPr>
                  </w:pPr>
                </w:p>
              </w:tc>
              <w:tc>
                <w:tcPr>
                  <w:tcW w:w="1721" w:type="pct"/>
                  <w:vMerge w:val="continue"/>
                  <w:vAlign w:val="center"/>
                </w:tcPr>
                <w:p w14:paraId="3F1BDD1F">
                  <w:pPr>
                    <w:adjustRightInd w:val="0"/>
                    <w:snapToGrid w:val="0"/>
                    <w:jc w:val="center"/>
                    <w:rPr>
                      <w:color w:val="auto"/>
                      <w:szCs w:val="21"/>
                      <w:highlight w:val="none"/>
                    </w:rPr>
                  </w:pPr>
                </w:p>
              </w:tc>
            </w:tr>
            <w:tr w14:paraId="12F7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4C32755A">
                  <w:pPr>
                    <w:adjustRightInd w:val="0"/>
                    <w:snapToGrid w:val="0"/>
                    <w:jc w:val="center"/>
                    <w:rPr>
                      <w:color w:val="auto"/>
                      <w:szCs w:val="21"/>
                      <w:highlight w:val="none"/>
                    </w:rPr>
                  </w:pPr>
                  <w:r>
                    <w:rPr>
                      <w:color w:val="auto"/>
                      <w:szCs w:val="21"/>
                      <w:highlight w:val="none"/>
                    </w:rPr>
                    <w:t>TSP</w:t>
                  </w:r>
                </w:p>
              </w:tc>
              <w:tc>
                <w:tcPr>
                  <w:tcW w:w="1094" w:type="pct"/>
                  <w:vAlign w:val="center"/>
                </w:tcPr>
                <w:p w14:paraId="33A531B3">
                  <w:pPr>
                    <w:adjustRightInd w:val="0"/>
                    <w:snapToGrid w:val="0"/>
                    <w:jc w:val="center"/>
                    <w:rPr>
                      <w:color w:val="auto"/>
                      <w:szCs w:val="21"/>
                      <w:highlight w:val="none"/>
                    </w:rPr>
                  </w:pPr>
                  <w:r>
                    <w:rPr>
                      <w:color w:val="auto"/>
                      <w:szCs w:val="21"/>
                      <w:highlight w:val="none"/>
                    </w:rPr>
                    <w:t>年平均</w:t>
                  </w:r>
                </w:p>
              </w:tc>
              <w:tc>
                <w:tcPr>
                  <w:tcW w:w="709" w:type="pct"/>
                  <w:vAlign w:val="center"/>
                </w:tcPr>
                <w:p w14:paraId="16CF11D8">
                  <w:pPr>
                    <w:adjustRightInd w:val="0"/>
                    <w:snapToGrid w:val="0"/>
                    <w:jc w:val="center"/>
                    <w:rPr>
                      <w:color w:val="auto"/>
                      <w:szCs w:val="21"/>
                      <w:highlight w:val="none"/>
                    </w:rPr>
                  </w:pPr>
                  <w:r>
                    <w:rPr>
                      <w:color w:val="auto"/>
                      <w:szCs w:val="21"/>
                      <w:highlight w:val="none"/>
                    </w:rPr>
                    <w:t>200</w:t>
                  </w:r>
                </w:p>
              </w:tc>
              <w:tc>
                <w:tcPr>
                  <w:tcW w:w="553" w:type="pct"/>
                  <w:vMerge w:val="continue"/>
                  <w:vAlign w:val="center"/>
                </w:tcPr>
                <w:p w14:paraId="5994994E">
                  <w:pPr>
                    <w:adjustRightInd w:val="0"/>
                    <w:snapToGrid w:val="0"/>
                    <w:jc w:val="center"/>
                    <w:rPr>
                      <w:color w:val="auto"/>
                      <w:szCs w:val="21"/>
                      <w:highlight w:val="none"/>
                    </w:rPr>
                  </w:pPr>
                </w:p>
              </w:tc>
              <w:tc>
                <w:tcPr>
                  <w:tcW w:w="1721" w:type="pct"/>
                  <w:vMerge w:val="continue"/>
                  <w:vAlign w:val="center"/>
                </w:tcPr>
                <w:p w14:paraId="42C63869">
                  <w:pPr>
                    <w:adjustRightInd w:val="0"/>
                    <w:snapToGrid w:val="0"/>
                    <w:jc w:val="center"/>
                    <w:rPr>
                      <w:color w:val="auto"/>
                      <w:szCs w:val="21"/>
                      <w:highlight w:val="none"/>
                    </w:rPr>
                  </w:pPr>
                </w:p>
              </w:tc>
            </w:tr>
            <w:tr w14:paraId="2EE3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20" w:type="pct"/>
                  <w:vMerge w:val="continue"/>
                  <w:vAlign w:val="center"/>
                </w:tcPr>
                <w:p w14:paraId="07391A5C">
                  <w:pPr>
                    <w:adjustRightInd w:val="0"/>
                    <w:snapToGrid w:val="0"/>
                    <w:jc w:val="center"/>
                    <w:rPr>
                      <w:color w:val="auto"/>
                      <w:szCs w:val="21"/>
                      <w:highlight w:val="none"/>
                    </w:rPr>
                  </w:pPr>
                </w:p>
              </w:tc>
              <w:tc>
                <w:tcPr>
                  <w:tcW w:w="1094" w:type="pct"/>
                  <w:vAlign w:val="center"/>
                </w:tcPr>
                <w:p w14:paraId="5449AF4D">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27286AF1">
                  <w:pPr>
                    <w:adjustRightInd w:val="0"/>
                    <w:snapToGrid w:val="0"/>
                    <w:jc w:val="center"/>
                    <w:rPr>
                      <w:color w:val="auto"/>
                      <w:szCs w:val="21"/>
                      <w:highlight w:val="none"/>
                    </w:rPr>
                  </w:pPr>
                  <w:r>
                    <w:rPr>
                      <w:color w:val="auto"/>
                      <w:szCs w:val="21"/>
                      <w:highlight w:val="none"/>
                    </w:rPr>
                    <w:t>300</w:t>
                  </w:r>
                </w:p>
              </w:tc>
              <w:tc>
                <w:tcPr>
                  <w:tcW w:w="553" w:type="pct"/>
                  <w:vMerge w:val="continue"/>
                  <w:vAlign w:val="center"/>
                </w:tcPr>
                <w:p w14:paraId="4323165E">
                  <w:pPr>
                    <w:adjustRightInd w:val="0"/>
                    <w:snapToGrid w:val="0"/>
                    <w:jc w:val="center"/>
                    <w:rPr>
                      <w:color w:val="auto"/>
                      <w:szCs w:val="21"/>
                      <w:highlight w:val="none"/>
                    </w:rPr>
                  </w:pPr>
                </w:p>
              </w:tc>
              <w:tc>
                <w:tcPr>
                  <w:tcW w:w="1721" w:type="pct"/>
                  <w:vMerge w:val="continue"/>
                  <w:vAlign w:val="center"/>
                </w:tcPr>
                <w:p w14:paraId="7BCA1FA2">
                  <w:pPr>
                    <w:adjustRightInd w:val="0"/>
                    <w:snapToGrid w:val="0"/>
                    <w:jc w:val="center"/>
                    <w:rPr>
                      <w:color w:val="auto"/>
                      <w:szCs w:val="21"/>
                      <w:highlight w:val="none"/>
                    </w:rPr>
                  </w:pPr>
                </w:p>
              </w:tc>
            </w:tr>
            <w:tr w14:paraId="5521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0" w:type="pct"/>
                  <w:vMerge w:val="restart"/>
                  <w:vAlign w:val="center"/>
                </w:tcPr>
                <w:p w14:paraId="592DD790">
                  <w:pPr>
                    <w:adjustRightInd w:val="0"/>
                    <w:snapToGrid w:val="0"/>
                    <w:jc w:val="center"/>
                    <w:rPr>
                      <w:color w:val="auto"/>
                      <w:szCs w:val="21"/>
                      <w:highlight w:val="none"/>
                    </w:rPr>
                  </w:pPr>
                  <w:r>
                    <w:rPr>
                      <w:color w:val="auto"/>
                      <w:szCs w:val="21"/>
                      <w:highlight w:val="none"/>
                    </w:rPr>
                    <w:t>PM</w:t>
                  </w:r>
                  <w:r>
                    <w:rPr>
                      <w:color w:val="auto"/>
                      <w:szCs w:val="21"/>
                      <w:highlight w:val="none"/>
                      <w:vertAlign w:val="subscript"/>
                    </w:rPr>
                    <w:t>10</w:t>
                  </w:r>
                </w:p>
              </w:tc>
              <w:tc>
                <w:tcPr>
                  <w:tcW w:w="1094" w:type="pct"/>
                  <w:vAlign w:val="center"/>
                </w:tcPr>
                <w:p w14:paraId="57445981">
                  <w:pPr>
                    <w:adjustRightInd w:val="0"/>
                    <w:snapToGrid w:val="0"/>
                    <w:jc w:val="center"/>
                    <w:rPr>
                      <w:color w:val="auto"/>
                      <w:szCs w:val="21"/>
                      <w:highlight w:val="none"/>
                    </w:rPr>
                  </w:pPr>
                  <w:r>
                    <w:rPr>
                      <w:color w:val="auto"/>
                      <w:szCs w:val="21"/>
                      <w:highlight w:val="none"/>
                    </w:rPr>
                    <w:t>年平均</w:t>
                  </w:r>
                </w:p>
              </w:tc>
              <w:tc>
                <w:tcPr>
                  <w:tcW w:w="709" w:type="pct"/>
                  <w:vAlign w:val="center"/>
                </w:tcPr>
                <w:p w14:paraId="394A2286">
                  <w:pPr>
                    <w:adjustRightInd w:val="0"/>
                    <w:snapToGrid w:val="0"/>
                    <w:jc w:val="center"/>
                    <w:rPr>
                      <w:color w:val="auto"/>
                      <w:szCs w:val="21"/>
                      <w:highlight w:val="none"/>
                    </w:rPr>
                  </w:pPr>
                  <w:r>
                    <w:rPr>
                      <w:color w:val="auto"/>
                      <w:szCs w:val="21"/>
                      <w:highlight w:val="none"/>
                    </w:rPr>
                    <w:t>70</w:t>
                  </w:r>
                </w:p>
              </w:tc>
              <w:tc>
                <w:tcPr>
                  <w:tcW w:w="553" w:type="pct"/>
                  <w:vMerge w:val="continue"/>
                  <w:vAlign w:val="center"/>
                </w:tcPr>
                <w:p w14:paraId="3B8E7B61">
                  <w:pPr>
                    <w:adjustRightInd w:val="0"/>
                    <w:snapToGrid w:val="0"/>
                    <w:jc w:val="center"/>
                    <w:rPr>
                      <w:color w:val="auto"/>
                      <w:szCs w:val="21"/>
                      <w:highlight w:val="none"/>
                    </w:rPr>
                  </w:pPr>
                </w:p>
              </w:tc>
              <w:tc>
                <w:tcPr>
                  <w:tcW w:w="1721" w:type="pct"/>
                  <w:vMerge w:val="continue"/>
                  <w:vAlign w:val="center"/>
                </w:tcPr>
                <w:p w14:paraId="22245B32">
                  <w:pPr>
                    <w:adjustRightInd w:val="0"/>
                    <w:snapToGrid w:val="0"/>
                    <w:jc w:val="center"/>
                    <w:rPr>
                      <w:color w:val="auto"/>
                      <w:szCs w:val="21"/>
                      <w:highlight w:val="none"/>
                    </w:rPr>
                  </w:pPr>
                </w:p>
              </w:tc>
            </w:tr>
            <w:tr w14:paraId="5B34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0" w:type="pct"/>
                  <w:vMerge w:val="continue"/>
                  <w:vAlign w:val="center"/>
                </w:tcPr>
                <w:p w14:paraId="5EDFAA60">
                  <w:pPr>
                    <w:adjustRightInd w:val="0"/>
                    <w:snapToGrid w:val="0"/>
                    <w:jc w:val="center"/>
                    <w:rPr>
                      <w:color w:val="auto"/>
                      <w:szCs w:val="21"/>
                      <w:highlight w:val="none"/>
                    </w:rPr>
                  </w:pPr>
                </w:p>
              </w:tc>
              <w:tc>
                <w:tcPr>
                  <w:tcW w:w="1094" w:type="pct"/>
                  <w:vAlign w:val="center"/>
                </w:tcPr>
                <w:p w14:paraId="463A2895">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010348DA">
                  <w:pPr>
                    <w:adjustRightInd w:val="0"/>
                    <w:snapToGrid w:val="0"/>
                    <w:jc w:val="center"/>
                    <w:rPr>
                      <w:color w:val="auto"/>
                      <w:szCs w:val="21"/>
                      <w:highlight w:val="none"/>
                    </w:rPr>
                  </w:pPr>
                  <w:r>
                    <w:rPr>
                      <w:color w:val="auto"/>
                      <w:szCs w:val="21"/>
                      <w:highlight w:val="none"/>
                    </w:rPr>
                    <w:t>150</w:t>
                  </w:r>
                </w:p>
              </w:tc>
              <w:tc>
                <w:tcPr>
                  <w:tcW w:w="553" w:type="pct"/>
                  <w:vMerge w:val="continue"/>
                  <w:vAlign w:val="center"/>
                </w:tcPr>
                <w:p w14:paraId="47797291">
                  <w:pPr>
                    <w:adjustRightInd w:val="0"/>
                    <w:snapToGrid w:val="0"/>
                    <w:jc w:val="center"/>
                    <w:rPr>
                      <w:color w:val="auto"/>
                      <w:szCs w:val="21"/>
                      <w:highlight w:val="none"/>
                    </w:rPr>
                  </w:pPr>
                </w:p>
              </w:tc>
              <w:tc>
                <w:tcPr>
                  <w:tcW w:w="1721" w:type="pct"/>
                  <w:vMerge w:val="continue"/>
                  <w:vAlign w:val="center"/>
                </w:tcPr>
                <w:p w14:paraId="241B55DC">
                  <w:pPr>
                    <w:adjustRightInd w:val="0"/>
                    <w:snapToGrid w:val="0"/>
                    <w:jc w:val="center"/>
                    <w:rPr>
                      <w:color w:val="auto"/>
                      <w:szCs w:val="21"/>
                      <w:highlight w:val="none"/>
                    </w:rPr>
                  </w:pPr>
                </w:p>
              </w:tc>
            </w:tr>
            <w:tr w14:paraId="153D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0" w:type="pct"/>
                  <w:vMerge w:val="restart"/>
                  <w:vAlign w:val="center"/>
                </w:tcPr>
                <w:p w14:paraId="087A064A">
                  <w:pPr>
                    <w:adjustRightInd w:val="0"/>
                    <w:snapToGrid w:val="0"/>
                    <w:jc w:val="center"/>
                    <w:rPr>
                      <w:color w:val="auto"/>
                      <w:szCs w:val="21"/>
                      <w:highlight w:val="none"/>
                    </w:rPr>
                  </w:pPr>
                  <w:r>
                    <w:rPr>
                      <w:color w:val="auto"/>
                      <w:szCs w:val="21"/>
                      <w:highlight w:val="none"/>
                    </w:rPr>
                    <w:t>PM</w:t>
                  </w:r>
                  <w:r>
                    <w:rPr>
                      <w:color w:val="auto"/>
                      <w:szCs w:val="21"/>
                      <w:highlight w:val="none"/>
                      <w:vertAlign w:val="subscript"/>
                    </w:rPr>
                    <w:t>2.5</w:t>
                  </w:r>
                </w:p>
              </w:tc>
              <w:tc>
                <w:tcPr>
                  <w:tcW w:w="1094" w:type="pct"/>
                  <w:vAlign w:val="center"/>
                </w:tcPr>
                <w:p w14:paraId="2ADC5DA7">
                  <w:pPr>
                    <w:adjustRightInd w:val="0"/>
                    <w:snapToGrid w:val="0"/>
                    <w:jc w:val="center"/>
                    <w:rPr>
                      <w:color w:val="auto"/>
                      <w:szCs w:val="21"/>
                      <w:highlight w:val="none"/>
                    </w:rPr>
                  </w:pPr>
                  <w:r>
                    <w:rPr>
                      <w:color w:val="auto"/>
                      <w:szCs w:val="21"/>
                      <w:highlight w:val="none"/>
                    </w:rPr>
                    <w:t>年平均</w:t>
                  </w:r>
                </w:p>
              </w:tc>
              <w:tc>
                <w:tcPr>
                  <w:tcW w:w="709" w:type="pct"/>
                  <w:vAlign w:val="center"/>
                </w:tcPr>
                <w:p w14:paraId="67496215">
                  <w:pPr>
                    <w:adjustRightInd w:val="0"/>
                    <w:snapToGrid w:val="0"/>
                    <w:jc w:val="center"/>
                    <w:rPr>
                      <w:color w:val="auto"/>
                      <w:szCs w:val="21"/>
                      <w:highlight w:val="none"/>
                    </w:rPr>
                  </w:pPr>
                  <w:r>
                    <w:rPr>
                      <w:color w:val="auto"/>
                      <w:szCs w:val="21"/>
                      <w:highlight w:val="none"/>
                    </w:rPr>
                    <w:t>35</w:t>
                  </w:r>
                </w:p>
              </w:tc>
              <w:tc>
                <w:tcPr>
                  <w:tcW w:w="553" w:type="pct"/>
                  <w:vMerge w:val="continue"/>
                  <w:vAlign w:val="center"/>
                </w:tcPr>
                <w:p w14:paraId="1103CEC5">
                  <w:pPr>
                    <w:adjustRightInd w:val="0"/>
                    <w:snapToGrid w:val="0"/>
                    <w:jc w:val="center"/>
                    <w:rPr>
                      <w:color w:val="auto"/>
                      <w:szCs w:val="21"/>
                      <w:highlight w:val="none"/>
                    </w:rPr>
                  </w:pPr>
                </w:p>
              </w:tc>
              <w:tc>
                <w:tcPr>
                  <w:tcW w:w="1721" w:type="pct"/>
                  <w:vMerge w:val="continue"/>
                  <w:vAlign w:val="center"/>
                </w:tcPr>
                <w:p w14:paraId="3444B10F">
                  <w:pPr>
                    <w:adjustRightInd w:val="0"/>
                    <w:snapToGrid w:val="0"/>
                    <w:jc w:val="center"/>
                    <w:rPr>
                      <w:color w:val="auto"/>
                      <w:szCs w:val="21"/>
                      <w:highlight w:val="none"/>
                    </w:rPr>
                  </w:pPr>
                </w:p>
              </w:tc>
            </w:tr>
            <w:tr w14:paraId="56A6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20" w:type="pct"/>
                  <w:vMerge w:val="continue"/>
                  <w:vAlign w:val="center"/>
                </w:tcPr>
                <w:p w14:paraId="1BD8AD7D">
                  <w:pPr>
                    <w:adjustRightInd w:val="0"/>
                    <w:snapToGrid w:val="0"/>
                    <w:jc w:val="center"/>
                    <w:rPr>
                      <w:color w:val="auto"/>
                      <w:szCs w:val="21"/>
                      <w:highlight w:val="none"/>
                    </w:rPr>
                  </w:pPr>
                </w:p>
              </w:tc>
              <w:tc>
                <w:tcPr>
                  <w:tcW w:w="1094" w:type="pct"/>
                  <w:vAlign w:val="center"/>
                </w:tcPr>
                <w:p w14:paraId="1D34CF4D">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36C9FF08">
                  <w:pPr>
                    <w:adjustRightInd w:val="0"/>
                    <w:snapToGrid w:val="0"/>
                    <w:jc w:val="center"/>
                    <w:rPr>
                      <w:color w:val="auto"/>
                      <w:szCs w:val="21"/>
                      <w:highlight w:val="none"/>
                    </w:rPr>
                  </w:pPr>
                  <w:r>
                    <w:rPr>
                      <w:color w:val="auto"/>
                      <w:szCs w:val="21"/>
                      <w:highlight w:val="none"/>
                    </w:rPr>
                    <w:t>75</w:t>
                  </w:r>
                </w:p>
              </w:tc>
              <w:tc>
                <w:tcPr>
                  <w:tcW w:w="553" w:type="pct"/>
                  <w:vMerge w:val="continue"/>
                  <w:vAlign w:val="center"/>
                </w:tcPr>
                <w:p w14:paraId="1EED1FAE">
                  <w:pPr>
                    <w:adjustRightInd w:val="0"/>
                    <w:snapToGrid w:val="0"/>
                    <w:jc w:val="center"/>
                    <w:rPr>
                      <w:color w:val="auto"/>
                      <w:szCs w:val="21"/>
                      <w:highlight w:val="none"/>
                    </w:rPr>
                  </w:pPr>
                </w:p>
              </w:tc>
              <w:tc>
                <w:tcPr>
                  <w:tcW w:w="1721" w:type="pct"/>
                  <w:vMerge w:val="continue"/>
                  <w:vAlign w:val="center"/>
                </w:tcPr>
                <w:p w14:paraId="0319D855">
                  <w:pPr>
                    <w:adjustRightInd w:val="0"/>
                    <w:snapToGrid w:val="0"/>
                    <w:jc w:val="center"/>
                    <w:rPr>
                      <w:color w:val="auto"/>
                      <w:szCs w:val="21"/>
                      <w:highlight w:val="none"/>
                    </w:rPr>
                  </w:pPr>
                </w:p>
              </w:tc>
            </w:tr>
            <w:tr w14:paraId="7746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20" w:type="pct"/>
                  <w:vMerge w:val="restart"/>
                  <w:vAlign w:val="center"/>
                </w:tcPr>
                <w:p w14:paraId="110F3AE8">
                  <w:pPr>
                    <w:adjustRightInd w:val="0"/>
                    <w:snapToGrid w:val="0"/>
                    <w:jc w:val="center"/>
                    <w:rPr>
                      <w:color w:val="auto"/>
                      <w:szCs w:val="21"/>
                      <w:highlight w:val="none"/>
                    </w:rPr>
                  </w:pPr>
                  <w:r>
                    <w:rPr>
                      <w:rFonts w:hint="eastAsia"/>
                      <w:color w:val="auto"/>
                      <w:szCs w:val="21"/>
                      <w:highlight w:val="none"/>
                    </w:rPr>
                    <w:t>NOx</w:t>
                  </w:r>
                </w:p>
              </w:tc>
              <w:tc>
                <w:tcPr>
                  <w:tcW w:w="1094" w:type="pct"/>
                  <w:vAlign w:val="center"/>
                </w:tcPr>
                <w:p w14:paraId="7F7737FF">
                  <w:pPr>
                    <w:adjustRightInd w:val="0"/>
                    <w:snapToGrid w:val="0"/>
                    <w:jc w:val="center"/>
                    <w:rPr>
                      <w:color w:val="auto"/>
                      <w:szCs w:val="21"/>
                      <w:highlight w:val="none"/>
                    </w:rPr>
                  </w:pPr>
                  <w:r>
                    <w:rPr>
                      <w:color w:val="auto"/>
                      <w:szCs w:val="21"/>
                      <w:highlight w:val="none"/>
                    </w:rPr>
                    <w:t>年平均</w:t>
                  </w:r>
                </w:p>
              </w:tc>
              <w:tc>
                <w:tcPr>
                  <w:tcW w:w="709" w:type="pct"/>
                  <w:vAlign w:val="center"/>
                </w:tcPr>
                <w:p w14:paraId="00423021">
                  <w:pPr>
                    <w:adjustRightInd w:val="0"/>
                    <w:snapToGrid w:val="0"/>
                    <w:jc w:val="center"/>
                    <w:rPr>
                      <w:color w:val="auto"/>
                      <w:szCs w:val="21"/>
                      <w:highlight w:val="none"/>
                    </w:rPr>
                  </w:pPr>
                  <w:r>
                    <w:rPr>
                      <w:rFonts w:hint="eastAsia"/>
                      <w:color w:val="auto"/>
                      <w:szCs w:val="21"/>
                      <w:highlight w:val="none"/>
                    </w:rPr>
                    <w:t>50</w:t>
                  </w:r>
                </w:p>
              </w:tc>
              <w:tc>
                <w:tcPr>
                  <w:tcW w:w="553" w:type="pct"/>
                  <w:vMerge w:val="restart"/>
                  <w:vAlign w:val="center"/>
                </w:tcPr>
                <w:p w14:paraId="4BC26ED2">
                  <w:pPr>
                    <w:adjustRightInd w:val="0"/>
                    <w:snapToGrid w:val="0"/>
                    <w:jc w:val="center"/>
                    <w:rPr>
                      <w:color w:val="auto"/>
                      <w:szCs w:val="21"/>
                      <w:highlight w:val="none"/>
                    </w:rPr>
                  </w:pPr>
                  <w:r>
                    <w:rPr>
                      <w:color w:val="auto"/>
                      <w:szCs w:val="21"/>
                      <w:highlight w:val="none"/>
                    </w:rPr>
                    <w:t>μg/m</w:t>
                  </w:r>
                  <w:r>
                    <w:rPr>
                      <w:color w:val="auto"/>
                      <w:szCs w:val="21"/>
                      <w:highlight w:val="none"/>
                      <w:vertAlign w:val="superscript"/>
                    </w:rPr>
                    <w:t>3</w:t>
                  </w:r>
                </w:p>
              </w:tc>
              <w:tc>
                <w:tcPr>
                  <w:tcW w:w="1721" w:type="pct"/>
                  <w:vMerge w:val="continue"/>
                  <w:vAlign w:val="center"/>
                </w:tcPr>
                <w:p w14:paraId="210BF149">
                  <w:pPr>
                    <w:adjustRightInd w:val="0"/>
                    <w:snapToGrid w:val="0"/>
                    <w:jc w:val="center"/>
                    <w:rPr>
                      <w:color w:val="auto"/>
                      <w:szCs w:val="21"/>
                      <w:highlight w:val="none"/>
                    </w:rPr>
                  </w:pPr>
                </w:p>
              </w:tc>
            </w:tr>
            <w:tr w14:paraId="3FCA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20" w:type="pct"/>
                  <w:vMerge w:val="continue"/>
                  <w:vAlign w:val="center"/>
                </w:tcPr>
                <w:p w14:paraId="05124CFB">
                  <w:pPr>
                    <w:adjustRightInd w:val="0"/>
                    <w:snapToGrid w:val="0"/>
                    <w:jc w:val="center"/>
                    <w:rPr>
                      <w:color w:val="auto"/>
                      <w:szCs w:val="21"/>
                      <w:highlight w:val="none"/>
                    </w:rPr>
                  </w:pPr>
                </w:p>
              </w:tc>
              <w:tc>
                <w:tcPr>
                  <w:tcW w:w="1094" w:type="pct"/>
                  <w:vAlign w:val="center"/>
                </w:tcPr>
                <w:p w14:paraId="38E5DEF7">
                  <w:pPr>
                    <w:adjustRightInd w:val="0"/>
                    <w:snapToGrid w:val="0"/>
                    <w:jc w:val="center"/>
                    <w:rPr>
                      <w:color w:val="auto"/>
                      <w:szCs w:val="21"/>
                      <w:highlight w:val="none"/>
                    </w:rPr>
                  </w:pPr>
                  <w:r>
                    <w:rPr>
                      <w:color w:val="auto"/>
                      <w:szCs w:val="21"/>
                      <w:highlight w:val="none"/>
                    </w:rPr>
                    <w:t>24小时平均</w:t>
                  </w:r>
                </w:p>
              </w:tc>
              <w:tc>
                <w:tcPr>
                  <w:tcW w:w="709" w:type="pct"/>
                  <w:vAlign w:val="center"/>
                </w:tcPr>
                <w:p w14:paraId="4589F0CD">
                  <w:pPr>
                    <w:adjustRightInd w:val="0"/>
                    <w:snapToGrid w:val="0"/>
                    <w:jc w:val="center"/>
                    <w:rPr>
                      <w:color w:val="auto"/>
                      <w:szCs w:val="21"/>
                      <w:highlight w:val="none"/>
                    </w:rPr>
                  </w:pPr>
                  <w:r>
                    <w:rPr>
                      <w:rFonts w:hint="eastAsia"/>
                      <w:color w:val="auto"/>
                      <w:szCs w:val="21"/>
                      <w:highlight w:val="none"/>
                    </w:rPr>
                    <w:t>100</w:t>
                  </w:r>
                </w:p>
              </w:tc>
              <w:tc>
                <w:tcPr>
                  <w:tcW w:w="553" w:type="pct"/>
                  <w:vMerge w:val="continue"/>
                  <w:vAlign w:val="center"/>
                </w:tcPr>
                <w:p w14:paraId="07852EDF">
                  <w:pPr>
                    <w:adjustRightInd w:val="0"/>
                    <w:snapToGrid w:val="0"/>
                    <w:jc w:val="center"/>
                    <w:rPr>
                      <w:color w:val="auto"/>
                      <w:szCs w:val="21"/>
                      <w:highlight w:val="none"/>
                    </w:rPr>
                  </w:pPr>
                </w:p>
              </w:tc>
              <w:tc>
                <w:tcPr>
                  <w:tcW w:w="1721" w:type="pct"/>
                  <w:vMerge w:val="continue"/>
                  <w:vAlign w:val="center"/>
                </w:tcPr>
                <w:p w14:paraId="37A5ACED">
                  <w:pPr>
                    <w:adjustRightInd w:val="0"/>
                    <w:snapToGrid w:val="0"/>
                    <w:jc w:val="center"/>
                    <w:rPr>
                      <w:color w:val="auto"/>
                      <w:szCs w:val="21"/>
                      <w:highlight w:val="none"/>
                    </w:rPr>
                  </w:pPr>
                </w:p>
              </w:tc>
            </w:tr>
            <w:tr w14:paraId="7B42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920" w:type="pct"/>
                  <w:vMerge w:val="continue"/>
                  <w:vAlign w:val="center"/>
                </w:tcPr>
                <w:p w14:paraId="22A016F8">
                  <w:pPr>
                    <w:adjustRightInd w:val="0"/>
                    <w:snapToGrid w:val="0"/>
                    <w:jc w:val="center"/>
                    <w:rPr>
                      <w:color w:val="auto"/>
                      <w:szCs w:val="21"/>
                      <w:highlight w:val="none"/>
                    </w:rPr>
                  </w:pPr>
                </w:p>
              </w:tc>
              <w:tc>
                <w:tcPr>
                  <w:tcW w:w="1094" w:type="pct"/>
                  <w:vAlign w:val="center"/>
                </w:tcPr>
                <w:p w14:paraId="0BF184E1">
                  <w:pPr>
                    <w:adjustRightInd w:val="0"/>
                    <w:snapToGrid w:val="0"/>
                    <w:jc w:val="center"/>
                    <w:rPr>
                      <w:color w:val="auto"/>
                      <w:szCs w:val="21"/>
                      <w:highlight w:val="none"/>
                    </w:rPr>
                  </w:pPr>
                  <w:r>
                    <w:rPr>
                      <w:color w:val="auto"/>
                      <w:szCs w:val="21"/>
                      <w:highlight w:val="none"/>
                    </w:rPr>
                    <w:t>1小时平均</w:t>
                  </w:r>
                </w:p>
              </w:tc>
              <w:tc>
                <w:tcPr>
                  <w:tcW w:w="709" w:type="pct"/>
                  <w:vAlign w:val="center"/>
                </w:tcPr>
                <w:p w14:paraId="18BF3132">
                  <w:pPr>
                    <w:adjustRightInd w:val="0"/>
                    <w:snapToGrid w:val="0"/>
                    <w:jc w:val="center"/>
                    <w:rPr>
                      <w:color w:val="auto"/>
                      <w:szCs w:val="21"/>
                      <w:highlight w:val="none"/>
                    </w:rPr>
                  </w:pPr>
                  <w:r>
                    <w:rPr>
                      <w:rFonts w:hint="eastAsia"/>
                      <w:color w:val="auto"/>
                      <w:szCs w:val="21"/>
                      <w:highlight w:val="none"/>
                    </w:rPr>
                    <w:t>250</w:t>
                  </w:r>
                </w:p>
              </w:tc>
              <w:tc>
                <w:tcPr>
                  <w:tcW w:w="553" w:type="pct"/>
                  <w:vMerge w:val="continue"/>
                  <w:vAlign w:val="center"/>
                </w:tcPr>
                <w:p w14:paraId="676DF695">
                  <w:pPr>
                    <w:adjustRightInd w:val="0"/>
                    <w:snapToGrid w:val="0"/>
                    <w:jc w:val="center"/>
                    <w:rPr>
                      <w:color w:val="auto"/>
                      <w:szCs w:val="21"/>
                      <w:highlight w:val="none"/>
                    </w:rPr>
                  </w:pPr>
                </w:p>
              </w:tc>
              <w:tc>
                <w:tcPr>
                  <w:tcW w:w="1721" w:type="pct"/>
                  <w:vMerge w:val="continue"/>
                  <w:vAlign w:val="center"/>
                </w:tcPr>
                <w:p w14:paraId="585CE534">
                  <w:pPr>
                    <w:adjustRightInd w:val="0"/>
                    <w:snapToGrid w:val="0"/>
                    <w:jc w:val="center"/>
                    <w:rPr>
                      <w:color w:val="auto"/>
                      <w:szCs w:val="21"/>
                      <w:highlight w:val="none"/>
                    </w:rPr>
                  </w:pPr>
                </w:p>
              </w:tc>
            </w:tr>
          </w:tbl>
          <w:p w14:paraId="037FD2FD">
            <w:pPr>
              <w:spacing w:line="360" w:lineRule="auto"/>
              <w:ind w:firstLine="480"/>
              <w:rPr>
                <w:color w:val="auto"/>
                <w:sz w:val="24"/>
                <w:highlight w:val="none"/>
              </w:rPr>
            </w:pPr>
            <w:r>
              <w:rPr>
                <w:color w:val="auto"/>
                <w:sz w:val="24"/>
                <w:highlight w:val="none"/>
              </w:rPr>
              <w:t>2、环境空气质量现状</w:t>
            </w:r>
          </w:p>
          <w:p w14:paraId="14CCE7F7">
            <w:pPr>
              <w:pStyle w:val="80"/>
              <w:ind w:firstLine="480"/>
              <w:rPr>
                <w:color w:val="auto"/>
                <w:highlight w:val="none"/>
              </w:rPr>
            </w:pPr>
            <w:r>
              <w:rPr>
                <w:rFonts w:hint="default"/>
                <w:color w:val="auto"/>
                <w:highlight w:val="none"/>
                <w:lang w:val="en-US" w:eastAsia="zh-CN"/>
              </w:rPr>
              <w:t>根据《环境影响评价技术导则大气环境》（HJ2.2-2018）要求，环境空气质量现状采用地方环保部门发布的环境质量报告中的结论</w:t>
            </w:r>
            <w:r>
              <w:rPr>
                <w:color w:val="auto"/>
                <w:highlight w:val="none"/>
              </w:rPr>
              <w:t>。</w:t>
            </w:r>
          </w:p>
          <w:p w14:paraId="3D22231B">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val="en-US" w:eastAsia="zh-CN"/>
              </w:rPr>
              <w:t>区域达标判断</w:t>
            </w:r>
          </w:p>
          <w:p w14:paraId="12D7260E">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本次评价采用玉溪市红塔区环境质量自动监测点的2023年全年环境空气监测数据进行达标区判定及基本污染物环境空气质量现状评价。玉溪市红塔区环境质量自动监测点位于</w:t>
            </w:r>
            <w:bookmarkStart w:id="24" w:name="OLE_LINK109"/>
            <w:r>
              <w:rPr>
                <w:rFonts w:hint="default" w:ascii="Times New Roman" w:hAnsi="Times New Roman" w:eastAsia="宋体" w:cs="Times New Roman"/>
                <w:color w:val="auto"/>
                <w:sz w:val="24"/>
                <w:lang w:val="en-US" w:eastAsia="zh-CN"/>
              </w:rPr>
              <w:t>北城街道办事处</w:t>
            </w:r>
            <w:bookmarkEnd w:id="24"/>
            <w:r>
              <w:rPr>
                <w:rFonts w:hint="default" w:ascii="Times New Roman" w:hAnsi="Times New Roman" w:eastAsia="宋体" w:cs="Times New Roman"/>
                <w:color w:val="auto"/>
                <w:sz w:val="24"/>
                <w:lang w:val="en-US" w:eastAsia="zh-CN"/>
              </w:rPr>
              <w:t>，其位于本项目东南面约819m处，环境空气质量达标情况评价指标为SO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、NO</w:t>
            </w:r>
            <w:r>
              <w:rPr>
                <w:rFonts w:hint="default" w:ascii="Times New Roman" w:hAnsi="Times New Roman" w:eastAsia="宋体" w:cs="Times New Roman"/>
                <w:color w:val="auto"/>
                <w:sz w:val="24"/>
                <w:vertAlign w:val="subscript"/>
                <w:lang w:val="en-US" w:eastAsia="zh-CN"/>
              </w:rPr>
              <w:t>2</w:t>
            </w:r>
            <w:r>
              <w:rPr>
                <w:rFonts w:hint="default" w:ascii="Times New Roman" w:hAnsi="Times New Roman" w:eastAsia="宋体" w:cs="Times New Roman"/>
                <w:color w:val="auto"/>
                <w:sz w:val="24"/>
                <w:lang w:val="en-US" w:eastAsia="zh-CN"/>
              </w:rPr>
              <w:t>、PM</w:t>
            </w:r>
            <w:r>
              <w:rPr>
                <w:rFonts w:hint="default" w:ascii="Times New Roman" w:hAnsi="Times New Roman" w:eastAsia="宋体" w:cs="Times New Roman"/>
                <w:color w:val="auto"/>
                <w:sz w:val="24"/>
                <w:vertAlign w:val="subscript"/>
                <w:lang w:val="en-US" w:eastAsia="zh-CN"/>
              </w:rPr>
              <w:t>10</w:t>
            </w:r>
            <w:r>
              <w:rPr>
                <w:rFonts w:hint="default" w:ascii="Times New Roman" w:hAnsi="Times New Roman" w:eastAsia="宋体" w:cs="Times New Roman"/>
                <w:color w:val="auto"/>
                <w:sz w:val="24"/>
                <w:lang w:val="en-US" w:eastAsia="zh-CN"/>
              </w:rPr>
              <w:t>、PM</w:t>
            </w:r>
            <w:r>
              <w:rPr>
                <w:rFonts w:hint="default" w:ascii="Times New Roman" w:hAnsi="Times New Roman" w:eastAsia="宋体" w:cs="Times New Roman"/>
                <w:color w:val="auto"/>
                <w:sz w:val="24"/>
                <w:vertAlign w:val="subscript"/>
                <w:lang w:val="en-US" w:eastAsia="zh-CN"/>
              </w:rPr>
              <w:t>2.5</w:t>
            </w:r>
            <w:r>
              <w:rPr>
                <w:rFonts w:hint="default" w:ascii="Times New Roman" w:hAnsi="Times New Roman" w:eastAsia="宋体" w:cs="Times New Roman"/>
                <w:color w:val="auto"/>
                <w:sz w:val="24"/>
                <w:lang w:val="en-US" w:eastAsia="zh-CN"/>
              </w:rPr>
              <w:t>、CO、O</w:t>
            </w:r>
            <w:r>
              <w:rPr>
                <w:rFonts w:hint="default" w:ascii="Times New Roman" w:hAnsi="Times New Roman" w:eastAsia="宋体" w:cs="Times New Roman"/>
                <w:color w:val="auto"/>
                <w:sz w:val="24"/>
                <w:vertAlign w:val="subscript"/>
                <w:lang w:val="en-US" w:eastAsia="zh-CN"/>
              </w:rPr>
              <w:t>3</w:t>
            </w:r>
            <w:r>
              <w:rPr>
                <w:rFonts w:hint="default" w:ascii="Times New Roman" w:hAnsi="Times New Roman" w:eastAsia="宋体" w:cs="Times New Roman"/>
                <w:color w:val="auto"/>
                <w:sz w:val="24"/>
                <w:lang w:val="en-US" w:eastAsia="zh-CN"/>
              </w:rPr>
              <w:t>，六项基本污染物按照HJ663中各评价项目的年评价指标进行评价，年评价指标中的年均浓度和相应百分位数24h平均或8h平均质量浓度满足GB3095中浓度限值要求的即为达标区。</w:t>
            </w:r>
          </w:p>
          <w:p w14:paraId="2839047F">
            <w:pPr>
              <w:adjustRightInd w:val="0"/>
              <w:snapToGrid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表3-</w:t>
            </w:r>
            <w:r>
              <w:rPr>
                <w:rFonts w:hint="eastAsia" w:ascii="宋体" w:hAnsi="宋体" w:eastAsia="宋体" w:cs="宋体"/>
                <w:b/>
                <w:bCs/>
                <w:color w:val="auto"/>
                <w:sz w:val="24"/>
                <w:szCs w:val="24"/>
                <w:lang w:val="en-US" w:eastAsia="zh-CN"/>
              </w:rPr>
              <w:t xml:space="preserve">2  </w:t>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北城街道监测点区域基本污染物质量现状评价表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874"/>
              <w:gridCol w:w="3186"/>
              <w:gridCol w:w="1210"/>
              <w:gridCol w:w="1210"/>
              <w:gridCol w:w="1147"/>
              <w:gridCol w:w="1086"/>
            </w:tblGrid>
            <w:tr w14:paraId="7C3D730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02" w:type="pct"/>
                  <w:vMerge w:val="restart"/>
                  <w:noWrap w:val="0"/>
                  <w:vAlign w:val="center"/>
                </w:tcPr>
                <w:p w14:paraId="499AECC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w:t>
                  </w:r>
                </w:p>
              </w:tc>
              <w:tc>
                <w:tcPr>
                  <w:tcW w:w="1828" w:type="pct"/>
                  <w:vMerge w:val="restart"/>
                  <w:noWrap w:val="0"/>
                  <w:vAlign w:val="center"/>
                </w:tcPr>
                <w:p w14:paraId="083ABB8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年评价指标</w:t>
                  </w:r>
                </w:p>
              </w:tc>
              <w:tc>
                <w:tcPr>
                  <w:tcW w:w="694" w:type="pct"/>
                  <w:noWrap w:val="0"/>
                  <w:vAlign w:val="center"/>
                </w:tcPr>
                <w:p w14:paraId="3C34D3A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现状浓度</w:t>
                  </w:r>
                </w:p>
              </w:tc>
              <w:tc>
                <w:tcPr>
                  <w:tcW w:w="694" w:type="pct"/>
                  <w:noWrap w:val="0"/>
                  <w:vAlign w:val="center"/>
                </w:tcPr>
                <w:p w14:paraId="30E5B87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标准值</w:t>
                  </w:r>
                </w:p>
              </w:tc>
              <w:tc>
                <w:tcPr>
                  <w:tcW w:w="658" w:type="pct"/>
                  <w:vMerge w:val="restart"/>
                  <w:noWrap w:val="0"/>
                  <w:vAlign w:val="center"/>
                </w:tcPr>
                <w:p w14:paraId="732830BF">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占标率/%</w:t>
                  </w:r>
                </w:p>
              </w:tc>
              <w:tc>
                <w:tcPr>
                  <w:tcW w:w="623" w:type="pct"/>
                  <w:vMerge w:val="restart"/>
                  <w:noWrap w:val="0"/>
                  <w:vAlign w:val="center"/>
                </w:tcPr>
                <w:p w14:paraId="296E740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达标情况</w:t>
                  </w:r>
                </w:p>
              </w:tc>
            </w:tr>
            <w:tr w14:paraId="13AD8C2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7534E86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p>
              </w:tc>
              <w:tc>
                <w:tcPr>
                  <w:tcW w:w="1828" w:type="pct"/>
                  <w:vMerge w:val="continue"/>
                  <w:noWrap w:val="0"/>
                  <w:vAlign w:val="center"/>
                </w:tcPr>
                <w:p w14:paraId="011823B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p>
              </w:tc>
              <w:tc>
                <w:tcPr>
                  <w:tcW w:w="694" w:type="pct"/>
                  <w:noWrap w:val="0"/>
                  <w:vAlign w:val="center"/>
                </w:tcPr>
                <w:p w14:paraId="14CEB8A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（µg/m³）</w:t>
                  </w:r>
                </w:p>
              </w:tc>
              <w:tc>
                <w:tcPr>
                  <w:tcW w:w="694" w:type="pct"/>
                  <w:noWrap w:val="0"/>
                  <w:vAlign w:val="center"/>
                </w:tcPr>
                <w:p w14:paraId="3DB2DA7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（µg/m³）</w:t>
                  </w:r>
                </w:p>
              </w:tc>
              <w:tc>
                <w:tcPr>
                  <w:tcW w:w="658" w:type="pct"/>
                  <w:vMerge w:val="continue"/>
                  <w:noWrap w:val="0"/>
                  <w:vAlign w:val="center"/>
                </w:tcPr>
                <w:p w14:paraId="0A8F8B6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p>
              </w:tc>
              <w:tc>
                <w:tcPr>
                  <w:tcW w:w="623" w:type="pct"/>
                  <w:vMerge w:val="continue"/>
                  <w:noWrap w:val="0"/>
                  <w:vAlign w:val="center"/>
                </w:tcPr>
                <w:p w14:paraId="1CC30F5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b/>
                      <w:color w:val="auto"/>
                      <w:sz w:val="21"/>
                      <w:szCs w:val="21"/>
                    </w:rPr>
                  </w:pPr>
                </w:p>
              </w:tc>
            </w:tr>
            <w:tr w14:paraId="0A190E6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32" w:hRule="atLeast"/>
                <w:jc w:val="center"/>
              </w:trPr>
              <w:tc>
                <w:tcPr>
                  <w:tcW w:w="502" w:type="pct"/>
                  <w:vMerge w:val="restart"/>
                  <w:noWrap w:val="0"/>
                  <w:vAlign w:val="center"/>
                </w:tcPr>
                <w:p w14:paraId="7A1C171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1828" w:type="pct"/>
                  <w:noWrap w:val="0"/>
                  <w:vAlign w:val="center"/>
                </w:tcPr>
                <w:p w14:paraId="5135355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694" w:type="pct"/>
                  <w:noWrap w:val="0"/>
                  <w:vAlign w:val="center"/>
                </w:tcPr>
                <w:p w14:paraId="25CEA15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6.76</w:t>
                  </w:r>
                </w:p>
              </w:tc>
              <w:tc>
                <w:tcPr>
                  <w:tcW w:w="694" w:type="pct"/>
                  <w:noWrap w:val="0"/>
                  <w:vAlign w:val="center"/>
                </w:tcPr>
                <w:p w14:paraId="3018275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658" w:type="pct"/>
                  <w:noWrap w:val="0"/>
                  <w:vAlign w:val="center"/>
                </w:tcPr>
                <w:p w14:paraId="6B7E1E36">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11.27</w:t>
                  </w:r>
                </w:p>
              </w:tc>
              <w:tc>
                <w:tcPr>
                  <w:tcW w:w="623" w:type="pct"/>
                  <w:noWrap w:val="0"/>
                  <w:vAlign w:val="center"/>
                </w:tcPr>
                <w:p w14:paraId="765EA95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4FE3382">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427DD15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p>
              </w:tc>
              <w:tc>
                <w:tcPr>
                  <w:tcW w:w="1828" w:type="pct"/>
                  <w:noWrap w:val="0"/>
                  <w:vAlign w:val="center"/>
                </w:tcPr>
                <w:p w14:paraId="31374661">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98%日平均质量浓度</w:t>
                  </w:r>
                </w:p>
              </w:tc>
              <w:tc>
                <w:tcPr>
                  <w:tcW w:w="694" w:type="pct"/>
                  <w:noWrap w:val="0"/>
                  <w:vAlign w:val="center"/>
                </w:tcPr>
                <w:p w14:paraId="2F43B63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w:t>
                  </w:r>
                </w:p>
              </w:tc>
              <w:tc>
                <w:tcPr>
                  <w:tcW w:w="694" w:type="pct"/>
                  <w:noWrap w:val="0"/>
                  <w:vAlign w:val="center"/>
                </w:tcPr>
                <w:p w14:paraId="008A2ED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p>
              </w:tc>
              <w:tc>
                <w:tcPr>
                  <w:tcW w:w="658" w:type="pct"/>
                  <w:noWrap w:val="0"/>
                  <w:vAlign w:val="center"/>
                </w:tcPr>
                <w:p w14:paraId="7DD1F07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7.33</w:t>
                  </w:r>
                </w:p>
              </w:tc>
              <w:tc>
                <w:tcPr>
                  <w:tcW w:w="623" w:type="pct"/>
                  <w:noWrap w:val="0"/>
                  <w:vAlign w:val="center"/>
                </w:tcPr>
                <w:p w14:paraId="65F50FA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D423A9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restart"/>
                  <w:noWrap w:val="0"/>
                  <w:vAlign w:val="center"/>
                </w:tcPr>
                <w:p w14:paraId="1D88D5E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2</w:t>
                  </w:r>
                </w:p>
              </w:tc>
              <w:tc>
                <w:tcPr>
                  <w:tcW w:w="1828" w:type="pct"/>
                  <w:noWrap w:val="0"/>
                  <w:vAlign w:val="center"/>
                </w:tcPr>
                <w:p w14:paraId="357B864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694" w:type="pct"/>
                  <w:noWrap w:val="0"/>
                  <w:vAlign w:val="center"/>
                </w:tcPr>
                <w:p w14:paraId="020E171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14.25</w:t>
                  </w:r>
                </w:p>
              </w:tc>
              <w:tc>
                <w:tcPr>
                  <w:tcW w:w="694" w:type="pct"/>
                  <w:noWrap w:val="0"/>
                  <w:vAlign w:val="center"/>
                </w:tcPr>
                <w:p w14:paraId="1C111FB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658" w:type="pct"/>
                  <w:noWrap w:val="0"/>
                  <w:vAlign w:val="center"/>
                </w:tcPr>
                <w:p w14:paraId="16E4E76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35.63</w:t>
                  </w:r>
                </w:p>
              </w:tc>
              <w:tc>
                <w:tcPr>
                  <w:tcW w:w="623" w:type="pct"/>
                  <w:noWrap w:val="0"/>
                  <w:vAlign w:val="center"/>
                </w:tcPr>
                <w:p w14:paraId="52E95F1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3B3BAFB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09D80AD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p>
              </w:tc>
              <w:tc>
                <w:tcPr>
                  <w:tcW w:w="1828" w:type="pct"/>
                  <w:noWrap w:val="0"/>
                  <w:vAlign w:val="center"/>
                </w:tcPr>
                <w:p w14:paraId="788CFEE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98%日平均质量浓度</w:t>
                  </w:r>
                </w:p>
              </w:tc>
              <w:tc>
                <w:tcPr>
                  <w:tcW w:w="694" w:type="pct"/>
                  <w:noWrap w:val="0"/>
                  <w:vAlign w:val="center"/>
                </w:tcPr>
                <w:p w14:paraId="7515675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27.78</w:t>
                  </w:r>
                </w:p>
              </w:tc>
              <w:tc>
                <w:tcPr>
                  <w:tcW w:w="694" w:type="pct"/>
                  <w:noWrap w:val="0"/>
                  <w:vAlign w:val="center"/>
                </w:tcPr>
                <w:p w14:paraId="15B7A926">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658" w:type="pct"/>
                  <w:noWrap w:val="0"/>
                  <w:vAlign w:val="center"/>
                </w:tcPr>
                <w:p w14:paraId="5DED384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34.73</w:t>
                  </w:r>
                </w:p>
              </w:tc>
              <w:tc>
                <w:tcPr>
                  <w:tcW w:w="623" w:type="pct"/>
                  <w:noWrap w:val="0"/>
                  <w:vAlign w:val="center"/>
                </w:tcPr>
                <w:p w14:paraId="36E8362F">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A32E82E">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2" w:type="pct"/>
                  <w:vMerge w:val="restart"/>
                  <w:noWrap w:val="0"/>
                  <w:vAlign w:val="center"/>
                </w:tcPr>
                <w:p w14:paraId="04978B1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10</w:t>
                  </w:r>
                </w:p>
              </w:tc>
              <w:tc>
                <w:tcPr>
                  <w:tcW w:w="1828" w:type="pct"/>
                  <w:noWrap w:val="0"/>
                  <w:vAlign w:val="center"/>
                </w:tcPr>
                <w:p w14:paraId="45D0EE0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694" w:type="pct"/>
                  <w:noWrap w:val="0"/>
                  <w:vAlign w:val="center"/>
                </w:tcPr>
                <w:p w14:paraId="1457026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28.48</w:t>
                  </w:r>
                </w:p>
              </w:tc>
              <w:tc>
                <w:tcPr>
                  <w:tcW w:w="694" w:type="pct"/>
                  <w:noWrap w:val="0"/>
                  <w:vAlign w:val="center"/>
                </w:tcPr>
                <w:p w14:paraId="3013118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658" w:type="pct"/>
                  <w:noWrap w:val="0"/>
                  <w:vAlign w:val="center"/>
                </w:tcPr>
                <w:p w14:paraId="7603741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40.69</w:t>
                  </w:r>
                </w:p>
              </w:tc>
              <w:tc>
                <w:tcPr>
                  <w:tcW w:w="623" w:type="pct"/>
                  <w:noWrap w:val="0"/>
                  <w:vAlign w:val="center"/>
                </w:tcPr>
                <w:p w14:paraId="2DD2156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DCCD20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0D4D8F2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p>
              </w:tc>
              <w:tc>
                <w:tcPr>
                  <w:tcW w:w="1828" w:type="pct"/>
                  <w:noWrap w:val="0"/>
                  <w:vAlign w:val="center"/>
                </w:tcPr>
                <w:p w14:paraId="0CE68BE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95%日平均质量浓度</w:t>
                  </w:r>
                </w:p>
              </w:tc>
              <w:tc>
                <w:tcPr>
                  <w:tcW w:w="694" w:type="pct"/>
                  <w:noWrap w:val="0"/>
                  <w:vAlign w:val="center"/>
                </w:tcPr>
                <w:p w14:paraId="4FBE754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54.8</w:t>
                  </w:r>
                </w:p>
              </w:tc>
              <w:tc>
                <w:tcPr>
                  <w:tcW w:w="694" w:type="pct"/>
                  <w:noWrap w:val="0"/>
                  <w:vAlign w:val="center"/>
                </w:tcPr>
                <w:p w14:paraId="1918611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w:t>
                  </w:r>
                </w:p>
              </w:tc>
              <w:tc>
                <w:tcPr>
                  <w:tcW w:w="658" w:type="pct"/>
                  <w:noWrap w:val="0"/>
                  <w:vAlign w:val="center"/>
                </w:tcPr>
                <w:p w14:paraId="3ADE022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36.53</w:t>
                  </w:r>
                </w:p>
              </w:tc>
              <w:tc>
                <w:tcPr>
                  <w:tcW w:w="623" w:type="pct"/>
                  <w:noWrap w:val="0"/>
                  <w:vAlign w:val="center"/>
                </w:tcPr>
                <w:p w14:paraId="23ACAAD7">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ACE245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restart"/>
                  <w:noWrap w:val="0"/>
                  <w:vAlign w:val="center"/>
                </w:tcPr>
                <w:p w14:paraId="0337DB0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rPr>
                    <w:t>2.5</w:t>
                  </w:r>
                </w:p>
              </w:tc>
              <w:tc>
                <w:tcPr>
                  <w:tcW w:w="1828" w:type="pct"/>
                  <w:noWrap w:val="0"/>
                  <w:vAlign w:val="center"/>
                </w:tcPr>
                <w:p w14:paraId="625E0526">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年平均质量浓度</w:t>
                  </w:r>
                </w:p>
              </w:tc>
              <w:tc>
                <w:tcPr>
                  <w:tcW w:w="694" w:type="pct"/>
                  <w:noWrap w:val="0"/>
                  <w:vAlign w:val="center"/>
                </w:tcPr>
                <w:p w14:paraId="064E80F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17.77</w:t>
                  </w:r>
                </w:p>
              </w:tc>
              <w:tc>
                <w:tcPr>
                  <w:tcW w:w="694" w:type="pct"/>
                  <w:noWrap w:val="0"/>
                  <w:vAlign w:val="center"/>
                </w:tcPr>
                <w:p w14:paraId="78B46411">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658" w:type="pct"/>
                  <w:noWrap w:val="0"/>
                  <w:vAlign w:val="center"/>
                </w:tcPr>
                <w:p w14:paraId="0BF4EC3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50.77</w:t>
                  </w:r>
                </w:p>
              </w:tc>
              <w:tc>
                <w:tcPr>
                  <w:tcW w:w="623" w:type="pct"/>
                  <w:noWrap w:val="0"/>
                  <w:vAlign w:val="center"/>
                </w:tcPr>
                <w:p w14:paraId="6D5F2B0C">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78D4B8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vMerge w:val="continue"/>
                  <w:noWrap w:val="0"/>
                  <w:vAlign w:val="center"/>
                </w:tcPr>
                <w:p w14:paraId="028118B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p>
              </w:tc>
              <w:tc>
                <w:tcPr>
                  <w:tcW w:w="1828" w:type="pct"/>
                  <w:noWrap w:val="0"/>
                  <w:vAlign w:val="center"/>
                </w:tcPr>
                <w:p w14:paraId="5C45416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95%日平均质量浓度</w:t>
                  </w:r>
                </w:p>
              </w:tc>
              <w:tc>
                <w:tcPr>
                  <w:tcW w:w="694" w:type="pct"/>
                  <w:noWrap w:val="0"/>
                  <w:vAlign w:val="center"/>
                </w:tcPr>
                <w:p w14:paraId="1BDD2A01">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w:t>
                  </w:r>
                </w:p>
              </w:tc>
              <w:tc>
                <w:tcPr>
                  <w:tcW w:w="694" w:type="pct"/>
                  <w:noWrap w:val="0"/>
                  <w:vAlign w:val="center"/>
                </w:tcPr>
                <w:p w14:paraId="0C81411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75</w:t>
                  </w:r>
                </w:p>
              </w:tc>
              <w:tc>
                <w:tcPr>
                  <w:tcW w:w="658" w:type="pct"/>
                  <w:noWrap w:val="0"/>
                  <w:vAlign w:val="center"/>
                </w:tcPr>
                <w:p w14:paraId="6EEEF9A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49.33</w:t>
                  </w:r>
                </w:p>
              </w:tc>
              <w:tc>
                <w:tcPr>
                  <w:tcW w:w="623" w:type="pct"/>
                  <w:noWrap w:val="0"/>
                  <w:vAlign w:val="center"/>
                </w:tcPr>
                <w:p w14:paraId="2526D68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D11168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02" w:type="pct"/>
                  <w:noWrap w:val="0"/>
                  <w:vAlign w:val="center"/>
                </w:tcPr>
                <w:p w14:paraId="645BC15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w:t>
                  </w:r>
                </w:p>
              </w:tc>
              <w:tc>
                <w:tcPr>
                  <w:tcW w:w="1828" w:type="pct"/>
                  <w:noWrap w:val="0"/>
                  <w:vAlign w:val="center"/>
                </w:tcPr>
                <w:p w14:paraId="5A410548">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95%日平均质量浓度</w:t>
                  </w:r>
                </w:p>
              </w:tc>
              <w:tc>
                <w:tcPr>
                  <w:tcW w:w="694" w:type="pct"/>
                  <w:noWrap w:val="0"/>
                  <w:vAlign w:val="center"/>
                </w:tcPr>
                <w:p w14:paraId="75BE258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800</w:t>
                  </w:r>
                </w:p>
              </w:tc>
              <w:tc>
                <w:tcPr>
                  <w:tcW w:w="694" w:type="pct"/>
                  <w:noWrap w:val="0"/>
                  <w:vAlign w:val="center"/>
                </w:tcPr>
                <w:p w14:paraId="2F043B1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w:t>
                  </w:r>
                </w:p>
              </w:tc>
              <w:tc>
                <w:tcPr>
                  <w:tcW w:w="658" w:type="pct"/>
                  <w:noWrap w:val="0"/>
                  <w:vAlign w:val="center"/>
                </w:tcPr>
                <w:p w14:paraId="730798D0">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623" w:type="pct"/>
                  <w:noWrap w:val="0"/>
                  <w:vAlign w:val="center"/>
                </w:tcPr>
                <w:p w14:paraId="79A5577F">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03E6677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2" w:type="pct"/>
                  <w:noWrap w:val="0"/>
                  <w:vAlign w:val="center"/>
                </w:tcPr>
                <w:p w14:paraId="21CA78F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rPr>
                    <w:t>3</w:t>
                  </w:r>
                </w:p>
              </w:tc>
              <w:tc>
                <w:tcPr>
                  <w:tcW w:w="1828" w:type="pct"/>
                  <w:noWrap w:val="0"/>
                  <w:vAlign w:val="center"/>
                </w:tcPr>
                <w:p w14:paraId="218507F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90%日最大8小时平均质量浓度</w:t>
                  </w:r>
                </w:p>
              </w:tc>
              <w:tc>
                <w:tcPr>
                  <w:tcW w:w="694" w:type="pct"/>
                  <w:noWrap w:val="0"/>
                  <w:vAlign w:val="center"/>
                </w:tcPr>
                <w:p w14:paraId="1805703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119</w:t>
                  </w:r>
                </w:p>
              </w:tc>
              <w:tc>
                <w:tcPr>
                  <w:tcW w:w="694" w:type="pct"/>
                  <w:noWrap w:val="0"/>
                  <w:vAlign w:val="center"/>
                </w:tcPr>
                <w:p w14:paraId="109637D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w:t>
                  </w:r>
                </w:p>
              </w:tc>
              <w:tc>
                <w:tcPr>
                  <w:tcW w:w="658" w:type="pct"/>
                  <w:noWrap w:val="0"/>
                  <w:vAlign w:val="center"/>
                </w:tcPr>
                <w:p w14:paraId="47907F4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59.5</w:t>
                  </w:r>
                </w:p>
              </w:tc>
              <w:tc>
                <w:tcPr>
                  <w:tcW w:w="623" w:type="pct"/>
                  <w:noWrap w:val="0"/>
                  <w:vAlign w:val="center"/>
                </w:tcPr>
                <w:p w14:paraId="7F27A6A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14:paraId="691B2B2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根据</w:t>
            </w:r>
            <w:r>
              <w:rPr>
                <w:rFonts w:hint="default" w:ascii="Times New Roman" w:hAnsi="Times New Roman" w:cs="Times New Roman"/>
                <w:color w:val="auto"/>
                <w:kern w:val="0"/>
                <w:sz w:val="24"/>
                <w:lang w:val="en-US" w:eastAsia="zh-CN" w:bidi="ar"/>
              </w:rPr>
              <w:t>玉溪市红塔区</w:t>
            </w:r>
            <w:r>
              <w:rPr>
                <w:rFonts w:hint="default" w:ascii="Times New Roman" w:hAnsi="Times New Roman" w:cs="Times New Roman"/>
                <w:color w:val="auto"/>
                <w:sz w:val="24"/>
                <w:lang w:val="en-US" w:eastAsia="zh-CN"/>
              </w:rPr>
              <w:t>北城街道办事处</w:t>
            </w:r>
            <w:r>
              <w:rPr>
                <w:rFonts w:hint="default" w:ascii="Times New Roman" w:hAnsi="Times New Roman" w:cs="Times New Roman"/>
                <w:color w:val="auto"/>
                <w:kern w:val="0"/>
                <w:sz w:val="24"/>
                <w:lang w:bidi="ar"/>
              </w:rPr>
              <w:t>环境空气自动监测站点202</w:t>
            </w:r>
            <w:r>
              <w:rPr>
                <w:rFonts w:hint="eastAsia" w:ascii="Times New Roman" w:hAnsi="Times New Roman" w:cs="Times New Roman"/>
                <w:color w:val="auto"/>
                <w:kern w:val="0"/>
                <w:sz w:val="24"/>
                <w:lang w:val="en-US" w:eastAsia="zh-CN" w:bidi="ar"/>
              </w:rPr>
              <w:t>3</w:t>
            </w:r>
            <w:r>
              <w:rPr>
                <w:rFonts w:hint="default" w:ascii="Times New Roman" w:hAnsi="Times New Roman" w:cs="Times New Roman"/>
                <w:color w:val="auto"/>
                <w:kern w:val="0"/>
                <w:sz w:val="24"/>
                <w:lang w:bidi="ar"/>
              </w:rPr>
              <w:t>年统计数据，本项目所在区域基本污染物年平均质量浓度和相应百分位24h平均质量浓度均能达到《</w:t>
            </w:r>
            <w:bookmarkStart w:id="25" w:name="OLE_LINK227"/>
            <w:r>
              <w:rPr>
                <w:rFonts w:hint="default" w:ascii="Times New Roman" w:hAnsi="Times New Roman" w:cs="Times New Roman"/>
                <w:color w:val="auto"/>
                <w:kern w:val="0"/>
                <w:sz w:val="24"/>
                <w:lang w:bidi="ar"/>
              </w:rPr>
              <w:t>环境空气质量标准</w:t>
            </w:r>
            <w:bookmarkEnd w:id="25"/>
            <w:r>
              <w:rPr>
                <w:rFonts w:hint="default" w:ascii="Times New Roman" w:hAnsi="Times New Roman" w:cs="Times New Roman"/>
                <w:color w:val="auto"/>
                <w:kern w:val="0"/>
                <w:sz w:val="24"/>
                <w:lang w:bidi="ar"/>
              </w:rPr>
              <w:t>》（3095-2012）</w:t>
            </w:r>
            <w:r>
              <w:rPr>
                <w:rFonts w:hint="default" w:ascii="Times New Roman" w:hAnsi="Times New Roman" w:cs="Times New Roman"/>
                <w:color w:val="auto"/>
                <w:sz w:val="24"/>
              </w:rPr>
              <w:t>及其修改单中的</w:t>
            </w:r>
            <w:r>
              <w:rPr>
                <w:rFonts w:hint="default" w:ascii="Times New Roman" w:hAnsi="Times New Roman" w:cs="Times New Roman"/>
                <w:color w:val="auto"/>
                <w:kern w:val="0"/>
                <w:sz w:val="24"/>
                <w:lang w:bidi="ar"/>
              </w:rPr>
              <w:t>二级标准要求，属于环境空气质量达标区</w:t>
            </w:r>
            <w:r>
              <w:rPr>
                <w:rFonts w:hint="default" w:ascii="Times New Roman" w:hAnsi="Times New Roman" w:cs="Times New Roman"/>
                <w:color w:val="auto"/>
                <w:sz w:val="24"/>
              </w:rPr>
              <w:t>。</w:t>
            </w:r>
          </w:p>
          <w:bookmarkEnd w:id="22"/>
          <w:p w14:paraId="5379B58C">
            <w:pPr>
              <w:spacing w:line="360" w:lineRule="auto"/>
              <w:ind w:firstLine="480" w:firstLineChars="200"/>
              <w:contextualSpacing/>
              <w:outlineLvl w:val="2"/>
              <w:rPr>
                <w:bCs/>
                <w:color w:val="auto"/>
                <w:sz w:val="24"/>
                <w:highlight w:val="none"/>
              </w:rPr>
            </w:pPr>
            <w:r>
              <w:rPr>
                <w:bCs/>
                <w:color w:val="auto"/>
                <w:sz w:val="24"/>
                <w:highlight w:val="none"/>
              </w:rPr>
              <w:t>（</w:t>
            </w:r>
            <w:r>
              <w:rPr>
                <w:rFonts w:hint="eastAsia"/>
                <w:bCs/>
                <w:color w:val="auto"/>
                <w:sz w:val="24"/>
                <w:highlight w:val="none"/>
                <w:lang w:val="en-US" w:eastAsia="zh-CN"/>
              </w:rPr>
              <w:t>2</w:t>
            </w:r>
            <w:r>
              <w:rPr>
                <w:bCs/>
                <w:color w:val="auto"/>
                <w:sz w:val="24"/>
                <w:highlight w:val="none"/>
              </w:rPr>
              <w:t>）</w:t>
            </w:r>
            <w:r>
              <w:rPr>
                <w:bCs/>
                <w:color w:val="auto"/>
                <w:sz w:val="24"/>
                <w:highlight w:val="none"/>
                <w:lang w:val="en-US" w:eastAsia="zh-CN"/>
              </w:rPr>
              <w:t>特征污染物现状监测情况分析</w:t>
            </w:r>
          </w:p>
          <w:p w14:paraId="609A6C20">
            <w:pPr>
              <w:pStyle w:val="105"/>
              <w:spacing w:line="360" w:lineRule="auto"/>
              <w:ind w:firstLine="436" w:firstLineChars="182"/>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rPr>
              <w:t>项目运营期特征污染物为TSP</w:t>
            </w:r>
            <w:bookmarkStart w:id="26" w:name="OLE_LINK222"/>
            <w:r>
              <w:rPr>
                <w:rFonts w:hint="eastAsia" w:ascii="宋体" w:hAnsi="宋体" w:cs="宋体"/>
                <w:bCs/>
                <w:color w:val="auto"/>
                <w:sz w:val="24"/>
                <w:szCs w:val="24"/>
                <w:lang w:val="en-US" w:eastAsia="zh-CN"/>
              </w:rPr>
              <w:t>和</w:t>
            </w:r>
            <w:r>
              <w:rPr>
                <w:rFonts w:hint="eastAsia" w:ascii="宋体" w:hAnsi="宋体" w:eastAsia="宋体" w:cs="宋体"/>
                <w:bCs/>
                <w:color w:val="auto"/>
                <w:sz w:val="24"/>
                <w:szCs w:val="24"/>
                <w:lang w:val="en-US" w:eastAsia="zh-CN"/>
              </w:rPr>
              <w:t>NO</w:t>
            </w:r>
            <w:r>
              <w:rPr>
                <w:rFonts w:hint="eastAsia" w:ascii="宋体" w:hAnsi="宋体" w:eastAsia="宋体" w:cs="宋体"/>
                <w:bCs/>
                <w:color w:val="auto"/>
                <w:sz w:val="24"/>
                <w:szCs w:val="24"/>
                <w:vertAlign w:val="subscript"/>
                <w:lang w:val="en-US" w:eastAsia="zh-CN"/>
              </w:rPr>
              <w:t>X</w:t>
            </w:r>
            <w:bookmarkEnd w:id="26"/>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lang w:val="en-US" w:eastAsia="zh-CN"/>
              </w:rPr>
              <w:t>根据《</w:t>
            </w:r>
            <w:bookmarkStart w:id="27" w:name="OLE_LINK50"/>
            <w:r>
              <w:rPr>
                <w:rFonts w:hint="eastAsia" w:ascii="宋体" w:hAnsi="宋体" w:eastAsia="宋体" w:cs="宋体"/>
                <w:color w:val="auto"/>
                <w:sz w:val="24"/>
                <w:szCs w:val="24"/>
                <w:lang w:val="en-US" w:eastAsia="zh-CN"/>
              </w:rPr>
              <w:t>建设项目环境影响报告表编制技术指南（污染影响类）</w:t>
            </w:r>
            <w:bookmarkEnd w:id="27"/>
            <w:r>
              <w:rPr>
                <w:rFonts w:hint="eastAsia" w:ascii="宋体" w:hAnsi="宋体" w:eastAsia="宋体" w:cs="宋体"/>
                <w:color w:val="auto"/>
                <w:sz w:val="24"/>
                <w:szCs w:val="24"/>
                <w:lang w:val="en-US" w:eastAsia="zh-CN"/>
              </w:rPr>
              <w:t>》（试行）相关内容，排放国家、地方环境空气质量标准中有标准限值要求的特征污染物时，引用建设项目周边5千米范围内近3年的现有监测数据。</w:t>
            </w:r>
          </w:p>
          <w:p w14:paraId="0975AACB">
            <w:pPr>
              <w:pStyle w:val="105"/>
              <w:spacing w:line="360" w:lineRule="auto"/>
              <w:ind w:firstLine="436" w:firstLineChars="18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特征污染物TSP引用华治医药（云南）有限公司《医用水蛭加工生产项目环境影响报告表》中云南鑫田环境分析测试有限公司于2025年4月11日～2025年4月13日的现状监测数据。该项目在厂区下风向牛场村设置了1个环境空气质量监测点，位于本项目西南面4.56km处，引用的监测点位于本项目的位置关系详见附图7。本项目引用的牛场村监测点位于本项目上风向，且位于项目5km范围内，监测时间为近3年数据，因此监测数据为有效数据。具体监测结果如下表所示。</w:t>
            </w:r>
          </w:p>
          <w:p w14:paraId="614DCFAD">
            <w:pPr>
              <w:adjustRightInd w:val="0"/>
              <w:snapToGrid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表3-3  TSP日均值监测结果统计表</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单位：</w:t>
            </w:r>
            <w:r>
              <w:rPr>
                <w:rFonts w:hint="default" w:ascii="Times New Roman" w:hAnsi="Times New Roman" w:eastAsia="宋体" w:cs="Times New Roman"/>
                <w:b/>
                <w:color w:val="auto"/>
                <w:sz w:val="24"/>
                <w:szCs w:val="24"/>
              </w:rPr>
              <w:t>µg</w:t>
            </w:r>
            <w:r>
              <w:rPr>
                <w:rFonts w:hint="default" w:ascii="Times New Roman" w:hAnsi="Times New Roman" w:eastAsia="宋体" w:cs="Times New Roman"/>
                <w:b/>
                <w:bCs/>
                <w:color w:val="auto"/>
                <w:sz w:val="24"/>
                <w:szCs w:val="24"/>
                <w:lang w:val="en-US" w:eastAsia="zh-CN"/>
              </w:rPr>
              <w:t>/m</w:t>
            </w:r>
            <w:r>
              <w:rPr>
                <w:rFonts w:hint="default" w:ascii="Times New Roman" w:hAnsi="Times New Roman" w:eastAsia="宋体" w:cs="Times New Roman"/>
                <w:b/>
                <w:bCs/>
                <w:color w:val="auto"/>
                <w:sz w:val="24"/>
                <w:szCs w:val="24"/>
                <w:vertAlign w:val="superscript"/>
                <w:lang w:val="en-US" w:eastAsia="zh-CN"/>
              </w:rPr>
              <w:t>3</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1904"/>
              <w:gridCol w:w="2201"/>
              <w:gridCol w:w="1482"/>
              <w:gridCol w:w="1313"/>
            </w:tblGrid>
            <w:tr w14:paraId="2357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0" w:type="pct"/>
                  <w:noWrap w:val="0"/>
                  <w:vAlign w:val="center"/>
                </w:tcPr>
                <w:p w14:paraId="22E0439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监测点位</w:t>
                  </w:r>
                </w:p>
              </w:tc>
              <w:tc>
                <w:tcPr>
                  <w:tcW w:w="1092" w:type="pct"/>
                  <w:noWrap w:val="0"/>
                  <w:vAlign w:val="center"/>
                </w:tcPr>
                <w:p w14:paraId="6B06F6EF">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采样时间</w:t>
                  </w:r>
                </w:p>
              </w:tc>
              <w:tc>
                <w:tcPr>
                  <w:tcW w:w="1262" w:type="pct"/>
                  <w:noWrap w:val="0"/>
                  <w:vAlign w:val="center"/>
                </w:tcPr>
                <w:p w14:paraId="6336FE6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监测结果（</w:t>
                  </w:r>
                  <w:r>
                    <w:rPr>
                      <w:rFonts w:hint="default" w:ascii="Times New Roman" w:hAnsi="Times New Roman" w:eastAsia="宋体" w:cs="Times New Roman"/>
                      <w:b/>
                      <w:color w:val="auto"/>
                      <w:sz w:val="21"/>
                      <w:szCs w:val="21"/>
                    </w:rPr>
                    <w:t>µg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w:t>
                  </w:r>
                </w:p>
              </w:tc>
              <w:tc>
                <w:tcPr>
                  <w:tcW w:w="850" w:type="pct"/>
                  <w:noWrap w:val="0"/>
                  <w:vAlign w:val="center"/>
                </w:tcPr>
                <w:p w14:paraId="4F6096F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标准值</w:t>
                  </w:r>
                </w:p>
              </w:tc>
              <w:tc>
                <w:tcPr>
                  <w:tcW w:w="753" w:type="pct"/>
                  <w:noWrap w:val="0"/>
                  <w:vAlign w:val="center"/>
                </w:tcPr>
                <w:p w14:paraId="7A66ADF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达标情况</w:t>
                  </w:r>
                </w:p>
              </w:tc>
            </w:tr>
            <w:tr w14:paraId="1BC6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 w:hRule="atLeast"/>
              </w:trPr>
              <w:tc>
                <w:tcPr>
                  <w:tcW w:w="1040" w:type="pct"/>
                  <w:vMerge w:val="restart"/>
                  <w:noWrap w:val="0"/>
                  <w:vAlign w:val="center"/>
                </w:tcPr>
                <w:p w14:paraId="31B7848A">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牛场村</w:t>
                  </w:r>
                </w:p>
              </w:tc>
              <w:tc>
                <w:tcPr>
                  <w:tcW w:w="1092" w:type="pct"/>
                  <w:noWrap w:val="0"/>
                  <w:vAlign w:val="center"/>
                </w:tcPr>
                <w:p w14:paraId="23BB224B">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2025.04.11</w:t>
                  </w:r>
                </w:p>
              </w:tc>
              <w:tc>
                <w:tcPr>
                  <w:tcW w:w="1262" w:type="pct"/>
                  <w:noWrap w:val="0"/>
                  <w:vAlign w:val="center"/>
                </w:tcPr>
                <w:p w14:paraId="7FA5EDA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109</w:t>
                  </w:r>
                </w:p>
              </w:tc>
              <w:tc>
                <w:tcPr>
                  <w:tcW w:w="850" w:type="pct"/>
                  <w:noWrap w:val="0"/>
                  <w:vAlign w:val="center"/>
                </w:tcPr>
                <w:p w14:paraId="624E9C1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753" w:type="pct"/>
                  <w:noWrap w:val="0"/>
                  <w:vAlign w:val="center"/>
                </w:tcPr>
                <w:p w14:paraId="0F0F370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14:paraId="2661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 w:type="pct"/>
                  <w:vMerge w:val="continue"/>
                  <w:noWrap w:val="0"/>
                  <w:vAlign w:val="center"/>
                </w:tcPr>
                <w:p w14:paraId="4A325975">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p>
              </w:tc>
              <w:tc>
                <w:tcPr>
                  <w:tcW w:w="1092" w:type="pct"/>
                  <w:noWrap w:val="0"/>
                  <w:vAlign w:val="center"/>
                </w:tcPr>
                <w:p w14:paraId="3A9B1DE2">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2025.04.12</w:t>
                  </w:r>
                </w:p>
              </w:tc>
              <w:tc>
                <w:tcPr>
                  <w:tcW w:w="1262" w:type="pct"/>
                  <w:noWrap w:val="0"/>
                  <w:vAlign w:val="center"/>
                </w:tcPr>
                <w:p w14:paraId="612741A6">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115</w:t>
                  </w:r>
                </w:p>
              </w:tc>
              <w:tc>
                <w:tcPr>
                  <w:tcW w:w="850" w:type="pct"/>
                  <w:noWrap w:val="0"/>
                  <w:vAlign w:val="center"/>
                </w:tcPr>
                <w:p w14:paraId="4E054459">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753" w:type="pct"/>
                  <w:noWrap w:val="0"/>
                  <w:vAlign w:val="center"/>
                </w:tcPr>
                <w:p w14:paraId="0F45C1E3">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达标</w:t>
                  </w:r>
                </w:p>
              </w:tc>
            </w:tr>
            <w:tr w14:paraId="5499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 w:type="pct"/>
                  <w:vMerge w:val="continue"/>
                  <w:noWrap w:val="0"/>
                  <w:vAlign w:val="center"/>
                </w:tcPr>
                <w:p w14:paraId="5DDD4E37">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p>
              </w:tc>
              <w:tc>
                <w:tcPr>
                  <w:tcW w:w="1092" w:type="pct"/>
                  <w:noWrap w:val="0"/>
                  <w:vAlign w:val="center"/>
                </w:tcPr>
                <w:p w14:paraId="482EEA5D">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2025.04.13</w:t>
                  </w:r>
                </w:p>
              </w:tc>
              <w:tc>
                <w:tcPr>
                  <w:tcW w:w="1262" w:type="pct"/>
                  <w:noWrap w:val="0"/>
                  <w:vAlign w:val="center"/>
                </w:tcPr>
                <w:p w14:paraId="13FBB61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104</w:t>
                  </w:r>
                </w:p>
              </w:tc>
              <w:tc>
                <w:tcPr>
                  <w:tcW w:w="850" w:type="pct"/>
                  <w:noWrap w:val="0"/>
                  <w:vAlign w:val="center"/>
                </w:tcPr>
                <w:p w14:paraId="62D57594">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753" w:type="pct"/>
                  <w:noWrap w:val="0"/>
                  <w:vAlign w:val="center"/>
                </w:tcPr>
                <w:p w14:paraId="48E3211E">
                  <w:pPr>
                    <w:pStyle w:val="37"/>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r>
          </w:tbl>
          <w:p w14:paraId="4F028DF9">
            <w:pPr>
              <w:pStyle w:val="106"/>
              <w:ind w:firstLine="48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根据TSP的</w:t>
            </w:r>
            <w:r>
              <w:rPr>
                <w:rFonts w:hint="eastAsia" w:ascii="Times New Roman" w:hAnsi="Times New Roman" w:eastAsia="宋体" w:cs="Times New Roman"/>
                <w:color w:val="auto"/>
                <w:kern w:val="2"/>
                <w:sz w:val="24"/>
                <w:szCs w:val="24"/>
                <w:lang w:val="en-US" w:eastAsia="zh-CN" w:bidi="ar-SA"/>
              </w:rPr>
              <w:t>监测</w:t>
            </w:r>
            <w:r>
              <w:rPr>
                <w:rFonts w:hint="default" w:ascii="Times New Roman" w:hAnsi="Times New Roman" w:eastAsia="宋体" w:cs="Times New Roman"/>
                <w:color w:val="auto"/>
                <w:kern w:val="2"/>
                <w:sz w:val="24"/>
                <w:szCs w:val="24"/>
                <w:lang w:val="en-US" w:eastAsia="zh-CN" w:bidi="ar-SA"/>
              </w:rPr>
              <w:t>结果，项目区TSP日均浓度满足《环境空气质量标准》（GB3095-2012）中表2二级标准要求。</w:t>
            </w:r>
          </w:p>
          <w:p w14:paraId="0FFE49F1">
            <w:pPr>
              <w:pStyle w:val="105"/>
              <w:spacing w:line="360" w:lineRule="auto"/>
              <w:ind w:firstLine="436" w:firstLineChars="182"/>
              <w:rPr>
                <w:rFonts w:hint="eastAsia" w:ascii="宋体" w:hAnsi="宋体" w:eastAsia="宋体" w:cs="宋体"/>
                <w:color w:val="auto"/>
                <w:sz w:val="24"/>
                <w:szCs w:val="24"/>
                <w:lang w:val="en-US" w:eastAsia="zh-CN"/>
              </w:rPr>
            </w:pPr>
            <w:r>
              <w:rPr>
                <w:rFonts w:hint="default" w:ascii="Times New Roman" w:hAnsi="Times New Roman" w:cs="Times New Roman"/>
                <w:color w:val="auto"/>
                <w:sz w:val="24"/>
                <w:szCs w:val="24"/>
                <w:lang w:val="en-US" w:eastAsia="zh-CN"/>
              </w:rPr>
              <w:t>本次特征污染物</w:t>
            </w:r>
            <w:r>
              <w:rPr>
                <w:rFonts w:hint="default" w:ascii="Times New Roman" w:hAnsi="Times New Roman" w:eastAsia="宋体" w:cs="Times New Roman"/>
                <w:bCs/>
                <w:color w:val="auto"/>
                <w:sz w:val="24"/>
                <w:szCs w:val="24"/>
                <w:lang w:val="en-US" w:eastAsia="zh-CN"/>
              </w:rPr>
              <w:t>NO</w:t>
            </w:r>
            <w:r>
              <w:rPr>
                <w:rFonts w:hint="default" w:ascii="Times New Roman" w:hAnsi="Times New Roman" w:eastAsia="宋体" w:cs="Times New Roman"/>
                <w:bCs/>
                <w:color w:val="auto"/>
                <w:sz w:val="24"/>
                <w:szCs w:val="24"/>
                <w:vertAlign w:val="subscript"/>
                <w:lang w:val="en-US" w:eastAsia="zh-CN"/>
              </w:rPr>
              <w:t>X</w:t>
            </w:r>
            <w:r>
              <w:rPr>
                <w:rFonts w:hint="default" w:ascii="Times New Roman" w:hAnsi="Times New Roman" w:eastAsia="宋体" w:cs="Times New Roman"/>
                <w:bCs/>
                <w:color w:val="auto"/>
                <w:sz w:val="24"/>
                <w:szCs w:val="24"/>
                <w:vertAlign w:val="baseline"/>
                <w:lang w:val="en-US" w:eastAsia="zh-CN"/>
              </w:rPr>
              <w:t>引</w:t>
            </w:r>
            <w:r>
              <w:rPr>
                <w:rFonts w:hint="eastAsia" w:ascii="宋体" w:hAnsi="宋体" w:eastAsia="宋体" w:cs="宋体"/>
                <w:bCs/>
                <w:color w:val="auto"/>
                <w:sz w:val="24"/>
                <w:szCs w:val="24"/>
                <w:vertAlign w:val="baseline"/>
                <w:lang w:val="en-US" w:eastAsia="zh-CN"/>
              </w:rPr>
              <w:t>用</w:t>
            </w:r>
            <w:r>
              <w:rPr>
                <w:rFonts w:hint="eastAsia" w:ascii="宋体" w:hAnsi="宋体" w:eastAsia="宋体" w:cs="宋体"/>
                <w:color w:val="auto"/>
                <w:sz w:val="24"/>
                <w:szCs w:val="24"/>
                <w:lang w:val="en-US" w:eastAsia="zh-CN"/>
              </w:rPr>
              <w:t>玉溪煌嘉乳业有限公司委托云南天倪检测有限公司于2024年</w:t>
            </w:r>
            <w:r>
              <w:rPr>
                <w:rFonts w:hint="default" w:ascii="Times New Roman" w:hAnsi="Times New Roman" w:eastAsia="宋体" w:cs="Times New Roman"/>
                <w:color w:val="auto"/>
                <w:sz w:val="24"/>
                <w:szCs w:val="24"/>
                <w:lang w:val="en-US" w:eastAsia="zh-CN"/>
              </w:rPr>
              <w:t>12月22日~24日对项</w:t>
            </w:r>
            <w:r>
              <w:rPr>
                <w:rFonts w:hint="eastAsia" w:ascii="宋体" w:hAnsi="宋体" w:eastAsia="宋体" w:cs="宋体"/>
                <w:color w:val="auto"/>
                <w:sz w:val="24"/>
                <w:szCs w:val="24"/>
                <w:lang w:val="en-US" w:eastAsia="zh-CN"/>
              </w:rPr>
              <w:t>目区下风向特征污染物</w:t>
            </w:r>
            <w:r>
              <w:rPr>
                <w:rFonts w:hint="eastAsia" w:ascii="宋体" w:hAnsi="宋体" w:eastAsia="宋体" w:cs="宋体"/>
                <w:bCs/>
                <w:color w:val="auto"/>
                <w:sz w:val="24"/>
                <w:szCs w:val="24"/>
                <w:lang w:val="en-US" w:eastAsia="zh-CN"/>
              </w:rPr>
              <w:t>NO</w:t>
            </w:r>
            <w:r>
              <w:rPr>
                <w:rFonts w:hint="eastAsia" w:ascii="宋体" w:hAnsi="宋体" w:eastAsia="宋体" w:cs="宋体"/>
                <w:bCs/>
                <w:color w:val="auto"/>
                <w:sz w:val="24"/>
                <w:szCs w:val="24"/>
                <w:vertAlign w:val="subscript"/>
                <w:lang w:val="en-US" w:eastAsia="zh-CN"/>
              </w:rPr>
              <w:t>X</w:t>
            </w:r>
            <w:r>
              <w:rPr>
                <w:rFonts w:hint="eastAsia" w:ascii="宋体" w:hAnsi="宋体" w:eastAsia="宋体" w:cs="宋体"/>
                <w:color w:val="auto"/>
                <w:sz w:val="24"/>
                <w:szCs w:val="24"/>
                <w:lang w:val="en-US" w:eastAsia="zh-CN"/>
              </w:rPr>
              <w:t>进行了现状监测，引用的监测点位于本项目西面2.36km处，引用的监测点位与本项目的位置关系详见附图7。本项目引用的NO</w:t>
            </w:r>
            <w:r>
              <w:rPr>
                <w:rFonts w:hint="eastAsia" w:ascii="宋体" w:hAnsi="宋体" w:eastAsia="宋体" w:cs="宋体"/>
                <w:color w:val="auto"/>
                <w:sz w:val="24"/>
                <w:szCs w:val="24"/>
                <w:vertAlign w:val="subscript"/>
                <w:lang w:val="en-US" w:eastAsia="zh-CN"/>
              </w:rPr>
              <w:t>X</w:t>
            </w:r>
            <w:r>
              <w:rPr>
                <w:rFonts w:hint="eastAsia" w:ascii="宋体" w:hAnsi="宋体" w:eastAsia="宋体" w:cs="宋体"/>
                <w:color w:val="auto"/>
                <w:sz w:val="24"/>
                <w:szCs w:val="24"/>
                <w:lang w:val="en-US" w:eastAsia="zh-CN"/>
              </w:rPr>
              <w:t>监测点位于本项目侧风向，且位于项目5km范围内，监测时间为近3年数据，因此监测数据为有效数据。具体监测结果如下表所示。</w:t>
            </w:r>
          </w:p>
          <w:p w14:paraId="026271FF">
            <w:pPr>
              <w:adjustRightInd w:val="0"/>
              <w:snapToGrid w:val="0"/>
              <w:spacing w:line="360" w:lineRule="auto"/>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表3-</w:t>
            </w:r>
            <w:r>
              <w:rPr>
                <w:rFonts w:hint="eastAsia"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 xml:space="preserve">  NO</w:t>
            </w:r>
            <w:r>
              <w:rPr>
                <w:rFonts w:hint="default" w:ascii="Times New Roman" w:hAnsi="Times New Roman" w:eastAsia="宋体" w:cs="Times New Roman"/>
                <w:b/>
                <w:bCs/>
                <w:color w:val="auto"/>
                <w:sz w:val="24"/>
                <w:szCs w:val="24"/>
                <w:vertAlign w:val="subscript"/>
                <w:lang w:val="en-US" w:eastAsia="zh-CN"/>
              </w:rPr>
              <w:t>X</w:t>
            </w:r>
            <w:r>
              <w:rPr>
                <w:rFonts w:hint="default" w:ascii="Times New Roman" w:hAnsi="Times New Roman" w:eastAsia="宋体" w:cs="Times New Roman"/>
                <w:b/>
                <w:bCs/>
                <w:color w:val="auto"/>
                <w:sz w:val="24"/>
                <w:szCs w:val="24"/>
                <w:lang w:val="en-US" w:eastAsia="zh-CN"/>
              </w:rPr>
              <w:t>监测结果统计表单位：mg/m</w:t>
            </w:r>
            <w:r>
              <w:rPr>
                <w:rFonts w:hint="default" w:ascii="Times New Roman" w:hAnsi="Times New Roman" w:eastAsia="宋体" w:cs="Times New Roman"/>
                <w:b/>
                <w:bCs/>
                <w:color w:val="auto"/>
                <w:sz w:val="24"/>
                <w:szCs w:val="24"/>
                <w:vertAlign w:val="superscript"/>
                <w:lang w:val="en-US" w:eastAsia="zh-CN"/>
              </w:rPr>
              <w:t>3</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264"/>
              <w:gridCol w:w="1342"/>
              <w:gridCol w:w="1744"/>
              <w:gridCol w:w="1744"/>
              <w:gridCol w:w="1744"/>
            </w:tblGrid>
            <w:tr w14:paraId="6774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2" w:type="pct"/>
                  <w:noWrap w:val="0"/>
                  <w:vAlign w:val="center"/>
                </w:tcPr>
                <w:p w14:paraId="6023A02C">
                  <w:pPr>
                    <w:keepNext w:val="0"/>
                    <w:keepLines w:val="0"/>
                    <w:widowControl/>
                    <w:suppressLineNumbers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监测点位</w:t>
                  </w:r>
                </w:p>
              </w:tc>
              <w:tc>
                <w:tcPr>
                  <w:tcW w:w="1495" w:type="pct"/>
                  <w:gridSpan w:val="2"/>
                  <w:noWrap w:val="0"/>
                  <w:vAlign w:val="center"/>
                </w:tcPr>
                <w:p w14:paraId="3F1AA804">
                  <w:pPr>
                    <w:keepNext w:val="0"/>
                    <w:keepLines w:val="0"/>
                    <w:widowControl/>
                    <w:suppressLineNumbers w:val="0"/>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vertAlign w:val="baseline"/>
                      <w:lang w:val="en-US" w:eastAsia="zh-CN"/>
                    </w:rPr>
                    <w:t>采样时间</w:t>
                  </w:r>
                </w:p>
              </w:tc>
              <w:tc>
                <w:tcPr>
                  <w:tcW w:w="1000" w:type="pct"/>
                  <w:noWrap w:val="0"/>
                  <w:vAlign w:val="center"/>
                </w:tcPr>
                <w:p w14:paraId="5F19DAEC">
                  <w:pPr>
                    <w:keepNext w:val="0"/>
                    <w:keepLines w:val="0"/>
                    <w:widowControl/>
                    <w:suppressLineNumbers w:val="0"/>
                    <w:spacing w:line="240" w:lineRule="auto"/>
                    <w:jc w:val="center"/>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kern w:val="0"/>
                      <w:sz w:val="21"/>
                      <w:szCs w:val="21"/>
                      <w:lang w:val="en-US" w:eastAsia="zh-CN" w:bidi="ar"/>
                    </w:rPr>
                    <w:t>监测结果（mg/m</w:t>
                  </w:r>
                  <w:r>
                    <w:rPr>
                      <w:rFonts w:hint="default" w:ascii="Times New Roman" w:hAnsi="Times New Roman" w:eastAsia="宋体" w:cs="Times New Roman"/>
                      <w:color w:val="auto"/>
                      <w:kern w:val="0"/>
                      <w:sz w:val="21"/>
                      <w:szCs w:val="21"/>
                      <w:vertAlign w:val="superscript"/>
                      <w:lang w:val="en-US" w:eastAsia="zh-CN" w:bidi="ar"/>
                    </w:rPr>
                    <w:t>3</w:t>
                  </w:r>
                  <w:r>
                    <w:rPr>
                      <w:rFonts w:hint="default" w:ascii="Times New Roman" w:hAnsi="Times New Roman" w:eastAsia="宋体" w:cs="Times New Roman"/>
                      <w:color w:val="auto"/>
                      <w:kern w:val="0"/>
                      <w:sz w:val="21"/>
                      <w:szCs w:val="21"/>
                      <w:lang w:val="en-US" w:eastAsia="zh-CN" w:bidi="ar"/>
                    </w:rPr>
                    <w:t>）</w:t>
                  </w:r>
                </w:p>
              </w:tc>
              <w:tc>
                <w:tcPr>
                  <w:tcW w:w="1000" w:type="pct"/>
                  <w:noWrap w:val="0"/>
                  <w:vAlign w:val="center"/>
                </w:tcPr>
                <w:p w14:paraId="1BEF2295">
                  <w:pPr>
                    <w:keepNext w:val="0"/>
                    <w:keepLines w:val="0"/>
                    <w:widowControl/>
                    <w:suppressLineNumbers w:val="0"/>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标准值</w:t>
                  </w:r>
                </w:p>
              </w:tc>
              <w:tc>
                <w:tcPr>
                  <w:tcW w:w="1000" w:type="pct"/>
                  <w:noWrap w:val="0"/>
                  <w:vAlign w:val="center"/>
                </w:tcPr>
                <w:p w14:paraId="16F2E1A9">
                  <w:pPr>
                    <w:keepNext w:val="0"/>
                    <w:keepLines w:val="0"/>
                    <w:widowControl/>
                    <w:suppressLineNumbers w:val="0"/>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达标情况</w:t>
                  </w:r>
                </w:p>
              </w:tc>
            </w:tr>
            <w:tr w14:paraId="76E4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2" w:type="pct"/>
                  <w:vMerge w:val="restart"/>
                  <w:noWrap w:val="0"/>
                  <w:vAlign w:val="center"/>
                </w:tcPr>
                <w:p w14:paraId="187AADD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lang w:eastAsia="zh-CN"/>
                    </w:rPr>
                    <w:t>项目区</w:t>
                  </w:r>
                  <w:r>
                    <w:rPr>
                      <w:rFonts w:hint="default" w:ascii="Times New Roman" w:hAnsi="Times New Roman" w:cs="Times New Roman"/>
                      <w:color w:val="auto"/>
                      <w:sz w:val="21"/>
                      <w:szCs w:val="21"/>
                      <w:lang w:val="en-US" w:eastAsia="zh-CN"/>
                    </w:rPr>
                    <w:t>下风向</w:t>
                  </w:r>
                </w:p>
              </w:tc>
              <w:tc>
                <w:tcPr>
                  <w:tcW w:w="725" w:type="pct"/>
                  <w:vMerge w:val="restart"/>
                  <w:noWrap w:val="0"/>
                  <w:vAlign w:val="center"/>
                </w:tcPr>
                <w:p w14:paraId="3A2C1D4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12月22日</w:t>
                  </w:r>
                </w:p>
              </w:tc>
              <w:tc>
                <w:tcPr>
                  <w:tcW w:w="770" w:type="pct"/>
                  <w:noWrap w:val="0"/>
                  <w:vAlign w:val="center"/>
                </w:tcPr>
                <w:p w14:paraId="1E526A5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02:00~03:00</w:t>
                  </w:r>
                </w:p>
              </w:tc>
              <w:tc>
                <w:tcPr>
                  <w:tcW w:w="1000" w:type="pct"/>
                  <w:noWrap w:val="0"/>
                  <w:vAlign w:val="center"/>
                </w:tcPr>
                <w:p w14:paraId="2217B9F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0.020</w:t>
                  </w:r>
                </w:p>
              </w:tc>
              <w:tc>
                <w:tcPr>
                  <w:tcW w:w="1000" w:type="pct"/>
                  <w:vMerge w:val="restart"/>
                  <w:noWrap w:val="0"/>
                  <w:vAlign w:val="center"/>
                </w:tcPr>
                <w:p w14:paraId="185EF6D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0.25</w:t>
                  </w:r>
                </w:p>
              </w:tc>
              <w:tc>
                <w:tcPr>
                  <w:tcW w:w="1000" w:type="pct"/>
                  <w:noWrap w:val="0"/>
                  <w:vAlign w:val="center"/>
                </w:tcPr>
                <w:p w14:paraId="66BD4B0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vertAlign w:val="baseline"/>
                      <w:lang w:val="en-US" w:eastAsia="zh-CN"/>
                    </w:rPr>
                    <w:t>达标</w:t>
                  </w:r>
                </w:p>
              </w:tc>
            </w:tr>
            <w:tr w14:paraId="6BC3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02" w:type="pct"/>
                  <w:vMerge w:val="continue"/>
                  <w:noWrap w:val="0"/>
                  <w:vAlign w:val="center"/>
                </w:tcPr>
                <w:p w14:paraId="3ABAEA50">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362A70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4ECFD23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08:00~09:00</w:t>
                  </w:r>
                </w:p>
              </w:tc>
              <w:tc>
                <w:tcPr>
                  <w:tcW w:w="1000" w:type="pct"/>
                  <w:noWrap w:val="0"/>
                  <w:vAlign w:val="center"/>
                </w:tcPr>
                <w:p w14:paraId="328EB3DF">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0.018</w:t>
                  </w:r>
                </w:p>
              </w:tc>
              <w:tc>
                <w:tcPr>
                  <w:tcW w:w="1000" w:type="pct"/>
                  <w:vMerge w:val="continue"/>
                  <w:noWrap w:val="0"/>
                  <w:vAlign w:val="center"/>
                </w:tcPr>
                <w:p w14:paraId="251AB88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11BCF24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vertAlign w:val="baseline"/>
                      <w:lang w:val="en-US" w:eastAsia="zh-CN"/>
                    </w:rPr>
                    <w:t>达标</w:t>
                  </w:r>
                </w:p>
              </w:tc>
            </w:tr>
            <w:tr w14:paraId="4BE5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495D54CD">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63A9D3B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46827B5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14:00~15:00</w:t>
                  </w:r>
                </w:p>
              </w:tc>
              <w:tc>
                <w:tcPr>
                  <w:tcW w:w="1000" w:type="pct"/>
                  <w:noWrap w:val="0"/>
                  <w:vAlign w:val="center"/>
                </w:tcPr>
                <w:p w14:paraId="29461143">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0.016</w:t>
                  </w:r>
                </w:p>
              </w:tc>
              <w:tc>
                <w:tcPr>
                  <w:tcW w:w="1000" w:type="pct"/>
                  <w:vMerge w:val="continue"/>
                  <w:noWrap w:val="0"/>
                  <w:vAlign w:val="center"/>
                </w:tcPr>
                <w:p w14:paraId="0591A44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1988E89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color w:val="auto"/>
                      <w:sz w:val="21"/>
                      <w:szCs w:val="21"/>
                      <w:vertAlign w:val="baseline"/>
                      <w:lang w:val="en-US" w:eastAsia="zh-CN"/>
                    </w:rPr>
                    <w:t>达标</w:t>
                  </w:r>
                </w:p>
              </w:tc>
            </w:tr>
            <w:tr w14:paraId="2CA1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3158DD87">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38F657E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2ACB91E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20:00~21:00</w:t>
                  </w:r>
                </w:p>
              </w:tc>
              <w:tc>
                <w:tcPr>
                  <w:tcW w:w="1000" w:type="pct"/>
                  <w:noWrap w:val="0"/>
                  <w:vAlign w:val="center"/>
                </w:tcPr>
                <w:p w14:paraId="101BC199">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0.017</w:t>
                  </w:r>
                </w:p>
              </w:tc>
              <w:tc>
                <w:tcPr>
                  <w:tcW w:w="1000" w:type="pct"/>
                  <w:vMerge w:val="continue"/>
                  <w:noWrap w:val="0"/>
                  <w:vAlign w:val="center"/>
                </w:tcPr>
                <w:p w14:paraId="14F54B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2FF2475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1F06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6EE898D9">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restart"/>
                  <w:noWrap w:val="0"/>
                  <w:vAlign w:val="center"/>
                </w:tcPr>
                <w:p w14:paraId="4A1D672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12月23日</w:t>
                  </w:r>
                </w:p>
              </w:tc>
              <w:tc>
                <w:tcPr>
                  <w:tcW w:w="770" w:type="pct"/>
                  <w:noWrap w:val="0"/>
                  <w:vAlign w:val="center"/>
                </w:tcPr>
                <w:p w14:paraId="6AFF827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02:00~03:00</w:t>
                  </w:r>
                </w:p>
              </w:tc>
              <w:tc>
                <w:tcPr>
                  <w:tcW w:w="1000" w:type="pct"/>
                  <w:noWrap w:val="0"/>
                  <w:vAlign w:val="center"/>
                </w:tcPr>
                <w:p w14:paraId="176E90FC">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0.023</w:t>
                  </w:r>
                </w:p>
              </w:tc>
              <w:tc>
                <w:tcPr>
                  <w:tcW w:w="1000" w:type="pct"/>
                  <w:vMerge w:val="continue"/>
                  <w:noWrap w:val="0"/>
                  <w:vAlign w:val="center"/>
                </w:tcPr>
                <w:p w14:paraId="4BEC226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78E56373">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0C82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6DF9CBE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291A21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62706B9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08:00~09:00</w:t>
                  </w:r>
                </w:p>
              </w:tc>
              <w:tc>
                <w:tcPr>
                  <w:tcW w:w="1000" w:type="pct"/>
                  <w:noWrap w:val="0"/>
                  <w:vAlign w:val="center"/>
                </w:tcPr>
                <w:p w14:paraId="3D1A1AB0">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0.022</w:t>
                  </w:r>
                </w:p>
              </w:tc>
              <w:tc>
                <w:tcPr>
                  <w:tcW w:w="1000" w:type="pct"/>
                  <w:vMerge w:val="continue"/>
                  <w:noWrap w:val="0"/>
                  <w:vAlign w:val="center"/>
                </w:tcPr>
                <w:p w14:paraId="17FE36B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17918C4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6D61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0C8B30C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6A04A71E">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7DD728C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14:00~15:00</w:t>
                  </w:r>
                </w:p>
              </w:tc>
              <w:tc>
                <w:tcPr>
                  <w:tcW w:w="1000" w:type="pct"/>
                  <w:noWrap w:val="0"/>
                  <w:vAlign w:val="center"/>
                </w:tcPr>
                <w:p w14:paraId="5ABD402B">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0.019</w:t>
                  </w:r>
                </w:p>
              </w:tc>
              <w:tc>
                <w:tcPr>
                  <w:tcW w:w="1000" w:type="pct"/>
                  <w:vMerge w:val="continue"/>
                  <w:noWrap w:val="0"/>
                  <w:vAlign w:val="center"/>
                </w:tcPr>
                <w:p w14:paraId="1693AF1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192D9E1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550A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6883823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733F5F9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6DE4075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20:00~21:00</w:t>
                  </w:r>
                </w:p>
              </w:tc>
              <w:tc>
                <w:tcPr>
                  <w:tcW w:w="1000" w:type="pct"/>
                  <w:noWrap w:val="0"/>
                  <w:vAlign w:val="center"/>
                </w:tcPr>
                <w:p w14:paraId="25D331C8">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0.021</w:t>
                  </w:r>
                </w:p>
              </w:tc>
              <w:tc>
                <w:tcPr>
                  <w:tcW w:w="1000" w:type="pct"/>
                  <w:vMerge w:val="continue"/>
                  <w:noWrap w:val="0"/>
                  <w:vAlign w:val="center"/>
                </w:tcPr>
                <w:p w14:paraId="7F6C121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3FCECD3C">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7850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31DC5151">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restart"/>
                  <w:noWrap w:val="0"/>
                  <w:vAlign w:val="center"/>
                </w:tcPr>
                <w:p w14:paraId="195971C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12月24日</w:t>
                  </w:r>
                </w:p>
              </w:tc>
              <w:tc>
                <w:tcPr>
                  <w:tcW w:w="770" w:type="pct"/>
                  <w:noWrap w:val="0"/>
                  <w:vAlign w:val="center"/>
                </w:tcPr>
                <w:p w14:paraId="681429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02:00~03:00</w:t>
                  </w:r>
                </w:p>
              </w:tc>
              <w:tc>
                <w:tcPr>
                  <w:tcW w:w="1000" w:type="pct"/>
                  <w:noWrap w:val="0"/>
                  <w:vAlign w:val="center"/>
                </w:tcPr>
                <w:p w14:paraId="7A3E342C">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0.025</w:t>
                  </w:r>
                </w:p>
              </w:tc>
              <w:tc>
                <w:tcPr>
                  <w:tcW w:w="1000" w:type="pct"/>
                  <w:vMerge w:val="continue"/>
                  <w:noWrap w:val="0"/>
                  <w:vAlign w:val="center"/>
                </w:tcPr>
                <w:p w14:paraId="6A31D5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536B49B3">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7E77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49C79322">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484BCC7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6616882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08:00~09:00</w:t>
                  </w:r>
                </w:p>
              </w:tc>
              <w:tc>
                <w:tcPr>
                  <w:tcW w:w="1000" w:type="pct"/>
                  <w:noWrap w:val="0"/>
                  <w:vAlign w:val="center"/>
                </w:tcPr>
                <w:p w14:paraId="03217215">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0.023</w:t>
                  </w:r>
                </w:p>
              </w:tc>
              <w:tc>
                <w:tcPr>
                  <w:tcW w:w="1000" w:type="pct"/>
                  <w:vMerge w:val="continue"/>
                  <w:noWrap w:val="0"/>
                  <w:vAlign w:val="center"/>
                </w:tcPr>
                <w:p w14:paraId="701B8D5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466B4FA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51D3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1F508FCC">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7733078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241DF7C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14:00~15:00</w:t>
                  </w:r>
                </w:p>
              </w:tc>
              <w:tc>
                <w:tcPr>
                  <w:tcW w:w="1000" w:type="pct"/>
                  <w:noWrap w:val="0"/>
                  <w:vAlign w:val="center"/>
                </w:tcPr>
                <w:p w14:paraId="7D81113D">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0.021</w:t>
                  </w:r>
                </w:p>
              </w:tc>
              <w:tc>
                <w:tcPr>
                  <w:tcW w:w="1000" w:type="pct"/>
                  <w:vMerge w:val="continue"/>
                  <w:noWrap w:val="0"/>
                  <w:vAlign w:val="center"/>
                </w:tcPr>
                <w:p w14:paraId="69F244D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39FE5FED">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r w14:paraId="6C53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Merge w:val="continue"/>
                  <w:noWrap w:val="0"/>
                  <w:vAlign w:val="center"/>
                </w:tcPr>
                <w:p w14:paraId="285AF4D1">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rPr>
                  </w:pPr>
                </w:p>
              </w:tc>
              <w:tc>
                <w:tcPr>
                  <w:tcW w:w="725" w:type="pct"/>
                  <w:vMerge w:val="continue"/>
                  <w:noWrap w:val="0"/>
                  <w:vAlign w:val="center"/>
                </w:tcPr>
                <w:p w14:paraId="770572C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770" w:type="pct"/>
                  <w:noWrap w:val="0"/>
                  <w:vAlign w:val="center"/>
                </w:tcPr>
                <w:p w14:paraId="4D7CE55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2"/>
                      <w:sz w:val="21"/>
                      <w:szCs w:val="21"/>
                      <w:highlight w:val="none"/>
                      <w:u w:val="none"/>
                      <w:lang w:val="en-US" w:eastAsia="zh-CN" w:bidi="ar-SA"/>
                    </w:rPr>
                    <w:t>20:00~21:00</w:t>
                  </w:r>
                </w:p>
              </w:tc>
              <w:tc>
                <w:tcPr>
                  <w:tcW w:w="1000" w:type="pct"/>
                  <w:noWrap w:val="0"/>
                  <w:vAlign w:val="center"/>
                </w:tcPr>
                <w:p w14:paraId="6E622B64">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0.022</w:t>
                  </w:r>
                </w:p>
              </w:tc>
              <w:tc>
                <w:tcPr>
                  <w:tcW w:w="1000" w:type="pct"/>
                  <w:vMerge w:val="continue"/>
                  <w:noWrap w:val="0"/>
                  <w:vAlign w:val="center"/>
                </w:tcPr>
                <w:p w14:paraId="234203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c>
                <w:tcPr>
                  <w:tcW w:w="1000" w:type="pct"/>
                  <w:noWrap w:val="0"/>
                  <w:vAlign w:val="center"/>
                </w:tcPr>
                <w:p w14:paraId="2EB8699E">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达标</w:t>
                  </w:r>
                </w:p>
              </w:tc>
            </w:tr>
          </w:tbl>
          <w:p w14:paraId="49FFFCFB">
            <w:pPr>
              <w:pStyle w:val="106"/>
              <w:ind w:firstLine="480"/>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rPr>
              <w:t>根据</w:t>
            </w:r>
            <w:r>
              <w:rPr>
                <w:rFonts w:hint="default" w:ascii="Times New Roman" w:hAnsi="Times New Roman" w:eastAsia="宋体" w:cs="Times New Roman"/>
                <w:bCs/>
                <w:color w:val="auto"/>
                <w:sz w:val="24"/>
                <w:szCs w:val="24"/>
                <w:lang w:val="en-US" w:eastAsia="zh-CN"/>
              </w:rPr>
              <w:t>NO</w:t>
            </w:r>
            <w:r>
              <w:rPr>
                <w:rFonts w:hint="default" w:ascii="Times New Roman" w:hAnsi="Times New Roman" w:eastAsia="宋体" w:cs="Times New Roman"/>
                <w:bCs/>
                <w:color w:val="auto"/>
                <w:sz w:val="24"/>
                <w:szCs w:val="24"/>
                <w:vertAlign w:val="subscript"/>
                <w:lang w:val="en-US" w:eastAsia="zh-CN"/>
              </w:rPr>
              <w:t>X</w:t>
            </w:r>
            <w:r>
              <w:rPr>
                <w:rFonts w:hint="default" w:ascii="Times New Roman" w:hAnsi="Times New Roman" w:cs="Times New Roman"/>
                <w:color w:val="auto"/>
              </w:rPr>
              <w:t>的</w:t>
            </w:r>
            <w:r>
              <w:rPr>
                <w:rFonts w:hint="eastAsia" w:cs="Times New Roman"/>
                <w:color w:val="auto"/>
                <w:lang w:val="en-US" w:eastAsia="zh-CN"/>
              </w:rPr>
              <w:t>监测</w:t>
            </w:r>
            <w:r>
              <w:rPr>
                <w:rFonts w:hint="default" w:ascii="Times New Roman" w:hAnsi="Times New Roman" w:cs="Times New Roman"/>
                <w:color w:val="auto"/>
              </w:rPr>
              <w:t>结</w:t>
            </w:r>
            <w:r>
              <w:rPr>
                <w:rFonts w:hint="default" w:ascii="Times New Roman" w:hAnsi="Times New Roman" w:eastAsia="宋体" w:cs="Times New Roman"/>
                <w:color w:val="auto"/>
              </w:rPr>
              <w:t>果，项目区</w:t>
            </w:r>
            <w:r>
              <w:rPr>
                <w:rFonts w:hint="default" w:ascii="Times New Roman" w:hAnsi="Times New Roman" w:eastAsia="宋体" w:cs="Times New Roman"/>
                <w:color w:val="auto"/>
                <w:lang w:val="en-US" w:eastAsia="zh-CN"/>
              </w:rPr>
              <w:t>NO</w:t>
            </w:r>
            <w:r>
              <w:rPr>
                <w:rFonts w:hint="default" w:ascii="Times New Roman" w:hAnsi="Times New Roman" w:eastAsia="宋体" w:cs="Times New Roman"/>
                <w:color w:val="auto"/>
                <w:vertAlign w:val="subscript"/>
                <w:lang w:val="en-US" w:eastAsia="zh-CN"/>
              </w:rPr>
              <w:t>X</w:t>
            </w:r>
            <w:r>
              <w:rPr>
                <w:rFonts w:hint="eastAsia" w:cs="Times New Roman"/>
                <w:color w:val="auto"/>
                <w:vertAlign w:val="baseline"/>
                <w:lang w:val="en-US" w:eastAsia="zh-CN"/>
              </w:rPr>
              <w:t>监测结果</w:t>
            </w:r>
            <w:r>
              <w:rPr>
                <w:rFonts w:hint="default" w:ascii="Times New Roman" w:hAnsi="Times New Roman" w:eastAsia="宋体" w:cs="Times New Roman"/>
                <w:color w:val="auto"/>
              </w:rPr>
              <w:t>满足《环境空气质量标准》（GB3095-2012）</w:t>
            </w:r>
            <w:r>
              <w:rPr>
                <w:rFonts w:hint="default" w:ascii="Times New Roman" w:hAnsi="Times New Roman" w:eastAsia="宋体" w:cs="Times New Roman"/>
                <w:color w:val="auto"/>
                <w:lang w:val="en-US" w:eastAsia="zh-CN"/>
              </w:rPr>
              <w:t>中表2</w:t>
            </w:r>
            <w:r>
              <w:rPr>
                <w:rFonts w:hint="default" w:ascii="Times New Roman" w:hAnsi="Times New Roman" w:eastAsia="宋体" w:cs="Times New Roman"/>
                <w:color w:val="auto"/>
              </w:rPr>
              <w:t>二级标准要求</w:t>
            </w:r>
            <w:r>
              <w:rPr>
                <w:rFonts w:hint="default" w:ascii="Times New Roman" w:hAnsi="Times New Roman" w:eastAsia="宋体" w:cs="Times New Roman"/>
                <w:color w:val="auto"/>
                <w:sz w:val="24"/>
                <w:szCs w:val="24"/>
                <w:lang w:val="en-US" w:eastAsia="zh-CN"/>
              </w:rPr>
              <w:t>。</w:t>
            </w:r>
          </w:p>
          <w:p w14:paraId="15860FF3">
            <w:pPr>
              <w:spacing w:line="360" w:lineRule="auto"/>
              <w:ind w:firstLine="482" w:firstLineChars="200"/>
              <w:contextualSpacing/>
              <w:outlineLvl w:val="2"/>
              <w:rPr>
                <w:b/>
                <w:color w:val="auto"/>
                <w:sz w:val="24"/>
                <w:highlight w:val="none"/>
              </w:rPr>
            </w:pPr>
            <w:r>
              <w:rPr>
                <w:b/>
                <w:color w:val="auto"/>
                <w:sz w:val="24"/>
                <w:highlight w:val="none"/>
              </w:rPr>
              <w:t>二、地表水</w:t>
            </w:r>
            <w:bookmarkEnd w:id="23"/>
          </w:p>
          <w:p w14:paraId="3BD4950E">
            <w:pPr>
              <w:spacing w:line="360" w:lineRule="auto"/>
              <w:ind w:firstLine="480"/>
              <w:rPr>
                <w:color w:val="auto"/>
                <w:sz w:val="24"/>
                <w:highlight w:val="none"/>
              </w:rPr>
            </w:pPr>
            <w:r>
              <w:rPr>
                <w:color w:val="auto"/>
                <w:sz w:val="24"/>
                <w:highlight w:val="none"/>
              </w:rPr>
              <w:t>1、地表水环境质量标准</w:t>
            </w:r>
          </w:p>
          <w:p w14:paraId="5AEE5455">
            <w:pPr>
              <w:pStyle w:val="77"/>
              <w:adjustRightInd/>
              <w:spacing w:line="360" w:lineRule="auto"/>
              <w:ind w:left="105" w:leftChars="50" w:firstLine="480" w:firstLineChars="200"/>
              <w:rPr>
                <w:color w:val="auto"/>
                <w:sz w:val="24"/>
                <w:highlight w:val="none"/>
              </w:rPr>
            </w:pPr>
            <w:r>
              <w:rPr>
                <w:color w:val="auto"/>
                <w:sz w:val="24"/>
                <w:highlight w:val="none"/>
              </w:rPr>
              <w:t>本项目最近地表水体为项目</w:t>
            </w:r>
            <w:r>
              <w:rPr>
                <w:rFonts w:hint="eastAsia"/>
                <w:color w:val="auto"/>
                <w:sz w:val="24"/>
                <w:highlight w:val="none"/>
                <w:lang w:val="en-US" w:eastAsia="zh-CN"/>
              </w:rPr>
              <w:t>东</w:t>
            </w:r>
            <w:r>
              <w:rPr>
                <w:color w:val="auto"/>
                <w:sz w:val="24"/>
                <w:highlight w:val="none"/>
              </w:rPr>
              <w:t>面</w:t>
            </w:r>
            <w:r>
              <w:rPr>
                <w:rFonts w:hint="eastAsia"/>
                <w:color w:val="auto"/>
                <w:sz w:val="24"/>
                <w:highlight w:val="none"/>
                <w:lang w:val="en-US" w:eastAsia="zh-CN"/>
              </w:rPr>
              <w:t>1114</w:t>
            </w:r>
            <w:r>
              <w:rPr>
                <w:color w:val="auto"/>
                <w:sz w:val="24"/>
                <w:highlight w:val="none"/>
              </w:rPr>
              <w:t>m的</w:t>
            </w:r>
            <w:r>
              <w:rPr>
                <w:rFonts w:hint="eastAsia"/>
                <w:color w:val="auto"/>
                <w:sz w:val="24"/>
                <w:highlight w:val="none"/>
                <w:lang w:val="en-US" w:eastAsia="zh-CN"/>
              </w:rPr>
              <w:t>红旗河</w:t>
            </w:r>
            <w:r>
              <w:rPr>
                <w:color w:val="auto"/>
                <w:sz w:val="24"/>
                <w:highlight w:val="none"/>
              </w:rPr>
              <w:t>，</w:t>
            </w:r>
            <w:r>
              <w:rPr>
                <w:rFonts w:hint="eastAsia" w:ascii="Times New Roman" w:hAnsi="Times New Roman" w:cs="Times New Roman"/>
                <w:color w:val="auto"/>
                <w:sz w:val="24"/>
                <w:szCs w:val="24"/>
                <w:lang w:val="en-US" w:eastAsia="zh-CN"/>
              </w:rPr>
              <w:t>红旗河为玉溪大河支流，玉溪大河属于珠江流域，西江水系，起始断面为东风水库坝址，终止断面为红塔区汇溪闸，总长度12.9km。</w:t>
            </w:r>
            <w:r>
              <w:rPr>
                <w:rFonts w:ascii="Times New Roman" w:hAnsi="Times New Roman" w:cs="Times New Roman"/>
                <w:color w:val="auto"/>
                <w:sz w:val="24"/>
                <w:szCs w:val="24"/>
              </w:rPr>
              <w:t>根据云南省水利厅2014年5月发布的《云南省水功能区划（2014年修订）》，</w:t>
            </w:r>
            <w:r>
              <w:rPr>
                <w:rFonts w:hint="eastAsia" w:ascii="Times New Roman" w:hAnsi="Times New Roman" w:cs="Times New Roman"/>
                <w:color w:val="auto"/>
                <w:sz w:val="24"/>
                <w:szCs w:val="24"/>
                <w:lang w:val="en-US" w:eastAsia="zh-CN"/>
              </w:rPr>
              <w:t>玉溪大河功能为景观、农业用水，现状水质为劣</w:t>
            </w:r>
            <w:r>
              <w:rPr>
                <w:rFonts w:hint="default" w:ascii="Times New Roman" w:hAnsi="Times New Roman" w:cs="Times New Roman"/>
                <w:color w:val="auto"/>
                <w:sz w:val="24"/>
                <w:szCs w:val="24"/>
                <w:lang w:val="en-US" w:eastAsia="zh-CN"/>
              </w:rPr>
              <w:t>V</w:t>
            </w:r>
            <w:r>
              <w:rPr>
                <w:rFonts w:hint="eastAsia" w:ascii="Times New Roman" w:hAnsi="Times New Roman" w:cs="Times New Roman"/>
                <w:color w:val="auto"/>
                <w:sz w:val="24"/>
                <w:szCs w:val="24"/>
                <w:lang w:val="en-US" w:eastAsia="zh-CN"/>
              </w:rPr>
              <w:t>类，</w:t>
            </w:r>
            <w:r>
              <w:rPr>
                <w:rFonts w:hint="default" w:ascii="Times New Roman" w:hAnsi="Times New Roman" w:cs="Times New Roman"/>
                <w:color w:val="auto"/>
                <w:sz w:val="24"/>
                <w:szCs w:val="24"/>
                <w:lang w:val="en-US" w:eastAsia="zh-CN"/>
              </w:rPr>
              <w:t>2020</w:t>
            </w:r>
            <w:r>
              <w:rPr>
                <w:rFonts w:hint="eastAsia" w:ascii="Times New Roman" w:hAnsi="Times New Roman" w:cs="Times New Roman"/>
                <w:color w:val="auto"/>
                <w:sz w:val="24"/>
                <w:szCs w:val="24"/>
                <w:lang w:val="en-US" w:eastAsia="zh-CN"/>
              </w:rPr>
              <w:t>年水质目标为</w:t>
            </w:r>
            <w:r>
              <w:rPr>
                <w:rFonts w:hint="eastAsia" w:cs="Times New Roman"/>
                <w:color w:val="auto"/>
                <w:sz w:val="24"/>
                <w:szCs w:val="24"/>
                <w:lang w:val="en-US" w:eastAsia="zh-CN"/>
              </w:rPr>
              <w:t>Ⅳ类</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2030</w:t>
            </w:r>
            <w:r>
              <w:rPr>
                <w:rFonts w:hint="eastAsia" w:ascii="Times New Roman" w:hAnsi="Times New Roman" w:cs="Times New Roman"/>
                <w:color w:val="auto"/>
                <w:sz w:val="24"/>
                <w:szCs w:val="24"/>
                <w:lang w:val="en-US" w:eastAsia="zh-CN"/>
              </w:rPr>
              <w:t>年水质目标为</w:t>
            </w:r>
            <w:r>
              <w:rPr>
                <w:rFonts w:hint="eastAsia" w:cs="Times New Roman"/>
                <w:color w:val="auto"/>
                <w:sz w:val="24"/>
                <w:szCs w:val="24"/>
                <w:lang w:val="en-US" w:eastAsia="zh-CN"/>
              </w:rPr>
              <w:t>Ⅲ类</w:t>
            </w:r>
            <w:r>
              <w:rPr>
                <w:rFonts w:hint="eastAsia" w:ascii="Times New Roman" w:hAnsi="Times New Roman" w:cs="Times New Roman"/>
                <w:color w:val="auto"/>
                <w:sz w:val="24"/>
                <w:szCs w:val="24"/>
                <w:lang w:val="en-US" w:eastAsia="zh-CN"/>
              </w:rPr>
              <w:t>。红旗河为其支流，水环境功能参照玉溪大河执行</w:t>
            </w:r>
            <w:r>
              <w:rPr>
                <w:rFonts w:ascii="Times New Roman" w:hAnsi="Times New Roman" w:cs="Times New Roman"/>
                <w:color w:val="auto"/>
                <w:sz w:val="24"/>
                <w:szCs w:val="24"/>
              </w:rPr>
              <w:t>《地表水环境质量标准》（GB3838-2002）Ⅲ类水质标准</w:t>
            </w:r>
            <w:r>
              <w:rPr>
                <w:color w:val="auto"/>
                <w:sz w:val="24"/>
                <w:highlight w:val="none"/>
              </w:rPr>
              <w:t>。其标准值见表3-</w:t>
            </w:r>
            <w:r>
              <w:rPr>
                <w:rFonts w:hint="eastAsia"/>
                <w:color w:val="auto"/>
                <w:sz w:val="24"/>
                <w:highlight w:val="none"/>
                <w:lang w:val="en-US" w:eastAsia="zh-CN"/>
              </w:rPr>
              <w:t>5</w:t>
            </w:r>
            <w:r>
              <w:rPr>
                <w:color w:val="auto"/>
                <w:sz w:val="24"/>
                <w:highlight w:val="none"/>
              </w:rPr>
              <w:t>。</w:t>
            </w:r>
          </w:p>
          <w:p w14:paraId="0BB12257">
            <w:pPr>
              <w:pStyle w:val="8"/>
              <w:spacing w:line="360" w:lineRule="auto"/>
              <w:ind w:firstLine="422"/>
              <w:jc w:val="center"/>
              <w:rPr>
                <w:b/>
                <w:color w:val="auto"/>
                <w:sz w:val="24"/>
                <w:highlight w:val="none"/>
              </w:rPr>
            </w:pPr>
            <w:r>
              <w:rPr>
                <w:b/>
                <w:color w:val="auto"/>
                <w:sz w:val="24"/>
                <w:highlight w:val="none"/>
              </w:rPr>
              <w:t>表3-</w:t>
            </w:r>
            <w:r>
              <w:rPr>
                <w:rFonts w:hint="eastAsia"/>
                <w:b/>
                <w:color w:val="auto"/>
                <w:sz w:val="24"/>
                <w:highlight w:val="none"/>
                <w:lang w:val="en-US" w:eastAsia="zh-CN"/>
              </w:rPr>
              <w:t>5</w:t>
            </w:r>
            <w:r>
              <w:rPr>
                <w:b/>
                <w:color w:val="auto"/>
                <w:sz w:val="24"/>
                <w:highlight w:val="none"/>
              </w:rPr>
              <w:t xml:space="preserve"> </w:t>
            </w:r>
            <w:r>
              <w:rPr>
                <w:rFonts w:hint="eastAsia"/>
                <w:b/>
                <w:color w:val="auto"/>
                <w:sz w:val="24"/>
                <w:highlight w:val="none"/>
                <w:lang w:val="en-US" w:eastAsia="zh-CN"/>
              </w:rPr>
              <w:t xml:space="preserve"> </w:t>
            </w:r>
            <w:r>
              <w:rPr>
                <w:b/>
                <w:color w:val="auto"/>
                <w:sz w:val="24"/>
                <w:highlight w:val="none"/>
              </w:rPr>
              <w:t>地表水环境质量标准   单位：mg/L</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621"/>
            </w:tblGrid>
            <w:tr w14:paraId="50871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3B667DE2">
                  <w:pPr>
                    <w:adjustRightInd w:val="0"/>
                    <w:snapToGrid w:val="0"/>
                    <w:jc w:val="center"/>
                    <w:rPr>
                      <w:color w:val="auto"/>
                      <w:szCs w:val="21"/>
                      <w:highlight w:val="none"/>
                    </w:rPr>
                  </w:pPr>
                  <w:r>
                    <w:rPr>
                      <w:color w:val="auto"/>
                      <w:szCs w:val="21"/>
                      <w:highlight w:val="none"/>
                    </w:rPr>
                    <w:t>项   目</w:t>
                  </w:r>
                </w:p>
              </w:tc>
              <w:tc>
                <w:tcPr>
                  <w:tcW w:w="2651" w:type="pct"/>
                  <w:vAlign w:val="center"/>
                </w:tcPr>
                <w:p w14:paraId="6432AEAB">
                  <w:pPr>
                    <w:adjustRightInd w:val="0"/>
                    <w:snapToGrid w:val="0"/>
                    <w:jc w:val="center"/>
                    <w:rPr>
                      <w:color w:val="auto"/>
                      <w:szCs w:val="21"/>
                      <w:highlight w:val="none"/>
                    </w:rPr>
                  </w:pPr>
                  <w:r>
                    <w:rPr>
                      <w:color w:val="auto"/>
                      <w:szCs w:val="21"/>
                      <w:highlight w:val="none"/>
                    </w:rPr>
                    <w:t>Ⅲ类标准值</w:t>
                  </w:r>
                </w:p>
              </w:tc>
            </w:tr>
            <w:tr w14:paraId="7973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348" w:type="pct"/>
                  <w:vAlign w:val="center"/>
                </w:tcPr>
                <w:p w14:paraId="768AE5F5">
                  <w:pPr>
                    <w:adjustRightInd w:val="0"/>
                    <w:snapToGrid w:val="0"/>
                    <w:jc w:val="center"/>
                    <w:rPr>
                      <w:color w:val="auto"/>
                      <w:szCs w:val="21"/>
                      <w:highlight w:val="none"/>
                    </w:rPr>
                  </w:pPr>
                  <w:r>
                    <w:rPr>
                      <w:color w:val="auto"/>
                      <w:szCs w:val="21"/>
                      <w:highlight w:val="none"/>
                    </w:rPr>
                    <w:t>pH值(无量纲)</w:t>
                  </w:r>
                </w:p>
              </w:tc>
              <w:tc>
                <w:tcPr>
                  <w:tcW w:w="2651" w:type="pct"/>
                  <w:vAlign w:val="center"/>
                </w:tcPr>
                <w:p w14:paraId="7B822D09">
                  <w:pPr>
                    <w:adjustRightInd w:val="0"/>
                    <w:snapToGrid w:val="0"/>
                    <w:jc w:val="center"/>
                    <w:rPr>
                      <w:bCs/>
                      <w:color w:val="auto"/>
                      <w:szCs w:val="21"/>
                      <w:highlight w:val="none"/>
                    </w:rPr>
                  </w:pPr>
                  <w:r>
                    <w:rPr>
                      <w:bCs/>
                      <w:color w:val="auto"/>
                      <w:szCs w:val="21"/>
                      <w:highlight w:val="none"/>
                    </w:rPr>
                    <w:t>6-9</w:t>
                  </w:r>
                </w:p>
              </w:tc>
            </w:tr>
            <w:tr w14:paraId="4D8E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5B30E0A">
                  <w:pPr>
                    <w:adjustRightInd w:val="0"/>
                    <w:snapToGrid w:val="0"/>
                    <w:jc w:val="center"/>
                    <w:rPr>
                      <w:color w:val="auto"/>
                      <w:szCs w:val="21"/>
                      <w:highlight w:val="none"/>
                    </w:rPr>
                  </w:pPr>
                  <w:r>
                    <w:rPr>
                      <w:color w:val="auto"/>
                      <w:szCs w:val="21"/>
                      <w:highlight w:val="none"/>
                    </w:rPr>
                    <w:t xml:space="preserve">            溶解氧           ≥</w:t>
                  </w:r>
                </w:p>
              </w:tc>
              <w:tc>
                <w:tcPr>
                  <w:tcW w:w="2651" w:type="pct"/>
                  <w:vAlign w:val="center"/>
                </w:tcPr>
                <w:p w14:paraId="35A03455">
                  <w:pPr>
                    <w:adjustRightInd w:val="0"/>
                    <w:snapToGrid w:val="0"/>
                    <w:jc w:val="center"/>
                    <w:rPr>
                      <w:color w:val="auto"/>
                      <w:szCs w:val="21"/>
                      <w:highlight w:val="none"/>
                    </w:rPr>
                  </w:pPr>
                  <w:r>
                    <w:rPr>
                      <w:color w:val="auto"/>
                      <w:szCs w:val="21"/>
                      <w:highlight w:val="none"/>
                    </w:rPr>
                    <w:t>5</w:t>
                  </w:r>
                </w:p>
              </w:tc>
            </w:tr>
            <w:tr w14:paraId="4AFD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E1FD4F2">
                  <w:pPr>
                    <w:adjustRightInd w:val="0"/>
                    <w:snapToGrid w:val="0"/>
                    <w:jc w:val="center"/>
                    <w:rPr>
                      <w:color w:val="auto"/>
                      <w:szCs w:val="21"/>
                      <w:highlight w:val="none"/>
                    </w:rPr>
                  </w:pPr>
                  <w:r>
                    <w:rPr>
                      <w:color w:val="auto"/>
                      <w:szCs w:val="21"/>
                      <w:highlight w:val="none"/>
                    </w:rPr>
                    <w:t xml:space="preserve">        高锰酸盐指数        ≤</w:t>
                  </w:r>
                </w:p>
              </w:tc>
              <w:tc>
                <w:tcPr>
                  <w:tcW w:w="2651" w:type="pct"/>
                  <w:vAlign w:val="center"/>
                </w:tcPr>
                <w:p w14:paraId="37444576">
                  <w:pPr>
                    <w:adjustRightInd w:val="0"/>
                    <w:snapToGrid w:val="0"/>
                    <w:jc w:val="center"/>
                    <w:rPr>
                      <w:color w:val="auto"/>
                      <w:szCs w:val="21"/>
                      <w:highlight w:val="none"/>
                    </w:rPr>
                  </w:pPr>
                  <w:r>
                    <w:rPr>
                      <w:color w:val="auto"/>
                      <w:szCs w:val="21"/>
                      <w:highlight w:val="none"/>
                    </w:rPr>
                    <w:t>6</w:t>
                  </w:r>
                </w:p>
              </w:tc>
            </w:tr>
            <w:tr w14:paraId="45A2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8D190E7">
                  <w:pPr>
                    <w:adjustRightInd w:val="0"/>
                    <w:snapToGrid w:val="0"/>
                    <w:jc w:val="center"/>
                    <w:rPr>
                      <w:color w:val="auto"/>
                      <w:szCs w:val="21"/>
                      <w:highlight w:val="none"/>
                    </w:rPr>
                  </w:pPr>
                  <w:r>
                    <w:rPr>
                      <w:color w:val="auto"/>
                      <w:szCs w:val="21"/>
                      <w:highlight w:val="none"/>
                    </w:rPr>
                    <w:t xml:space="preserve">      化学需氧量（COD）    ≤</w:t>
                  </w:r>
                </w:p>
              </w:tc>
              <w:tc>
                <w:tcPr>
                  <w:tcW w:w="2651" w:type="pct"/>
                  <w:vAlign w:val="center"/>
                </w:tcPr>
                <w:p w14:paraId="45F535A8">
                  <w:pPr>
                    <w:adjustRightInd w:val="0"/>
                    <w:snapToGrid w:val="0"/>
                    <w:jc w:val="center"/>
                    <w:rPr>
                      <w:color w:val="auto"/>
                      <w:szCs w:val="21"/>
                      <w:highlight w:val="none"/>
                    </w:rPr>
                  </w:pPr>
                  <w:r>
                    <w:rPr>
                      <w:color w:val="auto"/>
                      <w:szCs w:val="21"/>
                      <w:highlight w:val="none"/>
                    </w:rPr>
                    <w:t>20</w:t>
                  </w:r>
                </w:p>
              </w:tc>
            </w:tr>
            <w:tr w14:paraId="0AF2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7B57EDC2">
                  <w:pPr>
                    <w:adjustRightInd w:val="0"/>
                    <w:snapToGrid w:val="0"/>
                    <w:jc w:val="center"/>
                    <w:rPr>
                      <w:color w:val="auto"/>
                      <w:szCs w:val="21"/>
                      <w:highlight w:val="none"/>
                    </w:rPr>
                  </w:pPr>
                  <w:r>
                    <w:rPr>
                      <w:color w:val="auto"/>
                      <w:szCs w:val="21"/>
                      <w:highlight w:val="none"/>
                    </w:rPr>
                    <w:t xml:space="preserve">  五日生化需氧量（BOD</w:t>
                  </w:r>
                  <w:r>
                    <w:rPr>
                      <w:color w:val="auto"/>
                      <w:szCs w:val="21"/>
                      <w:highlight w:val="none"/>
                      <w:vertAlign w:val="subscript"/>
                    </w:rPr>
                    <w:t>5</w:t>
                  </w:r>
                  <w:r>
                    <w:rPr>
                      <w:color w:val="auto"/>
                      <w:szCs w:val="21"/>
                      <w:highlight w:val="none"/>
                    </w:rPr>
                    <w:t>）    ≤</w:t>
                  </w:r>
                </w:p>
              </w:tc>
              <w:tc>
                <w:tcPr>
                  <w:tcW w:w="2651" w:type="pct"/>
                  <w:vAlign w:val="center"/>
                </w:tcPr>
                <w:p w14:paraId="5354846C">
                  <w:pPr>
                    <w:adjustRightInd w:val="0"/>
                    <w:snapToGrid w:val="0"/>
                    <w:jc w:val="center"/>
                    <w:rPr>
                      <w:color w:val="auto"/>
                      <w:szCs w:val="21"/>
                      <w:highlight w:val="none"/>
                    </w:rPr>
                  </w:pPr>
                  <w:r>
                    <w:rPr>
                      <w:color w:val="auto"/>
                      <w:szCs w:val="21"/>
                      <w:highlight w:val="none"/>
                    </w:rPr>
                    <w:t>4</w:t>
                  </w:r>
                </w:p>
              </w:tc>
            </w:tr>
            <w:tr w14:paraId="091C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61238853">
                  <w:pPr>
                    <w:adjustRightInd w:val="0"/>
                    <w:snapToGrid w:val="0"/>
                    <w:jc w:val="center"/>
                    <w:rPr>
                      <w:color w:val="auto"/>
                      <w:szCs w:val="21"/>
                      <w:highlight w:val="none"/>
                    </w:rPr>
                  </w:pPr>
                  <w:r>
                    <w:rPr>
                      <w:color w:val="auto"/>
                      <w:szCs w:val="21"/>
                      <w:highlight w:val="none"/>
                    </w:rPr>
                    <w:t xml:space="preserve">       氨氮(NH</w:t>
                  </w:r>
                  <w:r>
                    <w:rPr>
                      <w:color w:val="auto"/>
                      <w:szCs w:val="21"/>
                      <w:highlight w:val="none"/>
                      <w:vertAlign w:val="subscript"/>
                    </w:rPr>
                    <w:t>3</w:t>
                  </w:r>
                  <w:r>
                    <w:rPr>
                      <w:color w:val="auto"/>
                      <w:szCs w:val="21"/>
                      <w:highlight w:val="none"/>
                    </w:rPr>
                    <w:t>-N)          ≤</w:t>
                  </w:r>
                </w:p>
              </w:tc>
              <w:tc>
                <w:tcPr>
                  <w:tcW w:w="2651" w:type="pct"/>
                  <w:vAlign w:val="center"/>
                </w:tcPr>
                <w:p w14:paraId="7B89C8E2">
                  <w:pPr>
                    <w:adjustRightInd w:val="0"/>
                    <w:snapToGrid w:val="0"/>
                    <w:jc w:val="center"/>
                    <w:rPr>
                      <w:color w:val="auto"/>
                      <w:szCs w:val="21"/>
                      <w:highlight w:val="none"/>
                    </w:rPr>
                  </w:pPr>
                  <w:r>
                    <w:rPr>
                      <w:color w:val="auto"/>
                      <w:szCs w:val="21"/>
                      <w:highlight w:val="none"/>
                    </w:rPr>
                    <w:t>1.0</w:t>
                  </w:r>
                </w:p>
              </w:tc>
            </w:tr>
            <w:tr w14:paraId="4962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2746DC43">
                  <w:pPr>
                    <w:adjustRightInd w:val="0"/>
                    <w:snapToGrid w:val="0"/>
                    <w:jc w:val="center"/>
                    <w:rPr>
                      <w:color w:val="auto"/>
                      <w:szCs w:val="21"/>
                      <w:highlight w:val="none"/>
                    </w:rPr>
                  </w:pPr>
                  <w:r>
                    <w:rPr>
                      <w:color w:val="auto"/>
                      <w:szCs w:val="21"/>
                      <w:highlight w:val="none"/>
                    </w:rPr>
                    <w:t xml:space="preserve">       总磷（以 P 计）       ≤</w:t>
                  </w:r>
                </w:p>
              </w:tc>
              <w:tc>
                <w:tcPr>
                  <w:tcW w:w="2651" w:type="pct"/>
                  <w:vAlign w:val="center"/>
                </w:tcPr>
                <w:p w14:paraId="16D64E81">
                  <w:pPr>
                    <w:adjustRightInd w:val="0"/>
                    <w:snapToGrid w:val="0"/>
                    <w:jc w:val="center"/>
                    <w:rPr>
                      <w:color w:val="auto"/>
                      <w:szCs w:val="21"/>
                      <w:highlight w:val="none"/>
                    </w:rPr>
                  </w:pPr>
                  <w:r>
                    <w:rPr>
                      <w:color w:val="auto"/>
                      <w:szCs w:val="21"/>
                      <w:highlight w:val="none"/>
                    </w:rPr>
                    <w:t>0.2</w:t>
                  </w:r>
                  <w:r>
                    <w:rPr>
                      <w:rFonts w:hint="eastAsia"/>
                      <w:color w:val="auto"/>
                      <w:szCs w:val="21"/>
                      <w:highlight w:val="none"/>
                    </w:rPr>
                    <w:t>（</w:t>
                  </w:r>
                  <w:r>
                    <w:rPr>
                      <w:color w:val="auto"/>
                      <w:szCs w:val="21"/>
                      <w:highlight w:val="none"/>
                    </w:rPr>
                    <w:t>湖、库0.05</w:t>
                  </w:r>
                  <w:r>
                    <w:rPr>
                      <w:rFonts w:hint="eastAsia"/>
                      <w:color w:val="auto"/>
                      <w:szCs w:val="21"/>
                      <w:highlight w:val="none"/>
                    </w:rPr>
                    <w:t>）</w:t>
                  </w:r>
                </w:p>
              </w:tc>
            </w:tr>
            <w:tr w14:paraId="0ABA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8408C65">
                  <w:pPr>
                    <w:adjustRightInd w:val="0"/>
                    <w:snapToGrid w:val="0"/>
                    <w:jc w:val="center"/>
                    <w:rPr>
                      <w:color w:val="auto"/>
                      <w:szCs w:val="21"/>
                      <w:highlight w:val="none"/>
                    </w:rPr>
                  </w:pPr>
                  <w:r>
                    <w:rPr>
                      <w:color w:val="auto"/>
                      <w:szCs w:val="21"/>
                      <w:highlight w:val="none"/>
                    </w:rPr>
                    <w:t xml:space="preserve">   总氮(湖、库．以N计)     ≤</w:t>
                  </w:r>
                </w:p>
              </w:tc>
              <w:tc>
                <w:tcPr>
                  <w:tcW w:w="2651" w:type="pct"/>
                  <w:vAlign w:val="center"/>
                </w:tcPr>
                <w:p w14:paraId="01EC14C0">
                  <w:pPr>
                    <w:adjustRightInd w:val="0"/>
                    <w:snapToGrid w:val="0"/>
                    <w:jc w:val="center"/>
                    <w:rPr>
                      <w:color w:val="auto"/>
                      <w:szCs w:val="21"/>
                      <w:highlight w:val="none"/>
                    </w:rPr>
                  </w:pPr>
                  <w:r>
                    <w:rPr>
                      <w:color w:val="auto"/>
                      <w:szCs w:val="21"/>
                      <w:highlight w:val="none"/>
                    </w:rPr>
                    <w:t>1.0</w:t>
                  </w:r>
                </w:p>
              </w:tc>
            </w:tr>
            <w:tr w14:paraId="0C88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48" w:type="pct"/>
                  <w:vAlign w:val="center"/>
                </w:tcPr>
                <w:p w14:paraId="14F4709E">
                  <w:pPr>
                    <w:adjustRightInd w:val="0"/>
                    <w:snapToGrid w:val="0"/>
                    <w:jc w:val="center"/>
                    <w:rPr>
                      <w:color w:val="auto"/>
                      <w:szCs w:val="21"/>
                      <w:highlight w:val="none"/>
                    </w:rPr>
                  </w:pPr>
                  <w:r>
                    <w:rPr>
                      <w:color w:val="auto"/>
                      <w:szCs w:val="21"/>
                      <w:highlight w:val="none"/>
                    </w:rPr>
                    <w:t xml:space="preserve">              铜            ≤</w:t>
                  </w:r>
                </w:p>
              </w:tc>
              <w:tc>
                <w:tcPr>
                  <w:tcW w:w="2651" w:type="pct"/>
                  <w:vAlign w:val="center"/>
                </w:tcPr>
                <w:p w14:paraId="234BA868">
                  <w:pPr>
                    <w:adjustRightInd w:val="0"/>
                    <w:snapToGrid w:val="0"/>
                    <w:jc w:val="center"/>
                    <w:rPr>
                      <w:color w:val="auto"/>
                      <w:szCs w:val="21"/>
                      <w:highlight w:val="none"/>
                    </w:rPr>
                  </w:pPr>
                  <w:r>
                    <w:rPr>
                      <w:color w:val="auto"/>
                      <w:szCs w:val="21"/>
                      <w:highlight w:val="none"/>
                    </w:rPr>
                    <w:t>1.0</w:t>
                  </w:r>
                </w:p>
              </w:tc>
            </w:tr>
            <w:tr w14:paraId="421C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32BA5183">
                  <w:pPr>
                    <w:adjustRightInd w:val="0"/>
                    <w:snapToGrid w:val="0"/>
                    <w:jc w:val="center"/>
                    <w:rPr>
                      <w:color w:val="auto"/>
                      <w:szCs w:val="21"/>
                      <w:highlight w:val="none"/>
                    </w:rPr>
                  </w:pPr>
                  <w:r>
                    <w:rPr>
                      <w:color w:val="auto"/>
                      <w:szCs w:val="21"/>
                      <w:highlight w:val="none"/>
                    </w:rPr>
                    <w:t xml:space="preserve">               锌            ≤</w:t>
                  </w:r>
                </w:p>
              </w:tc>
              <w:tc>
                <w:tcPr>
                  <w:tcW w:w="2651" w:type="pct"/>
                  <w:vAlign w:val="center"/>
                </w:tcPr>
                <w:p w14:paraId="35B4D071">
                  <w:pPr>
                    <w:adjustRightInd w:val="0"/>
                    <w:snapToGrid w:val="0"/>
                    <w:jc w:val="center"/>
                    <w:rPr>
                      <w:color w:val="auto"/>
                      <w:szCs w:val="21"/>
                      <w:highlight w:val="none"/>
                    </w:rPr>
                  </w:pPr>
                  <w:r>
                    <w:rPr>
                      <w:color w:val="auto"/>
                      <w:szCs w:val="21"/>
                      <w:highlight w:val="none"/>
                    </w:rPr>
                    <w:t>1.0</w:t>
                  </w:r>
                </w:p>
              </w:tc>
            </w:tr>
            <w:tr w14:paraId="1FFD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1046E862">
                  <w:pPr>
                    <w:adjustRightInd w:val="0"/>
                    <w:snapToGrid w:val="0"/>
                    <w:jc w:val="center"/>
                    <w:rPr>
                      <w:color w:val="auto"/>
                      <w:szCs w:val="21"/>
                      <w:highlight w:val="none"/>
                    </w:rPr>
                  </w:pPr>
                  <w:r>
                    <w:rPr>
                      <w:color w:val="auto"/>
                      <w:szCs w:val="21"/>
                      <w:highlight w:val="none"/>
                    </w:rPr>
                    <w:t xml:space="preserve">     氟化物（以 F</w:t>
                  </w:r>
                  <w:r>
                    <w:rPr>
                      <w:color w:val="auto"/>
                      <w:szCs w:val="21"/>
                      <w:highlight w:val="none"/>
                      <w:vertAlign w:val="superscript"/>
                    </w:rPr>
                    <w:t>-</w:t>
                  </w:r>
                  <w:r>
                    <w:rPr>
                      <w:color w:val="auto"/>
                      <w:szCs w:val="21"/>
                      <w:highlight w:val="none"/>
                    </w:rPr>
                    <w:t xml:space="preserve"> 计）      ≤</w:t>
                  </w:r>
                </w:p>
              </w:tc>
              <w:tc>
                <w:tcPr>
                  <w:tcW w:w="2651" w:type="pct"/>
                  <w:vAlign w:val="center"/>
                </w:tcPr>
                <w:p w14:paraId="7CE051B9">
                  <w:pPr>
                    <w:adjustRightInd w:val="0"/>
                    <w:snapToGrid w:val="0"/>
                    <w:jc w:val="center"/>
                    <w:rPr>
                      <w:color w:val="auto"/>
                      <w:szCs w:val="21"/>
                      <w:highlight w:val="none"/>
                    </w:rPr>
                  </w:pPr>
                  <w:r>
                    <w:rPr>
                      <w:color w:val="auto"/>
                      <w:szCs w:val="21"/>
                      <w:highlight w:val="none"/>
                    </w:rPr>
                    <w:t>1.0</w:t>
                  </w:r>
                </w:p>
              </w:tc>
            </w:tr>
            <w:tr w14:paraId="1720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36FABDDA">
                  <w:pPr>
                    <w:adjustRightInd w:val="0"/>
                    <w:snapToGrid w:val="0"/>
                    <w:jc w:val="center"/>
                    <w:rPr>
                      <w:color w:val="auto"/>
                      <w:szCs w:val="21"/>
                      <w:highlight w:val="none"/>
                    </w:rPr>
                  </w:pPr>
                  <w:r>
                    <w:rPr>
                      <w:color w:val="auto"/>
                      <w:szCs w:val="21"/>
                      <w:highlight w:val="none"/>
                    </w:rPr>
                    <w:t xml:space="preserve">             硒              ≤</w:t>
                  </w:r>
                </w:p>
              </w:tc>
              <w:tc>
                <w:tcPr>
                  <w:tcW w:w="2651" w:type="pct"/>
                  <w:vAlign w:val="center"/>
                </w:tcPr>
                <w:p w14:paraId="7F359A65">
                  <w:pPr>
                    <w:adjustRightInd w:val="0"/>
                    <w:snapToGrid w:val="0"/>
                    <w:jc w:val="center"/>
                    <w:rPr>
                      <w:color w:val="auto"/>
                      <w:szCs w:val="21"/>
                      <w:highlight w:val="none"/>
                    </w:rPr>
                  </w:pPr>
                  <w:r>
                    <w:rPr>
                      <w:color w:val="auto"/>
                      <w:szCs w:val="21"/>
                      <w:highlight w:val="none"/>
                    </w:rPr>
                    <w:t>0.01</w:t>
                  </w:r>
                </w:p>
              </w:tc>
            </w:tr>
            <w:tr w14:paraId="3DEA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58B951D">
                  <w:pPr>
                    <w:adjustRightInd w:val="0"/>
                    <w:snapToGrid w:val="0"/>
                    <w:jc w:val="center"/>
                    <w:rPr>
                      <w:color w:val="auto"/>
                      <w:szCs w:val="21"/>
                      <w:highlight w:val="none"/>
                    </w:rPr>
                  </w:pPr>
                  <w:r>
                    <w:rPr>
                      <w:color w:val="auto"/>
                      <w:szCs w:val="21"/>
                      <w:highlight w:val="none"/>
                    </w:rPr>
                    <w:t xml:space="preserve">             砷             ≤</w:t>
                  </w:r>
                </w:p>
              </w:tc>
              <w:tc>
                <w:tcPr>
                  <w:tcW w:w="2651" w:type="pct"/>
                  <w:vAlign w:val="center"/>
                </w:tcPr>
                <w:p w14:paraId="22E21834">
                  <w:pPr>
                    <w:adjustRightInd w:val="0"/>
                    <w:snapToGrid w:val="0"/>
                    <w:jc w:val="center"/>
                    <w:rPr>
                      <w:color w:val="auto"/>
                      <w:szCs w:val="21"/>
                      <w:highlight w:val="none"/>
                    </w:rPr>
                  </w:pPr>
                  <w:r>
                    <w:rPr>
                      <w:color w:val="auto"/>
                      <w:szCs w:val="21"/>
                      <w:highlight w:val="none"/>
                    </w:rPr>
                    <w:t>0.05</w:t>
                  </w:r>
                </w:p>
              </w:tc>
            </w:tr>
            <w:tr w14:paraId="322F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5E66A49">
                  <w:pPr>
                    <w:adjustRightInd w:val="0"/>
                    <w:snapToGrid w:val="0"/>
                    <w:jc w:val="center"/>
                    <w:rPr>
                      <w:color w:val="auto"/>
                      <w:szCs w:val="21"/>
                      <w:highlight w:val="none"/>
                    </w:rPr>
                  </w:pPr>
                  <w:r>
                    <w:rPr>
                      <w:color w:val="auto"/>
                      <w:szCs w:val="21"/>
                      <w:highlight w:val="none"/>
                    </w:rPr>
                    <w:t xml:space="preserve">             汞             ≤</w:t>
                  </w:r>
                </w:p>
              </w:tc>
              <w:tc>
                <w:tcPr>
                  <w:tcW w:w="2651" w:type="pct"/>
                  <w:vAlign w:val="center"/>
                </w:tcPr>
                <w:p w14:paraId="7FB7527C">
                  <w:pPr>
                    <w:adjustRightInd w:val="0"/>
                    <w:snapToGrid w:val="0"/>
                    <w:jc w:val="center"/>
                    <w:rPr>
                      <w:color w:val="auto"/>
                      <w:szCs w:val="21"/>
                      <w:highlight w:val="none"/>
                    </w:rPr>
                  </w:pPr>
                  <w:r>
                    <w:rPr>
                      <w:color w:val="auto"/>
                      <w:szCs w:val="21"/>
                      <w:highlight w:val="none"/>
                    </w:rPr>
                    <w:t>0.0001</w:t>
                  </w:r>
                </w:p>
              </w:tc>
            </w:tr>
            <w:tr w14:paraId="6111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2D45EA4D">
                  <w:pPr>
                    <w:adjustRightInd w:val="0"/>
                    <w:snapToGrid w:val="0"/>
                    <w:jc w:val="center"/>
                    <w:rPr>
                      <w:color w:val="auto"/>
                      <w:szCs w:val="21"/>
                      <w:highlight w:val="none"/>
                    </w:rPr>
                  </w:pPr>
                  <w:r>
                    <w:rPr>
                      <w:color w:val="auto"/>
                      <w:szCs w:val="21"/>
                      <w:highlight w:val="none"/>
                    </w:rPr>
                    <w:t xml:space="preserve">              镉            ≤</w:t>
                  </w:r>
                </w:p>
              </w:tc>
              <w:tc>
                <w:tcPr>
                  <w:tcW w:w="2651" w:type="pct"/>
                  <w:vAlign w:val="center"/>
                </w:tcPr>
                <w:p w14:paraId="1B7FB0C5">
                  <w:pPr>
                    <w:adjustRightInd w:val="0"/>
                    <w:snapToGrid w:val="0"/>
                    <w:jc w:val="center"/>
                    <w:rPr>
                      <w:color w:val="auto"/>
                      <w:szCs w:val="21"/>
                      <w:highlight w:val="none"/>
                    </w:rPr>
                  </w:pPr>
                  <w:r>
                    <w:rPr>
                      <w:color w:val="auto"/>
                      <w:szCs w:val="21"/>
                      <w:highlight w:val="none"/>
                    </w:rPr>
                    <w:t>0.005</w:t>
                  </w:r>
                </w:p>
              </w:tc>
            </w:tr>
            <w:tr w14:paraId="7D1B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3FCE4B1A">
                  <w:pPr>
                    <w:adjustRightInd w:val="0"/>
                    <w:snapToGrid w:val="0"/>
                    <w:jc w:val="center"/>
                    <w:rPr>
                      <w:color w:val="auto"/>
                      <w:szCs w:val="21"/>
                      <w:highlight w:val="none"/>
                    </w:rPr>
                  </w:pPr>
                  <w:r>
                    <w:rPr>
                      <w:color w:val="auto"/>
                      <w:szCs w:val="21"/>
                      <w:highlight w:val="none"/>
                    </w:rPr>
                    <w:t xml:space="preserve">         铬（六价）          ≤</w:t>
                  </w:r>
                </w:p>
              </w:tc>
              <w:tc>
                <w:tcPr>
                  <w:tcW w:w="2651" w:type="pct"/>
                  <w:vAlign w:val="center"/>
                </w:tcPr>
                <w:p w14:paraId="2BD527BC">
                  <w:pPr>
                    <w:adjustRightInd w:val="0"/>
                    <w:snapToGrid w:val="0"/>
                    <w:jc w:val="center"/>
                    <w:rPr>
                      <w:color w:val="auto"/>
                      <w:szCs w:val="21"/>
                      <w:highlight w:val="none"/>
                    </w:rPr>
                  </w:pPr>
                  <w:r>
                    <w:rPr>
                      <w:color w:val="auto"/>
                      <w:szCs w:val="21"/>
                      <w:highlight w:val="none"/>
                    </w:rPr>
                    <w:t>0.05</w:t>
                  </w:r>
                </w:p>
              </w:tc>
            </w:tr>
            <w:tr w14:paraId="2B44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2DD76C01">
                  <w:pPr>
                    <w:adjustRightInd w:val="0"/>
                    <w:snapToGrid w:val="0"/>
                    <w:jc w:val="center"/>
                    <w:rPr>
                      <w:color w:val="auto"/>
                      <w:szCs w:val="21"/>
                      <w:highlight w:val="none"/>
                    </w:rPr>
                  </w:pPr>
                  <w:r>
                    <w:rPr>
                      <w:color w:val="auto"/>
                      <w:szCs w:val="21"/>
                      <w:highlight w:val="none"/>
                    </w:rPr>
                    <w:t xml:space="preserve">            铅              ≤</w:t>
                  </w:r>
                </w:p>
              </w:tc>
              <w:tc>
                <w:tcPr>
                  <w:tcW w:w="2651" w:type="pct"/>
                  <w:vAlign w:val="center"/>
                </w:tcPr>
                <w:p w14:paraId="5CB2034A">
                  <w:pPr>
                    <w:adjustRightInd w:val="0"/>
                    <w:snapToGrid w:val="0"/>
                    <w:jc w:val="center"/>
                    <w:rPr>
                      <w:color w:val="auto"/>
                      <w:szCs w:val="21"/>
                      <w:highlight w:val="none"/>
                    </w:rPr>
                  </w:pPr>
                  <w:r>
                    <w:rPr>
                      <w:color w:val="auto"/>
                      <w:szCs w:val="21"/>
                      <w:highlight w:val="none"/>
                    </w:rPr>
                    <w:t>0.05</w:t>
                  </w:r>
                </w:p>
              </w:tc>
            </w:tr>
            <w:tr w14:paraId="3FE5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55DD767">
                  <w:pPr>
                    <w:adjustRightInd w:val="0"/>
                    <w:snapToGrid w:val="0"/>
                    <w:jc w:val="center"/>
                    <w:rPr>
                      <w:color w:val="auto"/>
                      <w:szCs w:val="21"/>
                      <w:highlight w:val="none"/>
                    </w:rPr>
                  </w:pPr>
                  <w:r>
                    <w:rPr>
                      <w:color w:val="auto"/>
                      <w:szCs w:val="21"/>
                      <w:highlight w:val="none"/>
                    </w:rPr>
                    <w:t xml:space="preserve">           氰化物           ≤</w:t>
                  </w:r>
                </w:p>
              </w:tc>
              <w:tc>
                <w:tcPr>
                  <w:tcW w:w="2651" w:type="pct"/>
                  <w:vAlign w:val="center"/>
                </w:tcPr>
                <w:p w14:paraId="2D30C205">
                  <w:pPr>
                    <w:adjustRightInd w:val="0"/>
                    <w:snapToGrid w:val="0"/>
                    <w:jc w:val="center"/>
                    <w:rPr>
                      <w:color w:val="auto"/>
                      <w:szCs w:val="21"/>
                      <w:highlight w:val="none"/>
                    </w:rPr>
                  </w:pPr>
                  <w:r>
                    <w:rPr>
                      <w:color w:val="auto"/>
                      <w:szCs w:val="21"/>
                      <w:highlight w:val="none"/>
                    </w:rPr>
                    <w:t>0.2</w:t>
                  </w:r>
                </w:p>
              </w:tc>
            </w:tr>
            <w:tr w14:paraId="0F63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15FFC8A">
                  <w:pPr>
                    <w:adjustRightInd w:val="0"/>
                    <w:snapToGrid w:val="0"/>
                    <w:jc w:val="center"/>
                    <w:rPr>
                      <w:color w:val="auto"/>
                      <w:szCs w:val="21"/>
                      <w:highlight w:val="none"/>
                    </w:rPr>
                  </w:pPr>
                  <w:r>
                    <w:rPr>
                      <w:color w:val="auto"/>
                      <w:szCs w:val="21"/>
                      <w:highlight w:val="none"/>
                    </w:rPr>
                    <w:t xml:space="preserve">            挥发酚          ≤</w:t>
                  </w:r>
                </w:p>
              </w:tc>
              <w:tc>
                <w:tcPr>
                  <w:tcW w:w="2651" w:type="pct"/>
                  <w:vAlign w:val="center"/>
                </w:tcPr>
                <w:p w14:paraId="480C558A">
                  <w:pPr>
                    <w:adjustRightInd w:val="0"/>
                    <w:snapToGrid w:val="0"/>
                    <w:jc w:val="center"/>
                    <w:rPr>
                      <w:color w:val="auto"/>
                      <w:szCs w:val="21"/>
                      <w:highlight w:val="none"/>
                    </w:rPr>
                  </w:pPr>
                  <w:r>
                    <w:rPr>
                      <w:color w:val="auto"/>
                      <w:szCs w:val="21"/>
                      <w:highlight w:val="none"/>
                    </w:rPr>
                    <w:t>0.005</w:t>
                  </w:r>
                </w:p>
              </w:tc>
            </w:tr>
            <w:tr w14:paraId="00A5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087E1D86">
                  <w:pPr>
                    <w:adjustRightInd w:val="0"/>
                    <w:snapToGrid w:val="0"/>
                    <w:jc w:val="center"/>
                    <w:rPr>
                      <w:color w:val="auto"/>
                      <w:szCs w:val="21"/>
                      <w:highlight w:val="none"/>
                    </w:rPr>
                  </w:pPr>
                  <w:r>
                    <w:rPr>
                      <w:color w:val="auto"/>
                      <w:szCs w:val="21"/>
                      <w:highlight w:val="none"/>
                    </w:rPr>
                    <w:t xml:space="preserve">          石油类            ≤</w:t>
                  </w:r>
                </w:p>
              </w:tc>
              <w:tc>
                <w:tcPr>
                  <w:tcW w:w="2651" w:type="pct"/>
                  <w:vAlign w:val="center"/>
                </w:tcPr>
                <w:p w14:paraId="6FF183AF">
                  <w:pPr>
                    <w:adjustRightInd w:val="0"/>
                    <w:snapToGrid w:val="0"/>
                    <w:jc w:val="center"/>
                    <w:rPr>
                      <w:color w:val="auto"/>
                      <w:szCs w:val="21"/>
                      <w:highlight w:val="none"/>
                    </w:rPr>
                  </w:pPr>
                  <w:r>
                    <w:rPr>
                      <w:color w:val="auto"/>
                      <w:szCs w:val="21"/>
                      <w:highlight w:val="none"/>
                    </w:rPr>
                    <w:t>0.05</w:t>
                  </w:r>
                </w:p>
              </w:tc>
            </w:tr>
            <w:tr w14:paraId="4F0E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6242C3B1">
                  <w:pPr>
                    <w:adjustRightInd w:val="0"/>
                    <w:snapToGrid w:val="0"/>
                    <w:jc w:val="center"/>
                    <w:rPr>
                      <w:color w:val="auto"/>
                      <w:szCs w:val="21"/>
                      <w:highlight w:val="none"/>
                    </w:rPr>
                  </w:pPr>
                  <w:r>
                    <w:rPr>
                      <w:color w:val="auto"/>
                      <w:szCs w:val="21"/>
                      <w:highlight w:val="none"/>
                    </w:rPr>
                    <w:t xml:space="preserve">     阴离子表面活性剂       ≤</w:t>
                  </w:r>
                </w:p>
              </w:tc>
              <w:tc>
                <w:tcPr>
                  <w:tcW w:w="2651" w:type="pct"/>
                  <w:vAlign w:val="center"/>
                </w:tcPr>
                <w:p w14:paraId="3BBD404D">
                  <w:pPr>
                    <w:adjustRightInd w:val="0"/>
                    <w:snapToGrid w:val="0"/>
                    <w:jc w:val="center"/>
                    <w:rPr>
                      <w:color w:val="auto"/>
                      <w:szCs w:val="21"/>
                      <w:highlight w:val="none"/>
                    </w:rPr>
                  </w:pPr>
                  <w:r>
                    <w:rPr>
                      <w:color w:val="auto"/>
                      <w:szCs w:val="21"/>
                      <w:highlight w:val="none"/>
                    </w:rPr>
                    <w:t>0.2</w:t>
                  </w:r>
                </w:p>
              </w:tc>
            </w:tr>
            <w:tr w14:paraId="05DE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277638FE">
                  <w:pPr>
                    <w:adjustRightInd w:val="0"/>
                    <w:snapToGrid w:val="0"/>
                    <w:jc w:val="center"/>
                    <w:rPr>
                      <w:color w:val="auto"/>
                      <w:szCs w:val="21"/>
                      <w:highlight w:val="none"/>
                    </w:rPr>
                  </w:pPr>
                  <w:r>
                    <w:rPr>
                      <w:color w:val="auto"/>
                      <w:szCs w:val="21"/>
                      <w:highlight w:val="none"/>
                    </w:rPr>
                    <w:t xml:space="preserve">          硫化物            ≤</w:t>
                  </w:r>
                </w:p>
              </w:tc>
              <w:tc>
                <w:tcPr>
                  <w:tcW w:w="2651" w:type="pct"/>
                  <w:vAlign w:val="center"/>
                </w:tcPr>
                <w:p w14:paraId="53C7D166">
                  <w:pPr>
                    <w:adjustRightInd w:val="0"/>
                    <w:snapToGrid w:val="0"/>
                    <w:jc w:val="center"/>
                    <w:rPr>
                      <w:color w:val="auto"/>
                      <w:szCs w:val="21"/>
                      <w:highlight w:val="none"/>
                    </w:rPr>
                  </w:pPr>
                  <w:r>
                    <w:rPr>
                      <w:color w:val="auto"/>
                      <w:szCs w:val="21"/>
                      <w:highlight w:val="none"/>
                    </w:rPr>
                    <w:t>0.2</w:t>
                  </w:r>
                </w:p>
              </w:tc>
            </w:tr>
            <w:tr w14:paraId="1B90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348" w:type="pct"/>
                  <w:vAlign w:val="center"/>
                </w:tcPr>
                <w:p w14:paraId="466E284D">
                  <w:pPr>
                    <w:adjustRightInd w:val="0"/>
                    <w:snapToGrid w:val="0"/>
                    <w:jc w:val="center"/>
                    <w:rPr>
                      <w:color w:val="auto"/>
                      <w:szCs w:val="21"/>
                      <w:highlight w:val="none"/>
                    </w:rPr>
                  </w:pPr>
                  <w:r>
                    <w:rPr>
                      <w:color w:val="auto"/>
                      <w:szCs w:val="21"/>
                      <w:highlight w:val="none"/>
                    </w:rPr>
                    <w:t xml:space="preserve">   粪大肠菌群（个／L）     ≤</w:t>
                  </w:r>
                </w:p>
              </w:tc>
              <w:tc>
                <w:tcPr>
                  <w:tcW w:w="2651" w:type="pct"/>
                  <w:vAlign w:val="center"/>
                </w:tcPr>
                <w:p w14:paraId="2CC9D5D7">
                  <w:pPr>
                    <w:adjustRightInd w:val="0"/>
                    <w:snapToGrid w:val="0"/>
                    <w:jc w:val="center"/>
                    <w:rPr>
                      <w:color w:val="auto"/>
                      <w:szCs w:val="21"/>
                      <w:highlight w:val="none"/>
                    </w:rPr>
                  </w:pPr>
                  <w:r>
                    <w:rPr>
                      <w:color w:val="auto"/>
                      <w:szCs w:val="21"/>
                      <w:highlight w:val="none"/>
                    </w:rPr>
                    <w:t>10000</w:t>
                  </w:r>
                </w:p>
              </w:tc>
            </w:tr>
          </w:tbl>
          <w:p w14:paraId="7F5E3189">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2、地表水环境质量现状</w:t>
            </w:r>
          </w:p>
          <w:p w14:paraId="7C58A04F">
            <w:pPr>
              <w:pStyle w:val="12"/>
              <w:spacing w:line="360" w:lineRule="auto"/>
              <w:ind w:firstLine="456" w:firstLineChars="200"/>
              <w:jc w:val="both"/>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根据玉溪市生态环境部门2023年例行水质监测结果，玉溪大河的矣读可控制监测断面水质的常规监测评价结果，玉溪大河矣读可监测断面水质评价为Ⅳ类，主要超标因子为生化需氧量、总磷，不能够满足《地表水环境质量标准》（GB3838-2002）Ⅲ类水质标准要求，超标原因主要为玉溪大河接纳了中心城区污水处理厂尾水及沿途村庄生活污水及农业面源污染所致。红塔区综合采取控源截污、内源治理、生态修复等措施，持续对玉溪大河展开全方位系统治理。项目废水不外排，项目区地表水环境质量现状总体向好。</w:t>
            </w:r>
          </w:p>
          <w:p w14:paraId="026DDB61">
            <w:pPr>
              <w:pStyle w:val="59"/>
              <w:spacing w:line="360" w:lineRule="auto"/>
              <w:ind w:firstLine="482" w:firstLineChars="200"/>
              <w:rPr>
                <w:rFonts w:ascii="Times New Roman" w:hAnsi="Times New Roman" w:cs="Times New Roman"/>
                <w:b/>
                <w:color w:val="auto"/>
                <w:kern w:val="0"/>
                <w:sz w:val="24"/>
                <w:highlight w:val="none"/>
              </w:rPr>
            </w:pPr>
            <w:r>
              <w:rPr>
                <w:rFonts w:ascii="Times New Roman" w:hAnsi="Times New Roman" w:cs="Times New Roman"/>
                <w:b/>
                <w:color w:val="auto"/>
                <w:kern w:val="0"/>
                <w:sz w:val="24"/>
                <w:highlight w:val="none"/>
              </w:rPr>
              <w:t>三、声环境</w:t>
            </w:r>
          </w:p>
          <w:p w14:paraId="5C32C578">
            <w:pPr>
              <w:pStyle w:val="59"/>
              <w:spacing w:line="360" w:lineRule="auto"/>
              <w:ind w:firstLine="480" w:firstLineChars="200"/>
              <w:rPr>
                <w:rFonts w:ascii="Times New Roman" w:hAnsi="Times New Roman" w:cs="Times New Roman"/>
                <w:color w:val="auto"/>
                <w:kern w:val="24"/>
                <w:sz w:val="24"/>
                <w:highlight w:val="none"/>
                <w:lang w:val="en-US"/>
              </w:rPr>
            </w:pPr>
            <w:r>
              <w:rPr>
                <w:rFonts w:ascii="Times New Roman" w:hAnsi="Times New Roman" w:cs="Times New Roman"/>
                <w:color w:val="auto"/>
                <w:kern w:val="24"/>
                <w:sz w:val="24"/>
                <w:highlight w:val="none"/>
                <w:lang w:val="en-US"/>
              </w:rPr>
              <w:t>1、声环境质量标准</w:t>
            </w:r>
          </w:p>
          <w:p w14:paraId="37693631">
            <w:pPr>
              <w:pStyle w:val="12"/>
              <w:spacing w:line="360" w:lineRule="auto"/>
              <w:ind w:firstLine="456" w:firstLineChars="200"/>
              <w:jc w:val="both"/>
              <w:rPr>
                <w:rFonts w:hint="eastAsia" w:ascii="宋体" w:hAnsi="宋体" w:eastAsia="宋体" w:cs="宋体"/>
                <w:color w:val="auto"/>
                <w:spacing w:val="-6"/>
                <w:sz w:val="24"/>
                <w:lang w:val="en-US" w:eastAsia="zh-CN"/>
              </w:rPr>
            </w:pPr>
            <w:r>
              <w:rPr>
                <w:rFonts w:hint="eastAsia" w:ascii="宋体" w:hAnsi="宋体" w:eastAsia="宋体" w:cs="宋体"/>
                <w:color w:val="auto"/>
                <w:spacing w:val="-6"/>
                <w:sz w:val="24"/>
                <w:lang w:val="en-US" w:eastAsia="zh-CN"/>
              </w:rPr>
              <w:t>项目位于云南省玉溪市红塔区北城街道环城南路中段（钧澄公司内）内，</w:t>
            </w:r>
            <w:r>
              <w:rPr>
                <w:rFonts w:hint="eastAsia" w:ascii="宋体" w:hAnsi="宋体" w:cs="宋体"/>
                <w:color w:val="auto"/>
                <w:spacing w:val="-6"/>
                <w:sz w:val="24"/>
                <w:lang w:val="en-US" w:eastAsia="zh-CN"/>
              </w:rPr>
              <w:t>项目</w:t>
            </w:r>
            <w:r>
              <w:rPr>
                <w:rFonts w:hint="eastAsia" w:ascii="宋体" w:hAnsi="宋体" w:eastAsia="宋体" w:cs="宋体"/>
                <w:color w:val="auto"/>
                <w:spacing w:val="-6"/>
                <w:sz w:val="24"/>
                <w:lang w:val="en-US" w:eastAsia="zh-CN"/>
              </w:rPr>
              <w:t>所在区域声环境划分为《声环境质量标准》(GB3096-2008)2类区，执行《声环境质量标准》（GB3096-2008）中的2类标准执行标准限值见表3-</w:t>
            </w:r>
            <w:r>
              <w:rPr>
                <w:rFonts w:hint="eastAsia" w:ascii="宋体" w:hAnsi="宋体" w:cs="宋体"/>
                <w:color w:val="auto"/>
                <w:spacing w:val="-6"/>
                <w:sz w:val="24"/>
                <w:lang w:val="en-US" w:eastAsia="zh-CN"/>
              </w:rPr>
              <w:t>6</w:t>
            </w:r>
            <w:r>
              <w:rPr>
                <w:rFonts w:hint="eastAsia" w:ascii="宋体" w:hAnsi="宋体" w:eastAsia="宋体" w:cs="宋体"/>
                <w:color w:val="auto"/>
                <w:spacing w:val="-6"/>
                <w:sz w:val="24"/>
                <w:lang w:val="en-US" w:eastAsia="zh-CN"/>
              </w:rPr>
              <w:t>。</w:t>
            </w:r>
          </w:p>
          <w:p w14:paraId="3A89B737">
            <w:pPr>
              <w:pStyle w:val="12"/>
              <w:spacing w:line="360" w:lineRule="auto"/>
              <w:rPr>
                <w:b/>
                <w:bCs/>
                <w:color w:val="auto"/>
                <w:sz w:val="24"/>
              </w:rPr>
            </w:pPr>
            <w:r>
              <w:rPr>
                <w:b/>
                <w:bCs/>
                <w:color w:val="auto"/>
                <w:sz w:val="24"/>
              </w:rPr>
              <w:t>表3-</w:t>
            </w:r>
            <w:r>
              <w:rPr>
                <w:rFonts w:hint="eastAsia"/>
                <w:b/>
                <w:bCs/>
                <w:color w:val="auto"/>
                <w:sz w:val="24"/>
                <w:lang w:val="en-US" w:eastAsia="zh-CN"/>
              </w:rPr>
              <w:t>6</w:t>
            </w:r>
            <w:r>
              <w:rPr>
                <w:b/>
                <w:bCs/>
                <w:color w:val="auto"/>
                <w:sz w:val="24"/>
              </w:rPr>
              <w:t>声环境</w:t>
            </w:r>
            <w:r>
              <w:rPr>
                <w:rFonts w:hint="eastAsia"/>
                <w:b/>
                <w:bCs/>
                <w:color w:val="auto"/>
                <w:sz w:val="24"/>
              </w:rPr>
              <w:t>质量标准</w:t>
            </w:r>
            <w:r>
              <w:rPr>
                <w:b/>
                <w:bCs/>
                <w:color w:val="auto"/>
                <w:sz w:val="24"/>
              </w:rPr>
              <w:t>单位：dB(A)</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56"/>
              <w:gridCol w:w="1966"/>
              <w:gridCol w:w="2592"/>
            </w:tblGrid>
            <w:tr w14:paraId="68AEC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384" w:type="pct"/>
                  <w:noWrap w:val="0"/>
                  <w:vAlign w:val="center"/>
                </w:tcPr>
                <w:p w14:paraId="573DD8ED">
                  <w:pPr>
                    <w:spacing w:line="360" w:lineRule="exact"/>
                    <w:jc w:val="center"/>
                    <w:rPr>
                      <w:color w:val="auto"/>
                    </w:rPr>
                  </w:pPr>
                  <w:r>
                    <w:rPr>
                      <w:color w:val="auto"/>
                    </w:rPr>
                    <w:t>声环境功能区类别</w:t>
                  </w:r>
                </w:p>
              </w:tc>
              <w:tc>
                <w:tcPr>
                  <w:tcW w:w="1128" w:type="pct"/>
                  <w:noWrap w:val="0"/>
                  <w:vAlign w:val="center"/>
                </w:tcPr>
                <w:p w14:paraId="579788B1">
                  <w:pPr>
                    <w:spacing w:line="360" w:lineRule="exact"/>
                    <w:jc w:val="center"/>
                    <w:rPr>
                      <w:color w:val="auto"/>
                    </w:rPr>
                  </w:pPr>
                  <w:r>
                    <w:rPr>
                      <w:color w:val="auto"/>
                    </w:rPr>
                    <w:t>昼间</w:t>
                  </w:r>
                </w:p>
              </w:tc>
              <w:tc>
                <w:tcPr>
                  <w:tcW w:w="1487" w:type="pct"/>
                  <w:noWrap w:val="0"/>
                  <w:vAlign w:val="center"/>
                </w:tcPr>
                <w:p w14:paraId="64A072B9">
                  <w:pPr>
                    <w:spacing w:line="360" w:lineRule="exact"/>
                    <w:jc w:val="center"/>
                    <w:rPr>
                      <w:color w:val="auto"/>
                    </w:rPr>
                  </w:pPr>
                  <w:r>
                    <w:rPr>
                      <w:color w:val="auto"/>
                    </w:rPr>
                    <w:t>夜间</w:t>
                  </w:r>
                </w:p>
              </w:tc>
            </w:tr>
            <w:tr w14:paraId="164EA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384" w:type="pct"/>
                  <w:noWrap w:val="0"/>
                  <w:vAlign w:val="center"/>
                </w:tcPr>
                <w:p w14:paraId="5BFEF824">
                  <w:pPr>
                    <w:spacing w:line="360" w:lineRule="exact"/>
                    <w:jc w:val="center"/>
                    <w:rPr>
                      <w:color w:val="auto"/>
                    </w:rPr>
                  </w:pPr>
                  <w:r>
                    <w:rPr>
                      <w:color w:val="auto"/>
                    </w:rPr>
                    <w:t>2类</w:t>
                  </w:r>
                </w:p>
              </w:tc>
              <w:tc>
                <w:tcPr>
                  <w:tcW w:w="1128" w:type="pct"/>
                  <w:noWrap w:val="0"/>
                  <w:vAlign w:val="center"/>
                </w:tcPr>
                <w:p w14:paraId="3E5C97BA">
                  <w:pPr>
                    <w:adjustRightInd w:val="0"/>
                    <w:snapToGrid w:val="0"/>
                    <w:jc w:val="center"/>
                    <w:rPr>
                      <w:color w:val="auto"/>
                    </w:rPr>
                  </w:pPr>
                  <w:r>
                    <w:rPr>
                      <w:color w:val="auto"/>
                      <w:szCs w:val="21"/>
                    </w:rPr>
                    <w:t>≤60</w:t>
                  </w:r>
                </w:p>
              </w:tc>
              <w:tc>
                <w:tcPr>
                  <w:tcW w:w="1487" w:type="pct"/>
                  <w:noWrap w:val="0"/>
                  <w:vAlign w:val="center"/>
                </w:tcPr>
                <w:p w14:paraId="5832BE61">
                  <w:pPr>
                    <w:adjustRightInd w:val="0"/>
                    <w:snapToGrid w:val="0"/>
                    <w:jc w:val="center"/>
                    <w:rPr>
                      <w:color w:val="auto"/>
                    </w:rPr>
                  </w:pPr>
                  <w:r>
                    <w:rPr>
                      <w:color w:val="auto"/>
                      <w:szCs w:val="21"/>
                    </w:rPr>
                    <w:t>≤50</w:t>
                  </w:r>
                </w:p>
              </w:tc>
            </w:tr>
          </w:tbl>
          <w:p w14:paraId="3BC2D47B">
            <w:pPr>
              <w:pStyle w:val="59"/>
              <w:spacing w:line="360" w:lineRule="auto"/>
              <w:ind w:firstLine="480" w:firstLineChars="200"/>
              <w:rPr>
                <w:rFonts w:ascii="Times New Roman" w:hAnsi="Times New Roman" w:cs="Times New Roman"/>
                <w:color w:val="auto"/>
                <w:kern w:val="24"/>
                <w:sz w:val="24"/>
                <w:highlight w:val="none"/>
                <w:lang w:val="en-US"/>
              </w:rPr>
            </w:pPr>
            <w:r>
              <w:rPr>
                <w:rFonts w:ascii="Times New Roman" w:hAnsi="Times New Roman" w:cs="Times New Roman"/>
                <w:color w:val="auto"/>
                <w:kern w:val="24"/>
                <w:sz w:val="24"/>
                <w:highlight w:val="none"/>
                <w:lang w:val="en-US"/>
              </w:rPr>
              <w:t>2、声环境质量现状</w:t>
            </w:r>
          </w:p>
          <w:p w14:paraId="423BCD7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color w:val="auto"/>
                <w:kern w:val="2"/>
                <w:sz w:val="24"/>
                <w:szCs w:val="24"/>
                <w:highlight w:val="none"/>
                <w:lang w:val="en-US" w:eastAsia="zh-CN" w:bidi="ar"/>
              </w:rPr>
            </w:pPr>
            <w:r>
              <w:rPr>
                <w:rFonts w:ascii="Times New Roman" w:hAnsi="Times New Roman" w:cs="Times New Roman"/>
                <w:color w:val="auto"/>
                <w:kern w:val="24"/>
                <w:sz w:val="24"/>
                <w:highlight w:val="none"/>
                <w:lang w:val="en-US"/>
              </w:rPr>
              <w:t>项目厂界外50m的范围内无居民点等声环境敏感目标。</w:t>
            </w:r>
            <w:r>
              <w:rPr>
                <w:rFonts w:hint="eastAsia" w:ascii="宋体" w:hAnsi="宋体" w:eastAsia="宋体" w:cs="宋体"/>
                <w:snapToGrid/>
                <w:color w:val="auto"/>
                <w:kern w:val="2"/>
                <w:sz w:val="24"/>
                <w:szCs w:val="24"/>
                <w:highlight w:val="none"/>
                <w:lang w:val="en-US" w:eastAsia="zh-CN" w:bidi="ar"/>
              </w:rPr>
              <w:t>根据现场踏勘，周围噪声主要以工厂运营噪声为主。云南天倪检测有限公司于2025年9月2日对项目区厂界声环境进行现状监测，每天监测昼间一次。监测结果见下表。</w:t>
            </w:r>
          </w:p>
          <w:p w14:paraId="53F0C7D0">
            <w:pPr>
              <w:pStyle w:val="33"/>
              <w:adjustRightInd/>
              <w:spacing w:line="360" w:lineRule="auto"/>
              <w:ind w:firstLine="482" w:firstLineChars="200"/>
              <w:jc w:val="center"/>
              <w:rPr>
                <w:rFonts w:ascii="Times New Roman" w:eastAsia="宋体" w:cs="Times New Roman"/>
                <w:b/>
                <w:bCs/>
                <w:color w:val="auto"/>
              </w:rPr>
            </w:pPr>
            <w:r>
              <w:rPr>
                <w:rFonts w:hint="eastAsia" w:ascii="Times New Roman" w:eastAsia="宋体" w:cs="Times New Roman"/>
                <w:b/>
                <w:bCs/>
                <w:color w:val="auto"/>
              </w:rPr>
              <w:t>表</w:t>
            </w:r>
            <w:r>
              <w:rPr>
                <w:rFonts w:hint="eastAsia" w:cs="Times New Roman"/>
                <w:b/>
                <w:bCs/>
                <w:color w:val="auto"/>
                <w:lang w:val="en-US" w:eastAsia="zh-CN"/>
              </w:rPr>
              <w:t>3-7</w:t>
            </w:r>
            <w:r>
              <w:rPr>
                <w:rFonts w:hint="eastAsia" w:ascii="Times New Roman" w:eastAsia="宋体" w:cs="Times New Roman"/>
                <w:b/>
                <w:bCs/>
                <w:color w:val="auto"/>
              </w:rPr>
              <w:t xml:space="preserve"> 厂界噪声监测结果表</w:t>
            </w:r>
            <w:r>
              <w:rPr>
                <w:rFonts w:hint="eastAsia" w:ascii="Times New Roman" w:eastAsia="宋体" w:cs="Times New Roman"/>
                <w:b/>
                <w:bCs/>
                <w:color w:val="auto"/>
              </w:rPr>
              <w:tab/>
            </w:r>
            <w:r>
              <w:rPr>
                <w:rFonts w:hint="eastAsia" w:ascii="Times New Roman" w:eastAsia="宋体" w:cs="Times New Roman"/>
                <w:b/>
                <w:bCs/>
                <w:color w:val="auto"/>
              </w:rPr>
              <w:t>单位：dB（A）</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78"/>
              <w:gridCol w:w="1487"/>
              <w:gridCol w:w="1487"/>
              <w:gridCol w:w="1487"/>
              <w:gridCol w:w="1487"/>
            </w:tblGrid>
            <w:tr w14:paraId="665D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3" w:type="pct"/>
                  <w:noWrap w:val="0"/>
                  <w:vAlign w:val="center"/>
                </w:tcPr>
                <w:p w14:paraId="31AE0099">
                  <w:pPr>
                    <w:pStyle w:val="13"/>
                    <w:widowControl w:val="0"/>
                    <w:autoSpaceDE w:val="0"/>
                    <w:autoSpaceDN w:val="0"/>
                    <w:adjustRightInd w:val="0"/>
                    <w:spacing w:before="0" w:after="0" w:line="240" w:lineRule="auto"/>
                    <w:ind w:right="0"/>
                    <w:jc w:val="center"/>
                    <w:rPr>
                      <w:rFonts w:ascii="宋体" w:hAnsi="宋体" w:cs="宋体"/>
                      <w:b/>
                      <w:bCs/>
                      <w:color w:val="auto"/>
                      <w:sz w:val="21"/>
                      <w:szCs w:val="21"/>
                    </w:rPr>
                  </w:pPr>
                  <w:r>
                    <w:rPr>
                      <w:rFonts w:hint="eastAsia" w:ascii="宋体" w:hAnsi="宋体" w:cs="宋体"/>
                      <w:color w:val="auto"/>
                      <w:sz w:val="21"/>
                      <w:szCs w:val="21"/>
                    </w:rPr>
                    <w:t>监测日期</w:t>
                  </w:r>
                </w:p>
              </w:tc>
              <w:tc>
                <w:tcPr>
                  <w:tcW w:w="733" w:type="pct"/>
                  <w:noWrap w:val="0"/>
                  <w:vAlign w:val="center"/>
                </w:tcPr>
                <w:p w14:paraId="78EA93F9">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监测点位</w:t>
                  </w:r>
                </w:p>
              </w:tc>
              <w:tc>
                <w:tcPr>
                  <w:tcW w:w="853" w:type="pct"/>
                  <w:noWrap w:val="0"/>
                  <w:vAlign w:val="center"/>
                </w:tcPr>
                <w:p w14:paraId="0E7BD7C9">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时段</w:t>
                  </w:r>
                </w:p>
              </w:tc>
              <w:tc>
                <w:tcPr>
                  <w:tcW w:w="853" w:type="pct"/>
                  <w:noWrap w:val="0"/>
                  <w:vAlign w:val="center"/>
                </w:tcPr>
                <w:p w14:paraId="0C1B607D">
                  <w:pPr>
                    <w:autoSpaceDE w:val="0"/>
                    <w:autoSpaceDN w:val="0"/>
                    <w:adjustRightInd w:val="0"/>
                    <w:snapToGrid w:val="0"/>
                    <w:jc w:val="center"/>
                    <w:rPr>
                      <w:rFonts w:hint="eastAsia" w:ascii="宋体" w:hAnsi="宋体" w:cs="宋体"/>
                      <w:b/>
                      <w:bCs/>
                      <w:color w:val="auto"/>
                      <w:szCs w:val="21"/>
                    </w:rPr>
                  </w:pPr>
                  <w:r>
                    <w:rPr>
                      <w:bCs/>
                      <w:color w:val="auto"/>
                      <w:szCs w:val="21"/>
                    </w:rPr>
                    <w:t>昼间等效声级(Leq)</w:t>
                  </w:r>
                </w:p>
              </w:tc>
              <w:tc>
                <w:tcPr>
                  <w:tcW w:w="853" w:type="pct"/>
                  <w:noWrap w:val="0"/>
                  <w:vAlign w:val="center"/>
                </w:tcPr>
                <w:p w14:paraId="64784F6E">
                  <w:pPr>
                    <w:autoSpaceDE w:val="0"/>
                    <w:autoSpaceDN w:val="0"/>
                    <w:adjustRightInd w:val="0"/>
                    <w:snapToGrid w:val="0"/>
                    <w:jc w:val="center"/>
                    <w:rPr>
                      <w:rFonts w:hint="eastAsia" w:ascii="宋体" w:hAnsi="宋体" w:cs="宋体"/>
                      <w:color w:val="auto"/>
                      <w:szCs w:val="21"/>
                    </w:rPr>
                  </w:pPr>
                  <w:r>
                    <w:rPr>
                      <w:rFonts w:hint="eastAsia"/>
                      <w:color w:val="auto"/>
                      <w:szCs w:val="21"/>
                    </w:rPr>
                    <w:t>标准值</w:t>
                  </w:r>
                </w:p>
              </w:tc>
              <w:tc>
                <w:tcPr>
                  <w:tcW w:w="853" w:type="pct"/>
                  <w:noWrap w:val="0"/>
                  <w:vAlign w:val="center"/>
                </w:tcPr>
                <w:p w14:paraId="6E5D6E57">
                  <w:pPr>
                    <w:autoSpaceDE w:val="0"/>
                    <w:autoSpaceDN w:val="0"/>
                    <w:adjustRightInd w:val="0"/>
                    <w:snapToGrid w:val="0"/>
                    <w:jc w:val="center"/>
                    <w:rPr>
                      <w:rFonts w:hint="eastAsia" w:ascii="宋体" w:hAnsi="宋体" w:cs="宋体"/>
                      <w:color w:val="auto"/>
                      <w:szCs w:val="21"/>
                    </w:rPr>
                  </w:pPr>
                  <w:r>
                    <w:rPr>
                      <w:rFonts w:hint="eastAsia"/>
                      <w:color w:val="auto"/>
                      <w:szCs w:val="21"/>
                    </w:rPr>
                    <w:t>是否达标</w:t>
                  </w:r>
                </w:p>
              </w:tc>
            </w:tr>
            <w:tr w14:paraId="7D0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restart"/>
                  <w:noWrap w:val="0"/>
                  <w:vAlign w:val="center"/>
                </w:tcPr>
                <w:p w14:paraId="7C790014">
                  <w:pPr>
                    <w:autoSpaceDE w:val="0"/>
                    <w:autoSpaceDN w:val="0"/>
                    <w:adjustRightInd w:val="0"/>
                    <w:snapToGrid w:val="0"/>
                    <w:jc w:val="center"/>
                    <w:rPr>
                      <w:rFonts w:ascii="宋体" w:hAnsi="宋体" w:cs="宋体"/>
                      <w:b/>
                      <w:bCs/>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w:t>
                  </w:r>
                </w:p>
              </w:tc>
              <w:tc>
                <w:tcPr>
                  <w:tcW w:w="733" w:type="pct"/>
                  <w:vMerge w:val="restart"/>
                  <w:noWrap w:val="0"/>
                  <w:vAlign w:val="center"/>
                </w:tcPr>
                <w:p w14:paraId="4FD92B48">
                  <w:pPr>
                    <w:autoSpaceDE w:val="0"/>
                    <w:autoSpaceDN w:val="0"/>
                    <w:adjustRightInd w:val="0"/>
                    <w:snapToGrid w:val="0"/>
                    <w:jc w:val="center"/>
                    <w:rPr>
                      <w:rFonts w:hint="eastAsia"/>
                      <w:bCs/>
                      <w:color w:val="auto"/>
                      <w:szCs w:val="21"/>
                    </w:rPr>
                  </w:pPr>
                  <w:r>
                    <w:rPr>
                      <w:bCs/>
                      <w:color w:val="auto"/>
                      <w:szCs w:val="21"/>
                    </w:rPr>
                    <w:t>厂界</w:t>
                  </w:r>
                  <w:r>
                    <w:rPr>
                      <w:rFonts w:hint="eastAsia"/>
                      <w:bCs/>
                      <w:color w:val="auto"/>
                      <w:szCs w:val="21"/>
                    </w:rPr>
                    <w:t>东</w:t>
                  </w:r>
                </w:p>
              </w:tc>
              <w:tc>
                <w:tcPr>
                  <w:tcW w:w="853" w:type="pct"/>
                  <w:noWrap w:val="0"/>
                  <w:vAlign w:val="center"/>
                </w:tcPr>
                <w:p w14:paraId="7D38653C">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6EB3DB44">
                  <w:pPr>
                    <w:autoSpaceDE w:val="0"/>
                    <w:autoSpaceDN w:val="0"/>
                    <w:adjustRightInd w:val="0"/>
                    <w:snapToGrid w:val="0"/>
                    <w:jc w:val="center"/>
                    <w:rPr>
                      <w:rFonts w:hint="default" w:ascii="宋体" w:hAnsi="宋体" w:eastAsia="宋体" w:cs="宋体"/>
                      <w:b/>
                      <w:bCs/>
                      <w:color w:val="auto"/>
                      <w:szCs w:val="21"/>
                      <w:lang w:val="en-US" w:eastAsia="zh-CN"/>
                    </w:rPr>
                  </w:pPr>
                  <w:r>
                    <w:rPr>
                      <w:rFonts w:hint="eastAsia"/>
                      <w:bCs/>
                      <w:color w:val="auto"/>
                      <w:szCs w:val="21"/>
                      <w:lang w:val="en-US" w:eastAsia="zh-CN"/>
                    </w:rPr>
                    <w:t>51</w:t>
                  </w:r>
                </w:p>
              </w:tc>
              <w:tc>
                <w:tcPr>
                  <w:tcW w:w="853" w:type="pct"/>
                  <w:noWrap w:val="0"/>
                  <w:vAlign w:val="center"/>
                </w:tcPr>
                <w:p w14:paraId="50568E2F">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5FB182A0">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是</w:t>
                  </w:r>
                </w:p>
              </w:tc>
            </w:tr>
            <w:tr w14:paraId="39B4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0F4404D6">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22DF40CF">
                  <w:pPr>
                    <w:autoSpaceDE w:val="0"/>
                    <w:autoSpaceDN w:val="0"/>
                    <w:adjustRightInd w:val="0"/>
                    <w:snapToGrid w:val="0"/>
                    <w:jc w:val="center"/>
                    <w:rPr>
                      <w:rFonts w:hint="eastAsia" w:ascii="宋体" w:hAnsi="宋体" w:cs="宋体"/>
                      <w:b/>
                      <w:bCs/>
                      <w:color w:val="auto"/>
                      <w:szCs w:val="21"/>
                    </w:rPr>
                  </w:pPr>
                </w:p>
              </w:tc>
              <w:tc>
                <w:tcPr>
                  <w:tcW w:w="853" w:type="pct"/>
                  <w:noWrap w:val="0"/>
                  <w:vAlign w:val="center"/>
                </w:tcPr>
                <w:p w14:paraId="2C1DF84E">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52AF8B60">
                  <w:pPr>
                    <w:autoSpaceDE w:val="0"/>
                    <w:autoSpaceDN w:val="0"/>
                    <w:adjustRightInd w:val="0"/>
                    <w:snapToGrid w:val="0"/>
                    <w:jc w:val="center"/>
                    <w:rPr>
                      <w:rFonts w:hint="default" w:ascii="宋体" w:hAnsi="宋体" w:eastAsia="宋体" w:cs="宋体"/>
                      <w:b/>
                      <w:bCs/>
                      <w:color w:val="auto"/>
                      <w:szCs w:val="21"/>
                      <w:lang w:val="en-US" w:eastAsia="zh-CN"/>
                    </w:rPr>
                  </w:pPr>
                  <w:r>
                    <w:rPr>
                      <w:rFonts w:hint="eastAsia"/>
                      <w:bCs/>
                      <w:color w:val="auto"/>
                      <w:szCs w:val="21"/>
                      <w:lang w:val="en-US" w:eastAsia="zh-CN"/>
                    </w:rPr>
                    <w:t>46</w:t>
                  </w:r>
                </w:p>
              </w:tc>
              <w:tc>
                <w:tcPr>
                  <w:tcW w:w="853" w:type="pct"/>
                  <w:noWrap w:val="0"/>
                  <w:vAlign w:val="center"/>
                </w:tcPr>
                <w:p w14:paraId="572FC9B3">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0133842">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3994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2F8EC4CE">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4D5C8962">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南</w:t>
                  </w:r>
                </w:p>
              </w:tc>
              <w:tc>
                <w:tcPr>
                  <w:tcW w:w="853" w:type="pct"/>
                  <w:noWrap w:val="0"/>
                  <w:vAlign w:val="center"/>
                </w:tcPr>
                <w:p w14:paraId="66439B7F">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062CF454">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52</w:t>
                  </w:r>
                </w:p>
              </w:tc>
              <w:tc>
                <w:tcPr>
                  <w:tcW w:w="853" w:type="pct"/>
                  <w:noWrap w:val="0"/>
                  <w:vAlign w:val="center"/>
                </w:tcPr>
                <w:p w14:paraId="541AF7BF">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47CF5349">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21F1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7DD41B13">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0DDA0C08">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47693ABE">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22EF1644">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47</w:t>
                  </w:r>
                </w:p>
              </w:tc>
              <w:tc>
                <w:tcPr>
                  <w:tcW w:w="853" w:type="pct"/>
                  <w:noWrap w:val="0"/>
                  <w:vAlign w:val="center"/>
                </w:tcPr>
                <w:p w14:paraId="41ADF7AA">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95F9B8C">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6798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377DECFC">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02080EBF">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西</w:t>
                  </w:r>
                </w:p>
              </w:tc>
              <w:tc>
                <w:tcPr>
                  <w:tcW w:w="853" w:type="pct"/>
                  <w:noWrap w:val="0"/>
                  <w:vAlign w:val="center"/>
                </w:tcPr>
                <w:p w14:paraId="77FA874A">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7BE01462">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50</w:t>
                  </w:r>
                </w:p>
              </w:tc>
              <w:tc>
                <w:tcPr>
                  <w:tcW w:w="853" w:type="pct"/>
                  <w:noWrap w:val="0"/>
                  <w:vAlign w:val="center"/>
                </w:tcPr>
                <w:p w14:paraId="018A3FDC">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7BA75D9F">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7D61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6D08F9D1">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3DCAE536">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3B3078E3">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0D7EB632">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46</w:t>
                  </w:r>
                </w:p>
              </w:tc>
              <w:tc>
                <w:tcPr>
                  <w:tcW w:w="853" w:type="pct"/>
                  <w:noWrap w:val="0"/>
                  <w:vAlign w:val="center"/>
                </w:tcPr>
                <w:p w14:paraId="1A1BEDA6">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5B1C202">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3AE6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76A05D1C">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201D69D2">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北</w:t>
                  </w:r>
                </w:p>
              </w:tc>
              <w:tc>
                <w:tcPr>
                  <w:tcW w:w="853" w:type="pct"/>
                  <w:noWrap w:val="0"/>
                  <w:vAlign w:val="center"/>
                </w:tcPr>
                <w:p w14:paraId="24AEE3B4">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2E3B6AF0">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54</w:t>
                  </w:r>
                </w:p>
              </w:tc>
              <w:tc>
                <w:tcPr>
                  <w:tcW w:w="853" w:type="pct"/>
                  <w:noWrap w:val="0"/>
                  <w:vAlign w:val="center"/>
                </w:tcPr>
                <w:p w14:paraId="327134DB">
                  <w:pPr>
                    <w:pStyle w:val="13"/>
                    <w:widowControl w:val="0"/>
                    <w:autoSpaceDE w:val="0"/>
                    <w:autoSpaceDN w:val="0"/>
                    <w:adjustRightInd w:val="0"/>
                    <w:spacing w:before="0" w:after="0" w:line="240" w:lineRule="auto"/>
                    <w:ind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853" w:type="pct"/>
                  <w:noWrap w:val="0"/>
                  <w:vAlign w:val="center"/>
                </w:tcPr>
                <w:p w14:paraId="1266B0FD">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079F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3" w:type="pct"/>
                  <w:vMerge w:val="continue"/>
                  <w:noWrap w:val="0"/>
                  <w:vAlign w:val="center"/>
                </w:tcPr>
                <w:p w14:paraId="783D371D">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13A28F79">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79907204">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42D7E505">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45</w:t>
                  </w:r>
                </w:p>
              </w:tc>
              <w:tc>
                <w:tcPr>
                  <w:tcW w:w="853" w:type="pct"/>
                  <w:noWrap w:val="0"/>
                  <w:vAlign w:val="center"/>
                </w:tcPr>
                <w:p w14:paraId="5A55038F">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36C17BCD">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bl>
          <w:p w14:paraId="1A48507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kern w:val="24"/>
                <w:sz w:val="24"/>
                <w:highlight w:val="none"/>
                <w:lang w:val="en-US" w:eastAsia="zh-CN"/>
              </w:rPr>
            </w:pPr>
            <w:r>
              <w:rPr>
                <w:rFonts w:hint="eastAsia" w:ascii="Times New Roman" w:hAnsi="Times New Roman" w:cs="Times New Roman"/>
                <w:color w:val="auto"/>
                <w:kern w:val="24"/>
                <w:sz w:val="24"/>
                <w:highlight w:val="none"/>
                <w:lang w:val="en-US" w:eastAsia="zh-CN"/>
              </w:rPr>
              <w:t>根据表3-7可知，项目厂界东、南、西、北侧声环境现状满足《声环境质量标准》(GB3096-2008)2类标准。</w:t>
            </w:r>
          </w:p>
          <w:p w14:paraId="5A98CECC">
            <w:pPr>
              <w:pStyle w:val="59"/>
              <w:spacing w:line="360" w:lineRule="auto"/>
              <w:ind w:firstLine="482" w:firstLineChars="200"/>
              <w:rPr>
                <w:rFonts w:ascii="Times New Roman" w:hAnsi="Times New Roman" w:cs="Times New Roman"/>
                <w:b/>
                <w:bCs/>
                <w:color w:val="auto"/>
                <w:kern w:val="24"/>
                <w:sz w:val="24"/>
                <w:highlight w:val="none"/>
                <w:lang w:val="en-US"/>
              </w:rPr>
            </w:pPr>
            <w:r>
              <w:rPr>
                <w:rFonts w:ascii="Times New Roman" w:hAnsi="Times New Roman" w:cs="Times New Roman"/>
                <w:b/>
                <w:bCs/>
                <w:color w:val="auto"/>
                <w:kern w:val="24"/>
                <w:sz w:val="24"/>
                <w:highlight w:val="none"/>
                <w:lang w:val="en-US"/>
              </w:rPr>
              <w:t>四、生态环境现状</w:t>
            </w:r>
          </w:p>
          <w:p w14:paraId="6C6AEDE1">
            <w:pPr>
              <w:pStyle w:val="59"/>
              <w:spacing w:line="360" w:lineRule="auto"/>
              <w:ind w:firstLine="480" w:firstLineChars="200"/>
              <w:rPr>
                <w:rFonts w:ascii="Times New Roman" w:hAnsi="Times New Roman" w:cs="Times New Roman"/>
                <w:color w:val="auto"/>
                <w:kern w:val="0"/>
                <w:sz w:val="24"/>
                <w:highlight w:val="none"/>
              </w:rPr>
            </w:pPr>
            <w:bookmarkStart w:id="28" w:name="_Hlk192511396"/>
            <w:r>
              <w:rPr>
                <w:rFonts w:hint="eastAsia" w:ascii="Times New Roman" w:hAnsi="Times New Roman" w:cs="Times New Roman"/>
                <w:color w:val="auto"/>
                <w:kern w:val="24"/>
                <w:sz w:val="24"/>
                <w:highlight w:val="none"/>
                <w:lang w:val="en-US"/>
              </w:rPr>
              <w:t>项目所在区域生物多样性程度较低，受人类活动一定的影响。经现场调查，项目所在区域内无珍稀野生动、植物，无文物古迹等需特殊保护的目标</w:t>
            </w:r>
            <w:bookmarkEnd w:id="28"/>
            <w:r>
              <w:rPr>
                <w:rFonts w:ascii="Times New Roman" w:hAnsi="Times New Roman" w:cs="Times New Roman"/>
                <w:color w:val="auto"/>
                <w:kern w:val="24"/>
                <w:sz w:val="24"/>
                <w:highlight w:val="none"/>
                <w:lang w:val="en-US"/>
              </w:rPr>
              <w:t>。</w:t>
            </w:r>
          </w:p>
        </w:tc>
      </w:tr>
      <w:tr w14:paraId="675EC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56" w:type="dxa"/>
            <w:vAlign w:val="center"/>
          </w:tcPr>
          <w:p w14:paraId="27AAFD3D">
            <w:pPr>
              <w:adjustRightInd w:val="0"/>
              <w:snapToGrid w:val="0"/>
              <w:jc w:val="center"/>
              <w:rPr>
                <w:color w:val="auto"/>
                <w:kern w:val="0"/>
                <w:sz w:val="24"/>
                <w:highlight w:val="none"/>
              </w:rPr>
            </w:pPr>
            <w:r>
              <w:rPr>
                <w:color w:val="auto"/>
                <w:kern w:val="0"/>
                <w:sz w:val="24"/>
                <w:highlight w:val="none"/>
              </w:rPr>
              <w:t>环境</w:t>
            </w:r>
          </w:p>
          <w:p w14:paraId="525D4AE9">
            <w:pPr>
              <w:adjustRightInd w:val="0"/>
              <w:snapToGrid w:val="0"/>
              <w:jc w:val="center"/>
              <w:rPr>
                <w:color w:val="auto"/>
                <w:kern w:val="0"/>
                <w:sz w:val="24"/>
                <w:highlight w:val="none"/>
              </w:rPr>
            </w:pPr>
            <w:r>
              <w:rPr>
                <w:color w:val="auto"/>
                <w:kern w:val="0"/>
                <w:sz w:val="24"/>
                <w:highlight w:val="none"/>
              </w:rPr>
              <w:t>保护</w:t>
            </w:r>
          </w:p>
          <w:p w14:paraId="69DD372E">
            <w:pPr>
              <w:adjustRightInd w:val="0"/>
              <w:snapToGrid w:val="0"/>
              <w:jc w:val="center"/>
              <w:rPr>
                <w:color w:val="auto"/>
                <w:kern w:val="0"/>
                <w:sz w:val="24"/>
                <w:highlight w:val="none"/>
              </w:rPr>
            </w:pPr>
            <w:r>
              <w:rPr>
                <w:color w:val="auto"/>
                <w:kern w:val="0"/>
                <w:sz w:val="24"/>
                <w:highlight w:val="none"/>
              </w:rPr>
              <w:t>目标</w:t>
            </w:r>
          </w:p>
        </w:tc>
        <w:tc>
          <w:tcPr>
            <w:tcW w:w="8943" w:type="dxa"/>
          </w:tcPr>
          <w:p w14:paraId="21FF98C3">
            <w:pPr>
              <w:spacing w:line="360" w:lineRule="auto"/>
              <w:ind w:firstLine="480" w:firstLineChars="200"/>
              <w:rPr>
                <w:color w:val="auto"/>
                <w:sz w:val="24"/>
              </w:rPr>
            </w:pPr>
            <w:r>
              <w:rPr>
                <w:color w:val="auto"/>
                <w:sz w:val="24"/>
                <w:lang w:val="zh-CN"/>
              </w:rPr>
              <w:t>根据《建设项目环境影响报告表编制技术指南（污染影响类）》（试行），项目</w:t>
            </w:r>
            <w:r>
              <w:rPr>
                <w:color w:val="auto"/>
                <w:sz w:val="24"/>
              </w:rPr>
              <w:t>环境影响报告表环境保护目标设置范围如下：</w:t>
            </w:r>
          </w:p>
          <w:p w14:paraId="04A4E161">
            <w:pPr>
              <w:spacing w:line="360" w:lineRule="auto"/>
              <w:ind w:firstLine="480" w:firstLineChars="200"/>
              <w:rPr>
                <w:color w:val="auto"/>
                <w:sz w:val="24"/>
              </w:rPr>
            </w:pPr>
            <w:r>
              <w:rPr>
                <w:color w:val="auto"/>
                <w:sz w:val="24"/>
              </w:rPr>
              <w:t>1、大气环境：项目厂界外500m范围内大气环境保护目标主要为</w:t>
            </w:r>
            <w:r>
              <w:rPr>
                <w:rFonts w:hint="eastAsia"/>
                <w:color w:val="auto"/>
                <w:sz w:val="24"/>
                <w:lang w:val="en-US" w:eastAsia="zh-CN"/>
              </w:rPr>
              <w:t>北城社区19组、康泰医院</w:t>
            </w:r>
            <w:r>
              <w:rPr>
                <w:color w:val="auto"/>
                <w:sz w:val="24"/>
              </w:rPr>
              <w:t>。</w:t>
            </w:r>
          </w:p>
          <w:p w14:paraId="7A5FF0A1">
            <w:pPr>
              <w:spacing w:line="360" w:lineRule="auto"/>
              <w:ind w:firstLine="480" w:firstLineChars="200"/>
              <w:rPr>
                <w:color w:val="auto"/>
                <w:sz w:val="24"/>
              </w:rPr>
            </w:pPr>
            <w:r>
              <w:rPr>
                <w:color w:val="auto"/>
                <w:sz w:val="24"/>
              </w:rPr>
              <w:t>2、声环境：项目厂界外50米范围内</w:t>
            </w:r>
            <w:r>
              <w:rPr>
                <w:rFonts w:hint="eastAsia"/>
                <w:color w:val="auto"/>
                <w:sz w:val="24"/>
                <w:lang w:val="en-US" w:eastAsia="zh-CN"/>
              </w:rPr>
              <w:t>无声环境保护目标</w:t>
            </w:r>
            <w:r>
              <w:rPr>
                <w:color w:val="auto"/>
                <w:sz w:val="24"/>
              </w:rPr>
              <w:t>。</w:t>
            </w:r>
          </w:p>
          <w:p w14:paraId="5ACC77DE">
            <w:pPr>
              <w:spacing w:line="360" w:lineRule="auto"/>
              <w:ind w:firstLine="480" w:firstLineChars="200"/>
              <w:rPr>
                <w:color w:val="auto"/>
                <w:sz w:val="24"/>
              </w:rPr>
            </w:pPr>
            <w:r>
              <w:rPr>
                <w:color w:val="auto"/>
                <w:sz w:val="24"/>
              </w:rPr>
              <w:t>3、地表水环境：项目所在地附近主要地表水体为</w:t>
            </w:r>
            <w:r>
              <w:rPr>
                <w:rFonts w:hint="eastAsia"/>
                <w:color w:val="auto"/>
                <w:sz w:val="24"/>
                <w:lang w:val="en-US" w:eastAsia="zh-CN"/>
              </w:rPr>
              <w:t>东</w:t>
            </w:r>
            <w:r>
              <w:rPr>
                <w:color w:val="auto"/>
                <w:sz w:val="24"/>
              </w:rPr>
              <w:t>面</w:t>
            </w:r>
            <w:r>
              <w:rPr>
                <w:rFonts w:hint="eastAsia"/>
                <w:color w:val="auto"/>
                <w:sz w:val="24"/>
                <w:lang w:val="en-US" w:eastAsia="zh-CN"/>
              </w:rPr>
              <w:t>1114</w:t>
            </w:r>
            <w:r>
              <w:rPr>
                <w:color w:val="auto"/>
                <w:sz w:val="24"/>
              </w:rPr>
              <w:t>m的</w:t>
            </w:r>
            <w:r>
              <w:rPr>
                <w:rFonts w:hint="eastAsia"/>
                <w:color w:val="auto"/>
                <w:sz w:val="24"/>
                <w:lang w:val="en-US" w:eastAsia="zh-CN"/>
              </w:rPr>
              <w:t>红旗河</w:t>
            </w:r>
            <w:r>
              <w:rPr>
                <w:color w:val="auto"/>
                <w:sz w:val="24"/>
                <w:szCs w:val="22"/>
              </w:rPr>
              <w:t>。</w:t>
            </w:r>
          </w:p>
          <w:p w14:paraId="3768A455">
            <w:pPr>
              <w:spacing w:line="360" w:lineRule="auto"/>
              <w:ind w:firstLine="480" w:firstLineChars="200"/>
              <w:rPr>
                <w:color w:val="auto"/>
                <w:sz w:val="24"/>
              </w:rPr>
            </w:pPr>
            <w:r>
              <w:rPr>
                <w:color w:val="auto"/>
                <w:sz w:val="24"/>
              </w:rPr>
              <w:t>4、地下水环境：项目厂界外500米范围内无地下水集中式饮用水水源和热水、矿泉水、温泉等特殊地下水资源，项目无地下水保护目标。</w:t>
            </w:r>
          </w:p>
          <w:p w14:paraId="1C516F94">
            <w:pPr>
              <w:spacing w:line="360" w:lineRule="auto"/>
              <w:ind w:firstLine="480" w:firstLineChars="200"/>
              <w:rPr>
                <w:color w:val="auto"/>
                <w:sz w:val="24"/>
              </w:rPr>
            </w:pPr>
            <w:r>
              <w:rPr>
                <w:color w:val="auto"/>
                <w:sz w:val="24"/>
              </w:rPr>
              <w:t>5、生态环境：项目场地及周边200m范围内无国家级和省级保护植物物种，以及地方狭域植物种类分布，也无古树名木。无大型野生哺乳动物、受国家和云南省重点保护及关注物种，同时也无当地特有物种，无生态环境保护目标。</w:t>
            </w:r>
          </w:p>
          <w:p w14:paraId="0B1A3421">
            <w:pPr>
              <w:adjustRightInd w:val="0"/>
              <w:snapToGrid w:val="0"/>
              <w:spacing w:line="360" w:lineRule="auto"/>
              <w:ind w:firstLine="480" w:firstLineChars="200"/>
              <w:rPr>
                <w:color w:val="auto"/>
                <w:kern w:val="24"/>
                <w:sz w:val="24"/>
                <w:highlight w:val="none"/>
              </w:rPr>
            </w:pPr>
            <w:r>
              <w:rPr>
                <w:color w:val="auto"/>
                <w:sz w:val="24"/>
              </w:rPr>
              <w:t>根据现场踏勘，本项目主要环境保护目标具体见表3-</w:t>
            </w:r>
            <w:r>
              <w:rPr>
                <w:rFonts w:hint="eastAsia"/>
                <w:color w:val="auto"/>
                <w:sz w:val="24"/>
                <w:lang w:val="en-US" w:eastAsia="zh-CN"/>
              </w:rPr>
              <w:t>8</w:t>
            </w:r>
            <w:r>
              <w:rPr>
                <w:color w:val="auto"/>
                <w:sz w:val="24"/>
              </w:rPr>
              <w:t>，周边关系图见附图4。</w:t>
            </w:r>
          </w:p>
          <w:p w14:paraId="1F06C44C">
            <w:pPr>
              <w:pStyle w:val="65"/>
              <w:rPr>
                <w:color w:val="auto"/>
                <w:sz w:val="24"/>
                <w:highlight w:val="none"/>
              </w:rPr>
            </w:pPr>
            <w:r>
              <w:rPr>
                <w:color w:val="auto"/>
                <w:sz w:val="24"/>
                <w:highlight w:val="none"/>
              </w:rPr>
              <w:t>表3-</w:t>
            </w:r>
            <w:r>
              <w:rPr>
                <w:rFonts w:hint="eastAsia"/>
                <w:color w:val="auto"/>
                <w:sz w:val="24"/>
                <w:highlight w:val="none"/>
                <w:lang w:val="en-US" w:eastAsia="zh-CN"/>
              </w:rPr>
              <w:t>8</w:t>
            </w:r>
            <w:r>
              <w:rPr>
                <w:color w:val="auto"/>
                <w:sz w:val="24"/>
                <w:highlight w:val="none"/>
              </w:rPr>
              <w:t xml:space="preserve">  项目环境保护目标一览表</w:t>
            </w:r>
          </w:p>
          <w:tbl>
            <w:tblPr>
              <w:tblStyle w:val="26"/>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764"/>
              <w:gridCol w:w="1540"/>
              <w:gridCol w:w="1325"/>
              <w:gridCol w:w="455"/>
              <w:gridCol w:w="764"/>
              <w:gridCol w:w="820"/>
              <w:gridCol w:w="945"/>
              <w:gridCol w:w="1740"/>
            </w:tblGrid>
            <w:tr w14:paraId="58C8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0" w:type="dxa"/>
                  <w:vMerge w:val="restart"/>
                  <w:noWrap w:val="0"/>
                  <w:vAlign w:val="center"/>
                </w:tcPr>
                <w:p w14:paraId="7FD5B0E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保护内容</w:t>
                  </w:r>
                </w:p>
              </w:tc>
              <w:tc>
                <w:tcPr>
                  <w:tcW w:w="764" w:type="dxa"/>
                  <w:vMerge w:val="restart"/>
                  <w:noWrap w:val="0"/>
                  <w:vAlign w:val="center"/>
                </w:tcPr>
                <w:p w14:paraId="7D957AB9">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名称</w:t>
                  </w:r>
                </w:p>
              </w:tc>
              <w:tc>
                <w:tcPr>
                  <w:tcW w:w="2865" w:type="dxa"/>
                  <w:gridSpan w:val="2"/>
                  <w:noWrap w:val="0"/>
                  <w:vAlign w:val="center"/>
                </w:tcPr>
                <w:p w14:paraId="6FB94A14">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坐标</w:t>
                  </w:r>
                </w:p>
              </w:tc>
              <w:tc>
                <w:tcPr>
                  <w:tcW w:w="455" w:type="dxa"/>
                  <w:vMerge w:val="restart"/>
                  <w:noWrap w:val="0"/>
                  <w:vAlign w:val="center"/>
                </w:tcPr>
                <w:p w14:paraId="3BA4DF8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textAlignment w:val="auto"/>
                    <w:rPr>
                      <w:color w:val="auto"/>
                      <w:szCs w:val="21"/>
                    </w:rPr>
                  </w:pPr>
                  <w:r>
                    <w:rPr>
                      <w:color w:val="auto"/>
                      <w:szCs w:val="21"/>
                    </w:rPr>
                    <w:t>保护对象</w:t>
                  </w:r>
                </w:p>
              </w:tc>
              <w:tc>
                <w:tcPr>
                  <w:tcW w:w="764" w:type="dxa"/>
                  <w:vMerge w:val="restart"/>
                  <w:noWrap w:val="0"/>
                  <w:vAlign w:val="center"/>
                </w:tcPr>
                <w:p w14:paraId="70440FE1">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相对本项目方位</w:t>
                  </w:r>
                </w:p>
              </w:tc>
              <w:tc>
                <w:tcPr>
                  <w:tcW w:w="820" w:type="dxa"/>
                  <w:vMerge w:val="restart"/>
                  <w:noWrap w:val="0"/>
                  <w:vAlign w:val="center"/>
                </w:tcPr>
                <w:p w14:paraId="6A2B93C1">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人口（人）</w:t>
                  </w:r>
                </w:p>
              </w:tc>
              <w:tc>
                <w:tcPr>
                  <w:tcW w:w="945" w:type="dxa"/>
                  <w:vMerge w:val="restart"/>
                  <w:noWrap w:val="0"/>
                  <w:vAlign w:val="center"/>
                </w:tcPr>
                <w:p w14:paraId="66457026">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相对厂址距离（m）</w:t>
                  </w:r>
                </w:p>
              </w:tc>
              <w:tc>
                <w:tcPr>
                  <w:tcW w:w="1740" w:type="dxa"/>
                  <w:vMerge w:val="restart"/>
                  <w:noWrap w:val="0"/>
                  <w:vAlign w:val="center"/>
                </w:tcPr>
                <w:p w14:paraId="09FACF4E">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保护级别</w:t>
                  </w:r>
                </w:p>
              </w:tc>
            </w:tr>
            <w:tr w14:paraId="7499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0" w:type="dxa"/>
                  <w:vMerge w:val="continue"/>
                  <w:noWrap w:val="0"/>
                  <w:vAlign w:val="center"/>
                </w:tcPr>
                <w:p w14:paraId="5C2A3266">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764" w:type="dxa"/>
                  <w:vMerge w:val="continue"/>
                  <w:noWrap w:val="0"/>
                  <w:vAlign w:val="center"/>
                </w:tcPr>
                <w:p w14:paraId="211DBC2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1540" w:type="dxa"/>
                  <w:noWrap w:val="0"/>
                  <w:vAlign w:val="center"/>
                </w:tcPr>
                <w:p w14:paraId="55840FEC">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东经</w:t>
                  </w:r>
                </w:p>
              </w:tc>
              <w:tc>
                <w:tcPr>
                  <w:tcW w:w="1325" w:type="dxa"/>
                  <w:noWrap w:val="0"/>
                  <w:vAlign w:val="center"/>
                </w:tcPr>
                <w:p w14:paraId="6BBEEE2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r>
                    <w:rPr>
                      <w:color w:val="auto"/>
                      <w:szCs w:val="21"/>
                    </w:rPr>
                    <w:t>北纬</w:t>
                  </w:r>
                </w:p>
              </w:tc>
              <w:tc>
                <w:tcPr>
                  <w:tcW w:w="455" w:type="dxa"/>
                  <w:vMerge w:val="continue"/>
                  <w:noWrap w:val="0"/>
                  <w:vAlign w:val="center"/>
                </w:tcPr>
                <w:p w14:paraId="1D5AD5CC">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764" w:type="dxa"/>
                  <w:vMerge w:val="continue"/>
                  <w:noWrap w:val="0"/>
                  <w:vAlign w:val="center"/>
                </w:tcPr>
                <w:p w14:paraId="40827D52">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820" w:type="dxa"/>
                  <w:vMerge w:val="continue"/>
                  <w:noWrap w:val="0"/>
                  <w:vAlign w:val="center"/>
                </w:tcPr>
                <w:p w14:paraId="78127B9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945" w:type="dxa"/>
                  <w:vMerge w:val="continue"/>
                  <w:noWrap w:val="0"/>
                  <w:vAlign w:val="center"/>
                </w:tcPr>
                <w:p w14:paraId="2BBC6780">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c>
                <w:tcPr>
                  <w:tcW w:w="1740" w:type="dxa"/>
                  <w:vMerge w:val="continue"/>
                  <w:noWrap w:val="0"/>
                  <w:vAlign w:val="center"/>
                </w:tcPr>
                <w:p w14:paraId="696AE5D5">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Cs w:val="21"/>
                    </w:rPr>
                  </w:pPr>
                </w:p>
              </w:tc>
            </w:tr>
            <w:tr w14:paraId="584B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70" w:type="dxa"/>
                  <w:vMerge w:val="restart"/>
                  <w:noWrap w:val="0"/>
                  <w:vAlign w:val="center"/>
                </w:tcPr>
                <w:p w14:paraId="3B35F305">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szCs w:val="21"/>
                    </w:rPr>
                  </w:pPr>
                  <w:r>
                    <w:rPr>
                      <w:color w:val="auto"/>
                      <w:szCs w:val="21"/>
                    </w:rPr>
                    <w:t>大气环境</w:t>
                  </w:r>
                </w:p>
              </w:tc>
              <w:tc>
                <w:tcPr>
                  <w:tcW w:w="764" w:type="dxa"/>
                  <w:noWrap w:val="0"/>
                  <w:vAlign w:val="center"/>
                </w:tcPr>
                <w:p w14:paraId="2E354D84">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北城社区19组</w:t>
                  </w:r>
                </w:p>
              </w:tc>
              <w:tc>
                <w:tcPr>
                  <w:tcW w:w="1540" w:type="dxa"/>
                  <w:noWrap w:val="0"/>
                  <w:vAlign w:val="center"/>
                </w:tcPr>
                <w:p w14:paraId="6211585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102.554551311</w:t>
                  </w:r>
                </w:p>
              </w:tc>
              <w:tc>
                <w:tcPr>
                  <w:tcW w:w="1325" w:type="dxa"/>
                  <w:noWrap w:val="0"/>
                  <w:vAlign w:val="center"/>
                </w:tcPr>
                <w:p w14:paraId="54864C72">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24.456622640</w:t>
                  </w:r>
                </w:p>
              </w:tc>
              <w:tc>
                <w:tcPr>
                  <w:tcW w:w="455" w:type="dxa"/>
                  <w:noWrap w:val="0"/>
                  <w:vAlign w:val="center"/>
                </w:tcPr>
                <w:p w14:paraId="685454F8">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居民区</w:t>
                  </w:r>
                </w:p>
              </w:tc>
              <w:tc>
                <w:tcPr>
                  <w:tcW w:w="764" w:type="dxa"/>
                  <w:noWrap w:val="0"/>
                  <w:vAlign w:val="center"/>
                </w:tcPr>
                <w:p w14:paraId="519562E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北</w:t>
                  </w:r>
                  <w:r>
                    <w:rPr>
                      <w:rFonts w:hint="eastAsia" w:ascii="宋体" w:hAnsi="宋体" w:eastAsia="宋体" w:cs="宋体"/>
                      <w:color w:val="auto"/>
                      <w:sz w:val="21"/>
                      <w:szCs w:val="21"/>
                    </w:rPr>
                    <w:t>面</w:t>
                  </w:r>
                </w:p>
              </w:tc>
              <w:tc>
                <w:tcPr>
                  <w:tcW w:w="820" w:type="dxa"/>
                  <w:noWrap w:val="0"/>
                  <w:vAlign w:val="center"/>
                </w:tcPr>
                <w:p w14:paraId="6B49CF86">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约</w:t>
                  </w:r>
                  <w:r>
                    <w:rPr>
                      <w:rFonts w:hint="eastAsia" w:ascii="宋体" w:hAnsi="宋体" w:cs="宋体"/>
                      <w:color w:val="auto"/>
                      <w:sz w:val="21"/>
                      <w:szCs w:val="21"/>
                      <w:lang w:val="en-US" w:eastAsia="zh-CN"/>
                    </w:rPr>
                    <w:t>32</w:t>
                  </w:r>
                  <w:r>
                    <w:rPr>
                      <w:rFonts w:hint="eastAsia" w:ascii="宋体" w:hAnsi="宋体" w:eastAsia="宋体" w:cs="宋体"/>
                      <w:color w:val="auto"/>
                      <w:sz w:val="21"/>
                      <w:szCs w:val="21"/>
                      <w:lang w:val="en-US" w:eastAsia="zh-CN"/>
                    </w:rPr>
                    <w:t>0</w:t>
                  </w:r>
                </w:p>
              </w:tc>
              <w:tc>
                <w:tcPr>
                  <w:tcW w:w="945" w:type="dxa"/>
                  <w:noWrap w:val="0"/>
                  <w:vAlign w:val="center"/>
                </w:tcPr>
                <w:p w14:paraId="7F8FFD03">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234</w:t>
                  </w:r>
                </w:p>
              </w:tc>
              <w:tc>
                <w:tcPr>
                  <w:tcW w:w="1740" w:type="dxa"/>
                  <w:vMerge w:val="restart"/>
                  <w:noWrap w:val="0"/>
                  <w:vAlign w:val="center"/>
                </w:tcPr>
                <w:p w14:paraId="49ACEDD9">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《环境空气质量标准》</w:t>
                  </w:r>
                  <w:r>
                    <w:rPr>
                      <w:rFonts w:hint="eastAsia" w:ascii="宋体" w:hAnsi="宋体" w:cs="宋体"/>
                      <w:color w:val="auto"/>
                      <w:sz w:val="21"/>
                      <w:szCs w:val="21"/>
                      <w:lang w:eastAsia="zh-CN"/>
                    </w:rPr>
                    <w:t>（</w:t>
                  </w:r>
                  <w:r>
                    <w:rPr>
                      <w:rFonts w:hint="eastAsia" w:ascii="宋体" w:hAnsi="宋体" w:eastAsia="宋体" w:cs="宋体"/>
                      <w:color w:val="auto"/>
                      <w:sz w:val="21"/>
                      <w:szCs w:val="21"/>
                    </w:rPr>
                    <w:t>GB3095-2012</w:t>
                  </w:r>
                  <w:r>
                    <w:rPr>
                      <w:rFonts w:hint="eastAsia" w:ascii="宋体" w:hAnsi="宋体" w:cs="宋体"/>
                      <w:color w:val="auto"/>
                      <w:sz w:val="21"/>
                      <w:szCs w:val="21"/>
                      <w:lang w:eastAsia="zh-CN"/>
                    </w:rPr>
                    <w:t>）</w:t>
                  </w:r>
                  <w:r>
                    <w:rPr>
                      <w:rFonts w:hint="eastAsia" w:ascii="宋体" w:hAnsi="宋体" w:eastAsia="宋体" w:cs="宋体"/>
                      <w:color w:val="auto"/>
                      <w:sz w:val="21"/>
                      <w:szCs w:val="21"/>
                    </w:rPr>
                    <w:t>二级标准</w:t>
                  </w:r>
                </w:p>
              </w:tc>
            </w:tr>
            <w:tr w14:paraId="0462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70" w:type="dxa"/>
                  <w:vMerge w:val="continue"/>
                  <w:noWrap w:val="0"/>
                  <w:vAlign w:val="center"/>
                </w:tcPr>
                <w:p w14:paraId="2C81634C">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szCs w:val="21"/>
                    </w:rPr>
                  </w:pPr>
                </w:p>
              </w:tc>
              <w:tc>
                <w:tcPr>
                  <w:tcW w:w="764" w:type="dxa"/>
                  <w:noWrap w:val="0"/>
                  <w:vAlign w:val="center"/>
                </w:tcPr>
                <w:p w14:paraId="7BCA53CC">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康泰医院</w:t>
                  </w:r>
                </w:p>
              </w:tc>
              <w:tc>
                <w:tcPr>
                  <w:tcW w:w="1540" w:type="dxa"/>
                  <w:noWrap w:val="0"/>
                  <w:vAlign w:val="center"/>
                </w:tcPr>
                <w:p w14:paraId="0679F3E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102.548327333</w:t>
                  </w:r>
                </w:p>
              </w:tc>
              <w:tc>
                <w:tcPr>
                  <w:tcW w:w="1325" w:type="dxa"/>
                  <w:noWrap w:val="0"/>
                  <w:vAlign w:val="center"/>
                </w:tcPr>
                <w:p w14:paraId="17CC7D85">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24.425293493</w:t>
                  </w:r>
                </w:p>
              </w:tc>
              <w:tc>
                <w:tcPr>
                  <w:tcW w:w="455" w:type="dxa"/>
                  <w:noWrap w:val="0"/>
                  <w:vAlign w:val="center"/>
                </w:tcPr>
                <w:p w14:paraId="37FD1D0E">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医院</w:t>
                  </w:r>
                </w:p>
              </w:tc>
              <w:tc>
                <w:tcPr>
                  <w:tcW w:w="764" w:type="dxa"/>
                  <w:noWrap w:val="0"/>
                  <w:vAlign w:val="center"/>
                </w:tcPr>
                <w:p w14:paraId="69722FFA">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西北</w:t>
                  </w:r>
                </w:p>
              </w:tc>
              <w:tc>
                <w:tcPr>
                  <w:tcW w:w="820" w:type="dxa"/>
                  <w:noWrap w:val="0"/>
                  <w:vAlign w:val="center"/>
                </w:tcPr>
                <w:p w14:paraId="3BEE1539">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约52</w:t>
                  </w:r>
                </w:p>
              </w:tc>
              <w:tc>
                <w:tcPr>
                  <w:tcW w:w="945" w:type="dxa"/>
                  <w:noWrap w:val="0"/>
                  <w:vAlign w:val="center"/>
                </w:tcPr>
                <w:p w14:paraId="7E2E17E7">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309</w:t>
                  </w:r>
                </w:p>
              </w:tc>
              <w:tc>
                <w:tcPr>
                  <w:tcW w:w="1740" w:type="dxa"/>
                  <w:vMerge w:val="continue"/>
                  <w:noWrap w:val="0"/>
                  <w:vAlign w:val="center"/>
                </w:tcPr>
                <w:p w14:paraId="740828D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p>
              </w:tc>
            </w:tr>
            <w:tr w14:paraId="66BD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370" w:type="dxa"/>
                  <w:vMerge w:val="restart"/>
                  <w:noWrap w:val="0"/>
                  <w:vAlign w:val="center"/>
                </w:tcPr>
                <w:p w14:paraId="0B1BE3C2">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szCs w:val="21"/>
                    </w:rPr>
                  </w:pPr>
                  <w:r>
                    <w:rPr>
                      <w:color w:val="auto"/>
                      <w:szCs w:val="21"/>
                    </w:rPr>
                    <w:t>地表水环境</w:t>
                  </w:r>
                </w:p>
              </w:tc>
              <w:tc>
                <w:tcPr>
                  <w:tcW w:w="764" w:type="dxa"/>
                  <w:noWrap w:val="0"/>
                  <w:vAlign w:val="center"/>
                </w:tcPr>
                <w:p w14:paraId="2F45DA5E">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红旗河</w:t>
                  </w:r>
                </w:p>
              </w:tc>
              <w:tc>
                <w:tcPr>
                  <w:tcW w:w="1540" w:type="dxa"/>
                  <w:noWrap w:val="0"/>
                  <w:vAlign w:val="center"/>
                </w:tcPr>
                <w:p w14:paraId="3A5DBDEB">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25" w:type="dxa"/>
                  <w:noWrap w:val="0"/>
                  <w:vAlign w:val="center"/>
                </w:tcPr>
                <w:p w14:paraId="2CD77A18">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55" w:type="dxa"/>
                  <w:noWrap w:val="0"/>
                  <w:vAlign w:val="center"/>
                </w:tcPr>
                <w:p w14:paraId="61639238">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河流</w:t>
                  </w:r>
                </w:p>
              </w:tc>
              <w:tc>
                <w:tcPr>
                  <w:tcW w:w="764" w:type="dxa"/>
                  <w:noWrap w:val="0"/>
                  <w:vAlign w:val="center"/>
                </w:tcPr>
                <w:p w14:paraId="78CC924E">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东</w:t>
                  </w:r>
                  <w:r>
                    <w:rPr>
                      <w:rFonts w:hint="eastAsia" w:ascii="宋体" w:hAnsi="宋体" w:eastAsia="宋体" w:cs="宋体"/>
                      <w:color w:val="auto"/>
                      <w:sz w:val="21"/>
                      <w:szCs w:val="21"/>
                    </w:rPr>
                    <w:t>面</w:t>
                  </w:r>
                </w:p>
              </w:tc>
              <w:tc>
                <w:tcPr>
                  <w:tcW w:w="820" w:type="dxa"/>
                  <w:noWrap w:val="0"/>
                  <w:vAlign w:val="center"/>
                </w:tcPr>
                <w:p w14:paraId="424606F7">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45" w:type="dxa"/>
                  <w:noWrap w:val="0"/>
                  <w:vAlign w:val="center"/>
                </w:tcPr>
                <w:p w14:paraId="197AD136">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1114</w:t>
                  </w:r>
                </w:p>
              </w:tc>
              <w:tc>
                <w:tcPr>
                  <w:tcW w:w="1740" w:type="dxa"/>
                  <w:noWrap w:val="0"/>
                  <w:vAlign w:val="center"/>
                </w:tcPr>
                <w:p w14:paraId="6E53A02F">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《地表水环境质量标准》（GB3838-2002）Ⅲ类标准</w:t>
                  </w:r>
                </w:p>
              </w:tc>
            </w:tr>
            <w:tr w14:paraId="464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370" w:type="dxa"/>
                  <w:vMerge w:val="continue"/>
                  <w:noWrap w:val="0"/>
                  <w:vAlign w:val="center"/>
                </w:tcPr>
                <w:p w14:paraId="5302C427">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szCs w:val="21"/>
                    </w:rPr>
                  </w:pPr>
                </w:p>
              </w:tc>
              <w:tc>
                <w:tcPr>
                  <w:tcW w:w="764" w:type="dxa"/>
                  <w:noWrap w:val="0"/>
                  <w:vAlign w:val="center"/>
                </w:tcPr>
                <w:p w14:paraId="7A28426F">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玉溪</w:t>
                  </w:r>
                  <w:r>
                    <w:rPr>
                      <w:rFonts w:hint="eastAsia" w:ascii="宋体" w:hAnsi="宋体" w:eastAsia="宋体" w:cs="宋体"/>
                      <w:color w:val="auto"/>
                      <w:sz w:val="21"/>
                      <w:szCs w:val="21"/>
                    </w:rPr>
                    <w:t>大河</w:t>
                  </w:r>
                </w:p>
              </w:tc>
              <w:tc>
                <w:tcPr>
                  <w:tcW w:w="1540" w:type="dxa"/>
                  <w:noWrap w:val="0"/>
                  <w:vAlign w:val="center"/>
                </w:tcPr>
                <w:p w14:paraId="3AD83F78">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325" w:type="dxa"/>
                  <w:noWrap w:val="0"/>
                  <w:vAlign w:val="center"/>
                </w:tcPr>
                <w:p w14:paraId="0A5D8649">
                  <w:pPr>
                    <w:pStyle w:val="67"/>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55" w:type="dxa"/>
                  <w:noWrap w:val="0"/>
                  <w:vAlign w:val="center"/>
                </w:tcPr>
                <w:p w14:paraId="65FF125D">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河流</w:t>
                  </w:r>
                </w:p>
              </w:tc>
              <w:tc>
                <w:tcPr>
                  <w:tcW w:w="764" w:type="dxa"/>
                  <w:noWrap w:val="0"/>
                  <w:vAlign w:val="center"/>
                </w:tcPr>
                <w:p w14:paraId="1FE2C16F">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南</w:t>
                  </w:r>
                </w:p>
              </w:tc>
              <w:tc>
                <w:tcPr>
                  <w:tcW w:w="820" w:type="dxa"/>
                  <w:noWrap w:val="0"/>
                  <w:vAlign w:val="center"/>
                </w:tcPr>
                <w:p w14:paraId="4133CA0E">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45" w:type="dxa"/>
                  <w:noWrap w:val="0"/>
                  <w:vAlign w:val="center"/>
                </w:tcPr>
                <w:p w14:paraId="2CF4841C">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5799</w:t>
                  </w:r>
                </w:p>
              </w:tc>
              <w:tc>
                <w:tcPr>
                  <w:tcW w:w="1740" w:type="dxa"/>
                  <w:noWrap w:val="0"/>
                  <w:vAlign w:val="center"/>
                </w:tcPr>
                <w:p w14:paraId="02D54141">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《地表水环境质量标准》（GB3838-2002）Ⅲ类标准</w:t>
                  </w:r>
                </w:p>
              </w:tc>
            </w:tr>
          </w:tbl>
          <w:p w14:paraId="2D8BA2EB">
            <w:pPr>
              <w:pStyle w:val="6"/>
              <w:spacing w:line="360" w:lineRule="auto"/>
              <w:ind w:left="0"/>
              <w:rPr>
                <w:rFonts w:ascii="Times New Roman" w:hAnsi="Times New Roman" w:cs="Times New Roman"/>
                <w:color w:val="auto"/>
                <w:highlight w:val="none"/>
                <w:lang w:val="en-US"/>
              </w:rPr>
            </w:pPr>
          </w:p>
        </w:tc>
      </w:tr>
      <w:tr w14:paraId="5B444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456" w:type="dxa"/>
            <w:tcMar>
              <w:left w:w="28" w:type="dxa"/>
              <w:right w:w="28" w:type="dxa"/>
            </w:tcMar>
            <w:vAlign w:val="center"/>
          </w:tcPr>
          <w:p w14:paraId="1CF3D560">
            <w:pPr>
              <w:adjustRightInd w:val="0"/>
              <w:snapToGrid w:val="0"/>
              <w:jc w:val="center"/>
              <w:rPr>
                <w:color w:val="auto"/>
                <w:kern w:val="0"/>
                <w:sz w:val="24"/>
                <w:highlight w:val="none"/>
              </w:rPr>
            </w:pPr>
            <w:r>
              <w:rPr>
                <w:color w:val="auto"/>
                <w:kern w:val="0"/>
                <w:sz w:val="24"/>
                <w:highlight w:val="none"/>
              </w:rPr>
              <w:t>污染</w:t>
            </w:r>
          </w:p>
          <w:p w14:paraId="132732F5">
            <w:pPr>
              <w:adjustRightInd w:val="0"/>
              <w:snapToGrid w:val="0"/>
              <w:jc w:val="center"/>
              <w:rPr>
                <w:color w:val="auto"/>
                <w:kern w:val="0"/>
                <w:sz w:val="24"/>
                <w:highlight w:val="none"/>
              </w:rPr>
            </w:pPr>
            <w:r>
              <w:rPr>
                <w:color w:val="auto"/>
                <w:kern w:val="0"/>
                <w:sz w:val="24"/>
                <w:highlight w:val="none"/>
              </w:rPr>
              <w:t>物排</w:t>
            </w:r>
          </w:p>
          <w:p w14:paraId="1EFFAE98">
            <w:pPr>
              <w:adjustRightInd w:val="0"/>
              <w:snapToGrid w:val="0"/>
              <w:jc w:val="center"/>
              <w:rPr>
                <w:color w:val="auto"/>
                <w:kern w:val="0"/>
                <w:sz w:val="24"/>
                <w:highlight w:val="none"/>
              </w:rPr>
            </w:pPr>
            <w:r>
              <w:rPr>
                <w:color w:val="auto"/>
                <w:kern w:val="0"/>
                <w:sz w:val="24"/>
                <w:highlight w:val="none"/>
              </w:rPr>
              <w:t>放控</w:t>
            </w:r>
          </w:p>
          <w:p w14:paraId="37EA07A4">
            <w:pPr>
              <w:adjustRightInd w:val="0"/>
              <w:snapToGrid w:val="0"/>
              <w:jc w:val="center"/>
              <w:rPr>
                <w:color w:val="auto"/>
                <w:kern w:val="0"/>
                <w:sz w:val="24"/>
                <w:highlight w:val="none"/>
              </w:rPr>
            </w:pPr>
            <w:r>
              <w:rPr>
                <w:color w:val="auto"/>
                <w:kern w:val="0"/>
                <w:sz w:val="24"/>
                <w:highlight w:val="none"/>
              </w:rPr>
              <w:t>制标</w:t>
            </w:r>
          </w:p>
          <w:p w14:paraId="328B6A2C">
            <w:pPr>
              <w:adjustRightInd w:val="0"/>
              <w:snapToGrid w:val="0"/>
              <w:jc w:val="center"/>
              <w:rPr>
                <w:color w:val="auto"/>
                <w:kern w:val="0"/>
                <w:sz w:val="24"/>
                <w:highlight w:val="none"/>
              </w:rPr>
            </w:pPr>
            <w:r>
              <w:rPr>
                <w:color w:val="auto"/>
                <w:kern w:val="0"/>
                <w:sz w:val="24"/>
                <w:highlight w:val="none"/>
              </w:rPr>
              <w:t>准</w:t>
            </w:r>
          </w:p>
        </w:tc>
        <w:tc>
          <w:tcPr>
            <w:tcW w:w="8943" w:type="dxa"/>
          </w:tcPr>
          <w:p w14:paraId="1B800C47">
            <w:pPr>
              <w:adjustRightInd w:val="0"/>
              <w:snapToGrid w:val="0"/>
              <w:spacing w:line="360" w:lineRule="auto"/>
              <w:ind w:firstLine="482" w:firstLineChars="200"/>
              <w:rPr>
                <w:b/>
                <w:bCs/>
                <w:color w:val="auto"/>
                <w:sz w:val="24"/>
                <w:highlight w:val="none"/>
              </w:rPr>
            </w:pPr>
            <w:r>
              <w:rPr>
                <w:b/>
                <w:color w:val="auto"/>
                <w:sz w:val="24"/>
                <w:highlight w:val="none"/>
              </w:rPr>
              <w:t>一、污染物排放控制标准</w:t>
            </w:r>
          </w:p>
          <w:p w14:paraId="0A7EECD1">
            <w:pPr>
              <w:adjustRightInd w:val="0"/>
              <w:snapToGrid w:val="0"/>
              <w:spacing w:line="360" w:lineRule="auto"/>
              <w:ind w:firstLine="482" w:firstLineChars="200"/>
              <w:rPr>
                <w:b/>
                <w:bCs/>
                <w:color w:val="auto"/>
                <w:sz w:val="24"/>
                <w:highlight w:val="none"/>
              </w:rPr>
            </w:pPr>
            <w:r>
              <w:rPr>
                <w:b/>
                <w:bCs/>
                <w:color w:val="auto"/>
                <w:sz w:val="24"/>
                <w:highlight w:val="none"/>
              </w:rPr>
              <w:t>1、大气污染物排放标准</w:t>
            </w:r>
          </w:p>
          <w:p w14:paraId="4E916AFC">
            <w:pPr>
              <w:adjustRightInd w:val="0"/>
              <w:snapToGrid w:val="0"/>
              <w:spacing w:line="360" w:lineRule="auto"/>
              <w:ind w:firstLine="480" w:firstLineChars="200"/>
              <w:rPr>
                <w:color w:val="auto"/>
                <w:kern w:val="24"/>
                <w:sz w:val="24"/>
              </w:rPr>
            </w:pPr>
            <w:r>
              <w:rPr>
                <w:rFonts w:hint="eastAsia" w:ascii="宋体" w:hAnsi="宋体" w:eastAsia="宋体" w:cs="宋体"/>
                <w:color w:val="auto"/>
                <w:sz w:val="24"/>
                <w:lang w:eastAsia="zh-CN"/>
              </w:rPr>
              <w:t>生</w:t>
            </w:r>
            <w:r>
              <w:rPr>
                <w:rFonts w:hint="eastAsia" w:ascii="宋体" w:hAnsi="宋体" w:eastAsia="宋体" w:cs="宋体"/>
                <w:color w:val="auto"/>
                <w:sz w:val="24"/>
              </w:rPr>
              <w:t>物质</w:t>
            </w:r>
            <w:r>
              <w:rPr>
                <w:rFonts w:hint="eastAsia" w:ascii="宋体" w:hAnsi="宋体" w:cs="宋体"/>
                <w:color w:val="auto"/>
                <w:sz w:val="24"/>
                <w:lang w:eastAsia="zh-CN"/>
              </w:rPr>
              <w:t>蒸汽发生器</w:t>
            </w:r>
            <w:r>
              <w:rPr>
                <w:rFonts w:hint="eastAsia" w:ascii="宋体" w:hAnsi="宋体" w:eastAsia="宋体" w:cs="宋体"/>
                <w:color w:val="auto"/>
                <w:sz w:val="24"/>
              </w:rPr>
              <w:t>排放的颗粒物、SO</w:t>
            </w:r>
            <w:r>
              <w:rPr>
                <w:rFonts w:hint="eastAsia" w:ascii="宋体" w:hAnsi="宋体" w:eastAsia="宋体" w:cs="宋体"/>
                <w:color w:val="auto"/>
                <w:sz w:val="24"/>
                <w:vertAlign w:val="subscript"/>
                <w:lang w:val="en-US" w:eastAsia="zh-CN"/>
              </w:rPr>
              <w:t>2</w:t>
            </w:r>
            <w:r>
              <w:rPr>
                <w:rFonts w:hint="eastAsia" w:ascii="宋体" w:hAnsi="宋体" w:eastAsia="宋体" w:cs="宋体"/>
                <w:color w:val="auto"/>
                <w:sz w:val="24"/>
              </w:rPr>
              <w:t>、NOx参照执行《</w:t>
            </w:r>
            <w:r>
              <w:rPr>
                <w:rFonts w:hint="eastAsia" w:ascii="宋体" w:hAnsi="宋体" w:cs="宋体"/>
                <w:color w:val="auto"/>
                <w:sz w:val="24"/>
                <w:lang w:eastAsia="zh-CN"/>
              </w:rPr>
              <w:t>锅炉大气污染物排放标准</w:t>
            </w:r>
            <w:r>
              <w:rPr>
                <w:rFonts w:hint="eastAsia" w:ascii="宋体" w:hAnsi="宋体" w:eastAsia="宋体" w:cs="宋体"/>
                <w:color w:val="auto"/>
                <w:sz w:val="24"/>
              </w:rPr>
              <w:t>》（GB13271-2014）中新建</w:t>
            </w:r>
            <w:r>
              <w:rPr>
                <w:rFonts w:hint="eastAsia" w:ascii="宋体" w:hAnsi="宋体" w:cs="宋体"/>
                <w:color w:val="auto"/>
                <w:sz w:val="24"/>
                <w:lang w:eastAsia="zh-CN"/>
              </w:rPr>
              <w:t>燃煤锅炉</w:t>
            </w:r>
            <w:r>
              <w:rPr>
                <w:rFonts w:hint="eastAsia" w:ascii="宋体" w:hAnsi="宋体" w:eastAsia="宋体" w:cs="宋体"/>
                <w:color w:val="auto"/>
                <w:sz w:val="24"/>
              </w:rPr>
              <w:t>大气污染物排放限值，详见表</w:t>
            </w:r>
            <w:r>
              <w:rPr>
                <w:rFonts w:hint="eastAsia" w:ascii="宋体" w:hAnsi="宋体" w:cs="宋体"/>
                <w:color w:val="auto"/>
                <w:sz w:val="24"/>
                <w:lang w:val="en-US" w:eastAsia="zh-CN"/>
              </w:rPr>
              <w:t>3-9</w:t>
            </w:r>
            <w:r>
              <w:rPr>
                <w:rFonts w:hint="eastAsia" w:ascii="宋体" w:hAnsi="宋体" w:eastAsia="宋体" w:cs="宋体"/>
                <w:color w:val="auto"/>
                <w:sz w:val="24"/>
              </w:rPr>
              <w:t>。</w:t>
            </w:r>
            <w:r>
              <w:rPr>
                <w:rFonts w:hint="eastAsia"/>
                <w:color w:val="auto"/>
                <w:kern w:val="24"/>
                <w:sz w:val="24"/>
              </w:rPr>
              <w:t>厂界</w:t>
            </w:r>
            <w:r>
              <w:rPr>
                <w:color w:val="auto"/>
                <w:kern w:val="24"/>
                <w:sz w:val="24"/>
              </w:rPr>
              <w:t>无组织废气中的颗粒物执行《大气污染物综合排放标准》（GB16297-1996）中表2无组织排放监控浓度限值</w:t>
            </w:r>
            <w:r>
              <w:rPr>
                <w:rFonts w:hint="eastAsia" w:ascii="宋体" w:hAnsi="宋体" w:eastAsia="宋体" w:cs="宋体"/>
                <w:color w:val="auto"/>
                <w:sz w:val="24"/>
              </w:rPr>
              <w:t>，详见表</w:t>
            </w:r>
            <w:r>
              <w:rPr>
                <w:rFonts w:hint="eastAsia" w:ascii="宋体" w:hAnsi="宋体" w:cs="宋体"/>
                <w:color w:val="auto"/>
                <w:sz w:val="24"/>
                <w:lang w:val="en-US" w:eastAsia="zh-CN"/>
              </w:rPr>
              <w:t>3-10</w:t>
            </w:r>
            <w:r>
              <w:rPr>
                <w:color w:val="auto"/>
                <w:kern w:val="24"/>
                <w:sz w:val="24"/>
              </w:rPr>
              <w:t>。</w:t>
            </w:r>
          </w:p>
          <w:p w14:paraId="5FD0BD04">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表</w:t>
            </w:r>
            <w:r>
              <w:rPr>
                <w:rFonts w:hint="eastAsia" w:ascii="宋体" w:hAnsi="宋体" w:cs="宋体"/>
                <w:b/>
                <w:color w:val="auto"/>
                <w:sz w:val="24"/>
                <w:szCs w:val="24"/>
                <w:lang w:val="en-US" w:eastAsia="zh-CN"/>
              </w:rPr>
              <w:t>3-9</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eastAsia="zh-CN"/>
              </w:rPr>
              <w:t>新建</w:t>
            </w:r>
            <w:r>
              <w:rPr>
                <w:rFonts w:hint="eastAsia" w:ascii="宋体" w:hAnsi="宋体" w:cs="宋体"/>
                <w:b/>
                <w:color w:val="auto"/>
                <w:sz w:val="24"/>
                <w:szCs w:val="24"/>
                <w:lang w:val="en-US" w:eastAsia="zh-CN"/>
              </w:rPr>
              <w:t>锅炉</w:t>
            </w:r>
            <w:r>
              <w:rPr>
                <w:rFonts w:hint="eastAsia" w:ascii="宋体" w:hAnsi="宋体" w:eastAsia="宋体" w:cs="宋体"/>
                <w:b/>
                <w:color w:val="auto"/>
                <w:sz w:val="24"/>
                <w:szCs w:val="24"/>
                <w:lang w:eastAsia="zh-CN"/>
              </w:rPr>
              <w:t>废气污染物排放标准</w:t>
            </w:r>
          </w:p>
          <w:tbl>
            <w:tblPr>
              <w:tblStyle w:val="26"/>
              <w:tblW w:w="4998" w:type="pct"/>
              <w:tblInd w:w="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45"/>
              <w:gridCol w:w="2755"/>
              <w:gridCol w:w="2904"/>
            </w:tblGrid>
            <w:tr w14:paraId="46539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4" w:hRule="atLeast"/>
              </w:trPr>
              <w:tc>
                <w:tcPr>
                  <w:tcW w:w="1749" w:type="pct"/>
                  <w:vMerge w:val="restart"/>
                  <w:tcBorders>
                    <w:tl2br w:val="nil"/>
                    <w:tr2bl w:val="nil"/>
                  </w:tcBorders>
                  <w:noWrap w:val="0"/>
                  <w:vAlign w:val="center"/>
                </w:tcPr>
                <w:p w14:paraId="59987FB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污染物</w:t>
                  </w:r>
                </w:p>
              </w:tc>
              <w:tc>
                <w:tcPr>
                  <w:tcW w:w="1582" w:type="pct"/>
                  <w:tcBorders>
                    <w:tl2br w:val="nil"/>
                    <w:tr2bl w:val="nil"/>
                  </w:tcBorders>
                  <w:noWrap w:val="0"/>
                  <w:vAlign w:val="center"/>
                </w:tcPr>
                <w:p w14:paraId="0440E75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限值（</w:t>
                  </w:r>
                  <w:r>
                    <w:rPr>
                      <w:rFonts w:hint="eastAsia" w:ascii="宋体" w:hAnsi="宋体" w:eastAsia="宋体" w:cs="宋体"/>
                      <w:b/>
                      <w:bCs/>
                      <w:color w:val="auto"/>
                      <w:spacing w:val="-12"/>
                      <w:sz w:val="21"/>
                      <w:szCs w:val="21"/>
                    </w:rPr>
                    <w:t>mg/m</w:t>
                  </w:r>
                  <w:r>
                    <w:rPr>
                      <w:rFonts w:hint="eastAsia" w:ascii="宋体" w:hAnsi="宋体" w:eastAsia="宋体" w:cs="宋体"/>
                      <w:b/>
                      <w:bCs/>
                      <w:color w:val="auto"/>
                      <w:spacing w:val="-12"/>
                      <w:sz w:val="21"/>
                      <w:szCs w:val="21"/>
                      <w:vertAlign w:val="superscript"/>
                    </w:rPr>
                    <w:t>3</w:t>
                  </w:r>
                  <w:r>
                    <w:rPr>
                      <w:rFonts w:hint="eastAsia" w:ascii="宋体" w:hAnsi="宋体" w:eastAsia="宋体" w:cs="宋体"/>
                      <w:b/>
                      <w:bCs/>
                      <w:color w:val="auto"/>
                      <w:sz w:val="21"/>
                      <w:szCs w:val="21"/>
                      <w:lang w:eastAsia="zh-CN"/>
                    </w:rPr>
                    <w:t>）</w:t>
                  </w:r>
                </w:p>
              </w:tc>
              <w:tc>
                <w:tcPr>
                  <w:tcW w:w="1668" w:type="pct"/>
                  <w:vMerge w:val="restart"/>
                  <w:tcBorders>
                    <w:tl2br w:val="nil"/>
                    <w:tr2bl w:val="nil"/>
                  </w:tcBorders>
                  <w:noWrap w:val="0"/>
                  <w:vAlign w:val="center"/>
                </w:tcPr>
                <w:p w14:paraId="1C0A61C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执行标准</w:t>
                  </w:r>
                </w:p>
              </w:tc>
            </w:tr>
            <w:tr w14:paraId="1BDDB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4" w:hRule="atLeast"/>
              </w:trPr>
              <w:tc>
                <w:tcPr>
                  <w:tcW w:w="1749" w:type="pct"/>
                  <w:vMerge w:val="continue"/>
                  <w:tcBorders>
                    <w:tl2br w:val="nil"/>
                    <w:tr2bl w:val="nil"/>
                  </w:tcBorders>
                  <w:noWrap w:val="0"/>
                  <w:vAlign w:val="center"/>
                </w:tcPr>
                <w:p w14:paraId="3A1AC6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p>
              </w:tc>
              <w:tc>
                <w:tcPr>
                  <w:tcW w:w="1582" w:type="pct"/>
                  <w:tcBorders>
                    <w:tl2br w:val="nil"/>
                    <w:tr2bl w:val="nil"/>
                  </w:tcBorders>
                  <w:noWrap w:val="0"/>
                  <w:vAlign w:val="center"/>
                </w:tcPr>
                <w:p w14:paraId="7D7BE0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燃煤锅炉</w:t>
                  </w:r>
                </w:p>
              </w:tc>
              <w:tc>
                <w:tcPr>
                  <w:tcW w:w="1668" w:type="pct"/>
                  <w:vMerge w:val="continue"/>
                  <w:tcBorders>
                    <w:tl2br w:val="nil"/>
                    <w:tr2bl w:val="nil"/>
                  </w:tcBorders>
                  <w:noWrap w:val="0"/>
                  <w:vAlign w:val="center"/>
                </w:tcPr>
                <w:p w14:paraId="1D770B3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p>
              </w:tc>
            </w:tr>
            <w:tr w14:paraId="6C969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4B00BAE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颗粒物</w:t>
                  </w:r>
                </w:p>
              </w:tc>
              <w:tc>
                <w:tcPr>
                  <w:tcW w:w="1582" w:type="pct"/>
                  <w:tcBorders>
                    <w:tl2br w:val="nil"/>
                    <w:tr2bl w:val="nil"/>
                  </w:tcBorders>
                  <w:noWrap w:val="0"/>
                  <w:vAlign w:val="center"/>
                </w:tcPr>
                <w:p w14:paraId="21A984D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668" w:type="pct"/>
                  <w:vMerge w:val="restart"/>
                  <w:tcBorders>
                    <w:tl2br w:val="nil"/>
                    <w:tr2bl w:val="nil"/>
                  </w:tcBorders>
                  <w:noWrap w:val="0"/>
                  <w:vAlign w:val="center"/>
                </w:tcPr>
                <w:p w14:paraId="1A8F5AF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eastAsia="zh-CN"/>
                    </w:rPr>
                    <w:t>锅炉大气污染物排放标准</w:t>
                  </w:r>
                  <w:r>
                    <w:rPr>
                      <w:rFonts w:hint="eastAsia" w:ascii="宋体" w:hAnsi="宋体" w:eastAsia="宋体" w:cs="宋体"/>
                      <w:color w:val="auto"/>
                      <w:sz w:val="21"/>
                      <w:szCs w:val="21"/>
                    </w:rPr>
                    <w:t>》（GB13271-2014）表</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燃煤锅炉</w:t>
                  </w:r>
                  <w:r>
                    <w:rPr>
                      <w:rFonts w:hint="eastAsia" w:ascii="宋体" w:hAnsi="宋体" w:eastAsia="宋体" w:cs="宋体"/>
                      <w:color w:val="auto"/>
                      <w:sz w:val="21"/>
                      <w:szCs w:val="21"/>
                      <w:lang w:val="en-US" w:eastAsia="zh-CN"/>
                    </w:rPr>
                    <w:t>限值</w:t>
                  </w:r>
                  <w:r>
                    <w:rPr>
                      <w:rFonts w:hint="eastAsia" w:ascii="宋体" w:hAnsi="宋体" w:eastAsia="宋体" w:cs="宋体"/>
                      <w:color w:val="auto"/>
                      <w:sz w:val="21"/>
                      <w:szCs w:val="21"/>
                    </w:rPr>
                    <w:t>标准、表</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的高度标准</w:t>
                  </w:r>
                </w:p>
              </w:tc>
            </w:tr>
            <w:tr w14:paraId="5B85A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7C9B845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SO</w:t>
                  </w:r>
                  <w:r>
                    <w:rPr>
                      <w:rFonts w:hint="eastAsia" w:ascii="宋体" w:hAnsi="宋体" w:eastAsia="宋体" w:cs="宋体"/>
                      <w:b/>
                      <w:bCs/>
                      <w:color w:val="auto"/>
                      <w:sz w:val="21"/>
                      <w:szCs w:val="21"/>
                      <w:vertAlign w:val="subscript"/>
                      <w:lang w:val="en-US" w:eastAsia="zh-CN"/>
                    </w:rPr>
                    <w:t>2</w:t>
                  </w:r>
                </w:p>
              </w:tc>
              <w:tc>
                <w:tcPr>
                  <w:tcW w:w="1582" w:type="pct"/>
                  <w:tcBorders>
                    <w:tl2br w:val="nil"/>
                    <w:tr2bl w:val="nil"/>
                  </w:tcBorders>
                  <w:noWrap w:val="0"/>
                  <w:vAlign w:val="center"/>
                </w:tcPr>
                <w:p w14:paraId="0DD2D5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1668" w:type="pct"/>
                  <w:vMerge w:val="continue"/>
                  <w:tcBorders>
                    <w:tl2br w:val="nil"/>
                    <w:tr2bl w:val="nil"/>
                  </w:tcBorders>
                  <w:noWrap w:val="0"/>
                  <w:vAlign w:val="center"/>
                </w:tcPr>
                <w:p w14:paraId="5DC34727">
                  <w:pPr>
                    <w:adjustRightInd w:val="0"/>
                    <w:snapToGrid w:val="0"/>
                    <w:spacing w:line="360" w:lineRule="auto"/>
                    <w:jc w:val="center"/>
                    <w:rPr>
                      <w:rFonts w:hint="eastAsia" w:ascii="宋体" w:hAnsi="宋体" w:eastAsia="宋体" w:cs="宋体"/>
                      <w:color w:val="auto"/>
                      <w:sz w:val="21"/>
                      <w:szCs w:val="21"/>
                    </w:rPr>
                  </w:pPr>
                </w:p>
              </w:tc>
            </w:tr>
            <w:tr w14:paraId="31CD9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67F71C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NOx</w:t>
                  </w:r>
                </w:p>
              </w:tc>
              <w:tc>
                <w:tcPr>
                  <w:tcW w:w="1582" w:type="pct"/>
                  <w:tcBorders>
                    <w:tl2br w:val="nil"/>
                    <w:tr2bl w:val="nil"/>
                  </w:tcBorders>
                  <w:noWrap w:val="0"/>
                  <w:vAlign w:val="center"/>
                </w:tcPr>
                <w:p w14:paraId="5E0EC6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300</w:t>
                  </w:r>
                </w:p>
              </w:tc>
              <w:tc>
                <w:tcPr>
                  <w:tcW w:w="1668" w:type="pct"/>
                  <w:vMerge w:val="continue"/>
                  <w:tcBorders>
                    <w:tl2br w:val="nil"/>
                    <w:tr2bl w:val="nil"/>
                  </w:tcBorders>
                  <w:noWrap w:val="0"/>
                  <w:vAlign w:val="center"/>
                </w:tcPr>
                <w:p w14:paraId="7D7EFCFA">
                  <w:pPr>
                    <w:adjustRightInd w:val="0"/>
                    <w:snapToGrid w:val="0"/>
                    <w:spacing w:line="360" w:lineRule="auto"/>
                    <w:jc w:val="center"/>
                    <w:rPr>
                      <w:rFonts w:hint="eastAsia" w:ascii="宋体" w:hAnsi="宋体" w:eastAsia="宋体" w:cs="宋体"/>
                      <w:color w:val="auto"/>
                      <w:sz w:val="21"/>
                      <w:szCs w:val="21"/>
                    </w:rPr>
                  </w:pPr>
                </w:p>
              </w:tc>
            </w:tr>
            <w:tr w14:paraId="3068BD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1AF8EF7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汞及其化合物</w:t>
                  </w:r>
                </w:p>
              </w:tc>
              <w:tc>
                <w:tcPr>
                  <w:tcW w:w="1582" w:type="pct"/>
                  <w:tcBorders>
                    <w:tl2br w:val="nil"/>
                    <w:tr2bl w:val="nil"/>
                  </w:tcBorders>
                  <w:noWrap w:val="0"/>
                  <w:vAlign w:val="center"/>
                </w:tcPr>
                <w:p w14:paraId="4ED7E5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0.05</w:t>
                  </w:r>
                </w:p>
              </w:tc>
              <w:tc>
                <w:tcPr>
                  <w:tcW w:w="1668" w:type="pct"/>
                  <w:vMerge w:val="continue"/>
                  <w:tcBorders>
                    <w:tl2br w:val="nil"/>
                    <w:tr2bl w:val="nil"/>
                  </w:tcBorders>
                  <w:noWrap w:val="0"/>
                  <w:vAlign w:val="center"/>
                </w:tcPr>
                <w:p w14:paraId="7C8BA6C0">
                  <w:pPr>
                    <w:adjustRightInd w:val="0"/>
                    <w:snapToGrid w:val="0"/>
                    <w:spacing w:line="360" w:lineRule="auto"/>
                    <w:jc w:val="center"/>
                    <w:rPr>
                      <w:rFonts w:hint="eastAsia" w:ascii="宋体" w:hAnsi="宋体" w:eastAsia="宋体" w:cs="宋体"/>
                      <w:color w:val="auto"/>
                      <w:sz w:val="21"/>
                      <w:szCs w:val="21"/>
                    </w:rPr>
                  </w:pPr>
                </w:p>
              </w:tc>
            </w:tr>
            <w:tr w14:paraId="3500C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7DDEFE7C">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lang w:val="en-US" w:eastAsia="zh-CN" w:bidi="ar"/>
                    </w:rPr>
                    <w:t xml:space="preserve">烟气黑度（林格曼黑度，级） </w:t>
                  </w:r>
                </w:p>
              </w:tc>
              <w:tc>
                <w:tcPr>
                  <w:tcW w:w="1582" w:type="pct"/>
                  <w:tcBorders>
                    <w:tl2br w:val="nil"/>
                    <w:tr2bl w:val="nil"/>
                  </w:tcBorders>
                  <w:noWrap w:val="0"/>
                  <w:vAlign w:val="center"/>
                </w:tcPr>
                <w:p w14:paraId="44286F0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668" w:type="pct"/>
                  <w:vMerge w:val="continue"/>
                  <w:tcBorders>
                    <w:tl2br w:val="nil"/>
                    <w:tr2bl w:val="nil"/>
                  </w:tcBorders>
                  <w:noWrap w:val="0"/>
                  <w:vAlign w:val="center"/>
                </w:tcPr>
                <w:p w14:paraId="38EB19E2">
                  <w:pPr>
                    <w:adjustRightInd w:val="0"/>
                    <w:snapToGrid w:val="0"/>
                    <w:spacing w:line="360" w:lineRule="auto"/>
                    <w:jc w:val="center"/>
                    <w:rPr>
                      <w:rFonts w:hint="eastAsia" w:ascii="宋体" w:hAnsi="宋体" w:eastAsia="宋体" w:cs="宋体"/>
                      <w:color w:val="auto"/>
                      <w:sz w:val="21"/>
                      <w:szCs w:val="21"/>
                    </w:rPr>
                  </w:pPr>
                </w:p>
              </w:tc>
            </w:tr>
            <w:tr w14:paraId="43FC47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 w:hRule="atLeast"/>
              </w:trPr>
              <w:tc>
                <w:tcPr>
                  <w:tcW w:w="1749" w:type="pct"/>
                  <w:tcBorders>
                    <w:tl2br w:val="nil"/>
                    <w:tr2bl w:val="nil"/>
                  </w:tcBorders>
                  <w:noWrap w:val="0"/>
                  <w:vAlign w:val="center"/>
                </w:tcPr>
                <w:p w14:paraId="709BDF36">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排气筒高度（4～＜10t/h）</w:t>
                  </w:r>
                </w:p>
              </w:tc>
              <w:tc>
                <w:tcPr>
                  <w:tcW w:w="1582" w:type="pct"/>
                  <w:tcBorders>
                    <w:tl2br w:val="nil"/>
                    <w:tr2bl w:val="nil"/>
                  </w:tcBorders>
                  <w:noWrap w:val="0"/>
                  <w:vAlign w:val="center"/>
                </w:tcPr>
                <w:p w14:paraId="4F548F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35m</w:t>
                  </w:r>
                </w:p>
              </w:tc>
              <w:tc>
                <w:tcPr>
                  <w:tcW w:w="1668" w:type="pct"/>
                  <w:vMerge w:val="continue"/>
                  <w:tcBorders>
                    <w:tl2br w:val="nil"/>
                    <w:tr2bl w:val="nil"/>
                  </w:tcBorders>
                  <w:noWrap w:val="0"/>
                  <w:vAlign w:val="center"/>
                </w:tcPr>
                <w:p w14:paraId="21F4BE0B">
                  <w:pPr>
                    <w:adjustRightInd w:val="0"/>
                    <w:snapToGrid w:val="0"/>
                    <w:spacing w:line="360" w:lineRule="auto"/>
                    <w:jc w:val="center"/>
                    <w:rPr>
                      <w:rFonts w:hint="eastAsia" w:ascii="宋体" w:hAnsi="宋体" w:eastAsia="宋体" w:cs="宋体"/>
                      <w:color w:val="auto"/>
                      <w:sz w:val="21"/>
                      <w:szCs w:val="21"/>
                    </w:rPr>
                  </w:pPr>
                </w:p>
              </w:tc>
            </w:tr>
          </w:tbl>
          <w:p w14:paraId="5B11B0B5">
            <w:pPr>
              <w:spacing w:line="360" w:lineRule="auto"/>
              <w:ind w:firstLine="480" w:firstLineChars="200"/>
              <w:rPr>
                <w:color w:val="auto"/>
                <w:sz w:val="24"/>
                <w:highlight w:val="none"/>
              </w:rPr>
            </w:pPr>
            <w:r>
              <w:rPr>
                <w:rFonts w:hint="eastAsia"/>
                <w:color w:val="auto"/>
                <w:sz w:val="24"/>
                <w:highlight w:val="none"/>
              </w:rPr>
              <w:t>根据《</w:t>
            </w:r>
            <w:r>
              <w:rPr>
                <w:rFonts w:hint="eastAsia"/>
                <w:color w:val="auto"/>
                <w:sz w:val="24"/>
                <w:highlight w:val="none"/>
                <w:lang w:eastAsia="zh-CN"/>
              </w:rPr>
              <w:t>锅炉大气污染物排放标准</w:t>
            </w:r>
            <w:r>
              <w:rPr>
                <w:rFonts w:hint="eastAsia"/>
                <w:color w:val="auto"/>
                <w:sz w:val="24"/>
                <w:highlight w:val="none"/>
              </w:rPr>
              <w:t>》（GB13271-2014）新建</w:t>
            </w:r>
            <w:r>
              <w:rPr>
                <w:rFonts w:hint="eastAsia"/>
                <w:color w:val="auto"/>
                <w:sz w:val="24"/>
                <w:highlight w:val="none"/>
                <w:lang w:eastAsia="zh-CN"/>
              </w:rPr>
              <w:t>蒸汽发生器</w:t>
            </w:r>
            <w:r>
              <w:rPr>
                <w:rFonts w:hint="eastAsia"/>
                <w:color w:val="auto"/>
                <w:sz w:val="24"/>
                <w:highlight w:val="none"/>
              </w:rPr>
              <w:t>排放口周围200m内有建筑物时，排放口高度应高于最高建筑物3m以上，根据现场调查情况，项目</w:t>
            </w:r>
            <w:r>
              <w:rPr>
                <w:rFonts w:hint="eastAsia"/>
                <w:color w:val="auto"/>
                <w:sz w:val="24"/>
                <w:highlight w:val="none"/>
                <w:lang w:eastAsia="zh-CN"/>
              </w:rPr>
              <w:t>蒸汽发生器</w:t>
            </w:r>
            <w:r>
              <w:rPr>
                <w:rFonts w:hint="eastAsia"/>
                <w:color w:val="auto"/>
                <w:sz w:val="24"/>
                <w:highlight w:val="none"/>
              </w:rPr>
              <w:t>排放口周围200m内最高建筑物为</w:t>
            </w:r>
            <w:r>
              <w:rPr>
                <w:rFonts w:hint="eastAsia"/>
                <w:color w:val="auto"/>
                <w:sz w:val="24"/>
                <w:highlight w:val="none"/>
                <w:lang w:eastAsia="zh-CN"/>
              </w:rPr>
              <w:t>钧澄</w:t>
            </w:r>
            <w:r>
              <w:rPr>
                <w:rFonts w:hint="eastAsia"/>
                <w:color w:val="auto"/>
                <w:sz w:val="24"/>
                <w:highlight w:val="none"/>
              </w:rPr>
              <w:t>标准厂房，最高建筑约</w:t>
            </w:r>
            <w:r>
              <w:rPr>
                <w:rFonts w:hint="eastAsia"/>
                <w:color w:val="auto"/>
                <w:sz w:val="24"/>
                <w:highlight w:val="none"/>
                <w:lang w:val="en-US" w:eastAsia="zh-CN"/>
              </w:rPr>
              <w:t>8</w:t>
            </w:r>
            <w:r>
              <w:rPr>
                <w:rFonts w:hint="eastAsia"/>
                <w:color w:val="auto"/>
                <w:sz w:val="24"/>
                <w:highlight w:val="none"/>
              </w:rPr>
              <w:t>m，</w:t>
            </w:r>
            <w:r>
              <w:rPr>
                <w:rFonts w:hint="eastAsia"/>
                <w:color w:val="auto"/>
                <w:sz w:val="24"/>
                <w:highlight w:val="none"/>
                <w:lang w:val="en-US" w:eastAsia="zh-CN"/>
              </w:rPr>
              <w:t>本环评要求，</w:t>
            </w:r>
            <w:r>
              <w:rPr>
                <w:rFonts w:hint="eastAsia"/>
                <w:color w:val="auto"/>
                <w:sz w:val="24"/>
                <w:highlight w:val="none"/>
              </w:rPr>
              <w:t>本项目</w:t>
            </w:r>
            <w:r>
              <w:rPr>
                <w:rFonts w:hint="eastAsia"/>
                <w:color w:val="auto"/>
                <w:sz w:val="24"/>
                <w:highlight w:val="none"/>
                <w:lang w:eastAsia="zh-CN"/>
              </w:rPr>
              <w:t>蒸汽发生器</w:t>
            </w:r>
            <w:r>
              <w:rPr>
                <w:rFonts w:hint="eastAsia"/>
                <w:color w:val="auto"/>
                <w:sz w:val="24"/>
                <w:highlight w:val="none"/>
              </w:rPr>
              <w:t>排放口（DA001）高度设置为</w:t>
            </w:r>
            <w:r>
              <w:rPr>
                <w:rFonts w:hint="eastAsia"/>
                <w:color w:val="auto"/>
                <w:sz w:val="24"/>
                <w:highlight w:val="none"/>
                <w:lang w:val="en-US" w:eastAsia="zh-CN"/>
              </w:rPr>
              <w:t>35</w:t>
            </w:r>
            <w:r>
              <w:rPr>
                <w:rFonts w:hint="eastAsia"/>
                <w:color w:val="auto"/>
                <w:sz w:val="24"/>
                <w:highlight w:val="none"/>
              </w:rPr>
              <w:t>m。</w:t>
            </w:r>
          </w:p>
          <w:p w14:paraId="47322169">
            <w:pPr>
              <w:adjustRightInd w:val="0"/>
              <w:snapToGrid w:val="0"/>
              <w:spacing w:line="360" w:lineRule="auto"/>
              <w:ind w:firstLine="482" w:firstLineChars="200"/>
              <w:jc w:val="center"/>
              <w:rPr>
                <w:b/>
                <w:bCs/>
                <w:color w:val="auto"/>
                <w:kern w:val="24"/>
                <w:sz w:val="24"/>
              </w:rPr>
            </w:pPr>
            <w:r>
              <w:rPr>
                <w:rFonts w:hint="eastAsia"/>
                <w:b/>
                <w:bCs/>
                <w:color w:val="auto"/>
                <w:kern w:val="24"/>
                <w:sz w:val="24"/>
              </w:rPr>
              <w:t>表3-1</w:t>
            </w:r>
            <w:r>
              <w:rPr>
                <w:rFonts w:hint="eastAsia"/>
                <w:b/>
                <w:bCs/>
                <w:color w:val="auto"/>
                <w:kern w:val="24"/>
                <w:sz w:val="24"/>
                <w:lang w:val="en-US" w:eastAsia="zh-CN"/>
              </w:rPr>
              <w:t>0</w:t>
            </w:r>
            <w:r>
              <w:rPr>
                <w:rFonts w:hint="eastAsia"/>
                <w:b/>
                <w:bCs/>
                <w:color w:val="auto"/>
                <w:kern w:val="24"/>
                <w:sz w:val="24"/>
              </w:rPr>
              <w:t>大气污染物综合排放标准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203"/>
              <w:gridCol w:w="4431"/>
            </w:tblGrid>
            <w:tr w14:paraId="35F4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610" w:type="dxa"/>
                  <w:noWrap w:val="0"/>
                  <w:vAlign w:val="center"/>
                </w:tcPr>
                <w:p w14:paraId="3A575C2A">
                  <w:pPr>
                    <w:adjustRightInd w:val="0"/>
                    <w:snapToGrid w:val="0"/>
                    <w:jc w:val="center"/>
                    <w:rPr>
                      <w:color w:val="auto"/>
                      <w:szCs w:val="21"/>
                    </w:rPr>
                  </w:pPr>
                  <w:r>
                    <w:rPr>
                      <w:rFonts w:hint="eastAsia"/>
                      <w:color w:val="auto"/>
                      <w:szCs w:val="21"/>
                    </w:rPr>
                    <w:t>污染物</w:t>
                  </w:r>
                </w:p>
              </w:tc>
              <w:tc>
                <w:tcPr>
                  <w:tcW w:w="2203" w:type="dxa"/>
                  <w:noWrap w:val="0"/>
                  <w:vAlign w:val="center"/>
                </w:tcPr>
                <w:p w14:paraId="3D88D0A3">
                  <w:pPr>
                    <w:adjustRightInd w:val="0"/>
                    <w:snapToGrid w:val="0"/>
                    <w:jc w:val="center"/>
                    <w:rPr>
                      <w:color w:val="auto"/>
                      <w:szCs w:val="21"/>
                    </w:rPr>
                  </w:pPr>
                  <w:r>
                    <w:rPr>
                      <w:rFonts w:hint="eastAsia"/>
                      <w:color w:val="auto"/>
                      <w:szCs w:val="21"/>
                    </w:rPr>
                    <w:t>周界外浓度最高点（mg/m³）</w:t>
                  </w:r>
                </w:p>
              </w:tc>
              <w:tc>
                <w:tcPr>
                  <w:tcW w:w="4431" w:type="dxa"/>
                  <w:noWrap w:val="0"/>
                  <w:vAlign w:val="center"/>
                </w:tcPr>
                <w:p w14:paraId="17833E84">
                  <w:pPr>
                    <w:adjustRightInd w:val="0"/>
                    <w:snapToGrid w:val="0"/>
                    <w:jc w:val="center"/>
                    <w:rPr>
                      <w:color w:val="auto"/>
                      <w:szCs w:val="21"/>
                    </w:rPr>
                  </w:pPr>
                  <w:r>
                    <w:rPr>
                      <w:rFonts w:hint="eastAsia"/>
                      <w:color w:val="auto"/>
                      <w:szCs w:val="21"/>
                    </w:rPr>
                    <w:t>标准来源</w:t>
                  </w:r>
                </w:p>
              </w:tc>
            </w:tr>
            <w:tr w14:paraId="5B50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610" w:type="dxa"/>
                  <w:noWrap w:val="0"/>
                  <w:vAlign w:val="center"/>
                </w:tcPr>
                <w:p w14:paraId="045A23C3">
                  <w:pPr>
                    <w:adjustRightInd w:val="0"/>
                    <w:snapToGrid w:val="0"/>
                    <w:jc w:val="center"/>
                    <w:rPr>
                      <w:color w:val="auto"/>
                      <w:szCs w:val="21"/>
                    </w:rPr>
                  </w:pPr>
                  <w:r>
                    <w:rPr>
                      <w:rFonts w:hint="eastAsia"/>
                      <w:color w:val="auto"/>
                      <w:szCs w:val="21"/>
                    </w:rPr>
                    <w:t>颗粒物</w:t>
                  </w:r>
                </w:p>
              </w:tc>
              <w:tc>
                <w:tcPr>
                  <w:tcW w:w="2203" w:type="dxa"/>
                  <w:noWrap w:val="0"/>
                  <w:vAlign w:val="center"/>
                </w:tcPr>
                <w:p w14:paraId="224009B9">
                  <w:pPr>
                    <w:adjustRightInd w:val="0"/>
                    <w:snapToGrid w:val="0"/>
                    <w:jc w:val="center"/>
                    <w:rPr>
                      <w:color w:val="auto"/>
                      <w:szCs w:val="21"/>
                    </w:rPr>
                  </w:pPr>
                  <w:r>
                    <w:rPr>
                      <w:rFonts w:hint="eastAsia"/>
                      <w:color w:val="auto"/>
                      <w:szCs w:val="21"/>
                    </w:rPr>
                    <w:t>1.0</w:t>
                  </w:r>
                </w:p>
              </w:tc>
              <w:tc>
                <w:tcPr>
                  <w:tcW w:w="4431" w:type="dxa"/>
                  <w:noWrap w:val="0"/>
                  <w:vAlign w:val="center"/>
                </w:tcPr>
                <w:p w14:paraId="11AB1F7A">
                  <w:pPr>
                    <w:adjustRightInd w:val="0"/>
                    <w:snapToGrid w:val="0"/>
                    <w:jc w:val="center"/>
                    <w:rPr>
                      <w:color w:val="auto"/>
                      <w:szCs w:val="21"/>
                    </w:rPr>
                  </w:pPr>
                  <w:r>
                    <w:rPr>
                      <w:rFonts w:hint="eastAsia"/>
                      <w:color w:val="auto"/>
                      <w:szCs w:val="21"/>
                    </w:rPr>
                    <w:t>《大气污染物综合排放标准》（GB16297-1996）表2无组织排放监控浓度限值标准</w:t>
                  </w:r>
                </w:p>
              </w:tc>
            </w:tr>
          </w:tbl>
          <w:p w14:paraId="0B0941B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b/>
                <w:bCs/>
                <w:color w:val="auto"/>
                <w:kern w:val="24"/>
                <w:sz w:val="24"/>
                <w:highlight w:val="none"/>
              </w:rPr>
            </w:pPr>
            <w:r>
              <w:rPr>
                <w:b/>
                <w:bCs/>
                <w:color w:val="auto"/>
                <w:kern w:val="24"/>
                <w:sz w:val="24"/>
                <w:highlight w:val="none"/>
              </w:rPr>
              <w:t>2、水污染物排放标准</w:t>
            </w:r>
          </w:p>
          <w:p w14:paraId="55A858D7">
            <w:pPr>
              <w:adjustRightInd w:val="0"/>
              <w:snapToGrid w:val="0"/>
              <w:spacing w:line="360" w:lineRule="auto"/>
              <w:ind w:firstLine="480" w:firstLineChars="200"/>
              <w:rPr>
                <w:color w:val="auto"/>
                <w:kern w:val="24"/>
                <w:sz w:val="24"/>
                <w:highlight w:val="none"/>
              </w:rPr>
            </w:pPr>
            <w:r>
              <w:rPr>
                <w:color w:val="auto"/>
                <w:kern w:val="24"/>
                <w:sz w:val="24"/>
                <w:highlight w:val="none"/>
              </w:rPr>
              <w:t>项目</w:t>
            </w:r>
            <w:r>
              <w:rPr>
                <w:rFonts w:hint="eastAsia"/>
                <w:color w:val="auto"/>
                <w:kern w:val="24"/>
                <w:sz w:val="24"/>
                <w:highlight w:val="none"/>
                <w:lang w:eastAsia="zh-CN"/>
              </w:rPr>
              <w:t>依托</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已建雨污分流系统</w:t>
            </w:r>
            <w:r>
              <w:rPr>
                <w:color w:val="auto"/>
                <w:kern w:val="24"/>
                <w:sz w:val="24"/>
                <w:highlight w:val="none"/>
              </w:rPr>
              <w:t>，雨水经雨水管道收集后排至</w:t>
            </w:r>
            <w:r>
              <w:rPr>
                <w:rFonts w:hint="eastAsia"/>
                <w:color w:val="auto"/>
                <w:kern w:val="24"/>
                <w:sz w:val="24"/>
                <w:highlight w:val="none"/>
                <w:lang w:val="en-US" w:eastAsia="zh-CN"/>
              </w:rPr>
              <w:t>钧澄</w:t>
            </w:r>
            <w:r>
              <w:rPr>
                <w:color w:val="auto"/>
                <w:kern w:val="24"/>
                <w:sz w:val="24"/>
                <w:highlight w:val="none"/>
              </w:rPr>
              <w:t>雨水管网。</w:t>
            </w:r>
            <w:r>
              <w:rPr>
                <w:rFonts w:hint="eastAsia"/>
                <w:color w:val="auto"/>
                <w:kern w:val="24"/>
                <w:sz w:val="24"/>
                <w:highlight w:val="none"/>
              </w:rPr>
              <w:t>生活污水排入</w:t>
            </w:r>
            <w:r>
              <w:rPr>
                <w:rFonts w:hint="eastAsia"/>
                <w:color w:val="auto"/>
                <w:kern w:val="24"/>
                <w:sz w:val="24"/>
                <w:highlight w:val="none"/>
                <w:lang w:val="en-US" w:eastAsia="zh-CN"/>
              </w:rPr>
              <w:t>钧澄公司</w:t>
            </w:r>
            <w:r>
              <w:rPr>
                <w:rFonts w:hint="eastAsia"/>
                <w:color w:val="auto"/>
                <w:kern w:val="24"/>
                <w:sz w:val="24"/>
                <w:highlight w:val="none"/>
              </w:rPr>
              <w:t>化粪池处理</w:t>
            </w:r>
            <w:r>
              <w:rPr>
                <w:rFonts w:hint="eastAsia"/>
                <w:color w:val="auto"/>
                <w:kern w:val="24"/>
                <w:sz w:val="24"/>
                <w:highlight w:val="none"/>
                <w:lang w:val="en-US" w:eastAsia="zh-CN"/>
              </w:rPr>
              <w:t>后综合利用</w:t>
            </w:r>
            <w:r>
              <w:rPr>
                <w:rFonts w:hint="eastAsia"/>
                <w:color w:val="auto"/>
                <w:kern w:val="24"/>
                <w:sz w:val="24"/>
                <w:highlight w:val="none"/>
              </w:rPr>
              <w:t>；</w:t>
            </w:r>
            <w:r>
              <w:rPr>
                <w:rFonts w:hint="eastAsia"/>
                <w:color w:val="auto"/>
                <w:kern w:val="24"/>
                <w:sz w:val="24"/>
                <w:highlight w:val="none"/>
                <w:lang w:eastAsia="zh-CN"/>
              </w:rPr>
              <w:t>蒸汽发生器</w:t>
            </w:r>
            <w:r>
              <w:rPr>
                <w:rFonts w:hint="eastAsia"/>
                <w:color w:val="auto"/>
                <w:kern w:val="24"/>
                <w:sz w:val="24"/>
                <w:highlight w:val="none"/>
              </w:rPr>
              <w:t>排水、离子交换树脂再生废水经絮凝沉淀后排入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后循环使用，项目废水不外排，不设置排放标准</w:t>
            </w:r>
            <w:r>
              <w:rPr>
                <w:color w:val="auto"/>
                <w:kern w:val="24"/>
                <w:sz w:val="24"/>
                <w:highlight w:val="none"/>
              </w:rPr>
              <w:t>。</w:t>
            </w:r>
          </w:p>
          <w:p w14:paraId="11648FB0">
            <w:pPr>
              <w:adjustRightInd w:val="0"/>
              <w:snapToGrid w:val="0"/>
              <w:spacing w:line="360" w:lineRule="auto"/>
              <w:ind w:firstLine="482" w:firstLineChars="200"/>
              <w:rPr>
                <w:b/>
                <w:color w:val="auto"/>
                <w:kern w:val="24"/>
                <w:sz w:val="24"/>
                <w:highlight w:val="none"/>
              </w:rPr>
            </w:pPr>
            <w:r>
              <w:rPr>
                <w:b/>
                <w:color w:val="auto"/>
                <w:kern w:val="24"/>
                <w:sz w:val="24"/>
                <w:highlight w:val="none"/>
              </w:rPr>
              <w:t>3、噪声排放标准</w:t>
            </w:r>
          </w:p>
          <w:p w14:paraId="4004B813">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lang w:val="en-US" w:eastAsia="zh-CN"/>
              </w:rPr>
              <w:t>项目运营期厂界</w:t>
            </w:r>
            <w:r>
              <w:rPr>
                <w:color w:val="auto"/>
                <w:kern w:val="24"/>
                <w:sz w:val="24"/>
                <w:highlight w:val="none"/>
              </w:rPr>
              <w:t>噪声执行《工业企业厂界环境噪声排放标准》（GB12348-2008）2类标准。具体限值详见表3-</w:t>
            </w:r>
            <w:r>
              <w:rPr>
                <w:rFonts w:hint="eastAsia"/>
                <w:color w:val="auto"/>
                <w:kern w:val="24"/>
                <w:sz w:val="24"/>
                <w:highlight w:val="none"/>
                <w:lang w:val="en-US" w:eastAsia="zh-CN"/>
              </w:rPr>
              <w:t>11</w:t>
            </w:r>
            <w:r>
              <w:rPr>
                <w:color w:val="auto"/>
                <w:kern w:val="24"/>
                <w:sz w:val="24"/>
                <w:highlight w:val="none"/>
              </w:rPr>
              <w:t>。</w:t>
            </w:r>
          </w:p>
          <w:p w14:paraId="0E54B63C">
            <w:pPr>
              <w:pStyle w:val="61"/>
              <w:snapToGrid w:val="0"/>
              <w:spacing w:line="360" w:lineRule="auto"/>
              <w:ind w:firstLine="0"/>
              <w:jc w:val="center"/>
              <w:textAlignment w:val="auto"/>
              <w:rPr>
                <w:b/>
                <w:bCs/>
                <w:color w:val="auto"/>
                <w:szCs w:val="24"/>
                <w:highlight w:val="none"/>
              </w:rPr>
            </w:pPr>
            <w:r>
              <w:rPr>
                <w:b/>
                <w:bCs/>
                <w:color w:val="auto"/>
                <w:szCs w:val="24"/>
                <w:highlight w:val="none"/>
              </w:rPr>
              <w:t>表3-1</w:t>
            </w:r>
            <w:r>
              <w:rPr>
                <w:rFonts w:hint="eastAsia"/>
                <w:b/>
                <w:bCs/>
                <w:color w:val="auto"/>
                <w:szCs w:val="24"/>
                <w:highlight w:val="none"/>
                <w:lang w:val="en-US" w:eastAsia="zh-CN"/>
              </w:rPr>
              <w:t>1</w:t>
            </w:r>
            <w:r>
              <w:rPr>
                <w:b/>
                <w:bCs/>
                <w:color w:val="auto"/>
                <w:szCs w:val="24"/>
                <w:highlight w:val="none"/>
              </w:rPr>
              <w:t xml:space="preserve"> </w:t>
            </w:r>
            <w:r>
              <w:rPr>
                <w:rFonts w:hint="eastAsia"/>
                <w:b/>
                <w:bCs/>
                <w:color w:val="auto"/>
                <w:szCs w:val="24"/>
                <w:highlight w:val="none"/>
                <w:lang w:val="en-US" w:eastAsia="zh-CN"/>
              </w:rPr>
              <w:t xml:space="preserve"> </w:t>
            </w:r>
            <w:r>
              <w:rPr>
                <w:b/>
                <w:bCs/>
                <w:color w:val="auto"/>
                <w:szCs w:val="24"/>
                <w:highlight w:val="none"/>
              </w:rPr>
              <w:t>工业企业厂界环境噪声排放标准   单位：dB(A)</w:t>
            </w:r>
          </w:p>
          <w:tbl>
            <w:tblPr>
              <w:tblStyle w:val="26"/>
              <w:tblW w:w="85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17"/>
              <w:gridCol w:w="2551"/>
              <w:gridCol w:w="2691"/>
            </w:tblGrid>
            <w:tr w14:paraId="16494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3317" w:type="dxa"/>
                  <w:tcBorders>
                    <w:tl2br w:val="nil"/>
                    <w:tr2bl w:val="nil"/>
                  </w:tcBorders>
                  <w:vAlign w:val="center"/>
                </w:tcPr>
                <w:p w14:paraId="7B0B90E6">
                  <w:pPr>
                    <w:adjustRightInd w:val="0"/>
                    <w:snapToGrid w:val="0"/>
                    <w:jc w:val="center"/>
                    <w:rPr>
                      <w:color w:val="auto"/>
                      <w:szCs w:val="21"/>
                      <w:highlight w:val="none"/>
                    </w:rPr>
                  </w:pPr>
                  <w:r>
                    <w:rPr>
                      <w:color w:val="auto"/>
                      <w:szCs w:val="21"/>
                      <w:highlight w:val="none"/>
                    </w:rPr>
                    <w:t>类别</w:t>
                  </w:r>
                </w:p>
              </w:tc>
              <w:tc>
                <w:tcPr>
                  <w:tcW w:w="2551" w:type="dxa"/>
                  <w:tcBorders>
                    <w:tl2br w:val="nil"/>
                    <w:tr2bl w:val="nil"/>
                  </w:tcBorders>
                  <w:vAlign w:val="center"/>
                </w:tcPr>
                <w:p w14:paraId="0C941B73">
                  <w:pPr>
                    <w:adjustRightInd w:val="0"/>
                    <w:snapToGrid w:val="0"/>
                    <w:jc w:val="center"/>
                    <w:rPr>
                      <w:color w:val="auto"/>
                      <w:szCs w:val="21"/>
                      <w:highlight w:val="none"/>
                    </w:rPr>
                  </w:pPr>
                  <w:r>
                    <w:rPr>
                      <w:color w:val="auto"/>
                      <w:szCs w:val="21"/>
                      <w:highlight w:val="none"/>
                    </w:rPr>
                    <w:t>昼间</w:t>
                  </w:r>
                </w:p>
              </w:tc>
              <w:tc>
                <w:tcPr>
                  <w:tcW w:w="2691" w:type="dxa"/>
                  <w:tcBorders>
                    <w:tl2br w:val="nil"/>
                    <w:tr2bl w:val="nil"/>
                  </w:tcBorders>
                  <w:vAlign w:val="center"/>
                </w:tcPr>
                <w:p w14:paraId="2FF184DD">
                  <w:pPr>
                    <w:adjustRightInd w:val="0"/>
                    <w:snapToGrid w:val="0"/>
                    <w:jc w:val="center"/>
                    <w:rPr>
                      <w:color w:val="auto"/>
                      <w:szCs w:val="21"/>
                      <w:highlight w:val="none"/>
                    </w:rPr>
                  </w:pPr>
                  <w:r>
                    <w:rPr>
                      <w:color w:val="auto"/>
                      <w:szCs w:val="21"/>
                      <w:highlight w:val="none"/>
                    </w:rPr>
                    <w:t>夜间</w:t>
                  </w:r>
                </w:p>
              </w:tc>
            </w:tr>
            <w:tr w14:paraId="4EB1B9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3317" w:type="dxa"/>
                  <w:tcBorders>
                    <w:tl2br w:val="nil"/>
                    <w:tr2bl w:val="nil"/>
                  </w:tcBorders>
                  <w:vAlign w:val="center"/>
                </w:tcPr>
                <w:p w14:paraId="2D51C0DF">
                  <w:pPr>
                    <w:adjustRightInd w:val="0"/>
                    <w:snapToGrid w:val="0"/>
                    <w:jc w:val="center"/>
                    <w:rPr>
                      <w:color w:val="auto"/>
                      <w:szCs w:val="21"/>
                      <w:highlight w:val="none"/>
                    </w:rPr>
                  </w:pPr>
                  <w:r>
                    <w:rPr>
                      <w:color w:val="auto"/>
                      <w:szCs w:val="21"/>
                      <w:highlight w:val="none"/>
                    </w:rPr>
                    <w:t>2类</w:t>
                  </w:r>
                </w:p>
              </w:tc>
              <w:tc>
                <w:tcPr>
                  <w:tcW w:w="2551" w:type="dxa"/>
                  <w:tcBorders>
                    <w:tl2br w:val="nil"/>
                    <w:tr2bl w:val="nil"/>
                  </w:tcBorders>
                  <w:vAlign w:val="center"/>
                </w:tcPr>
                <w:p w14:paraId="6ABF783E">
                  <w:pPr>
                    <w:adjustRightInd w:val="0"/>
                    <w:snapToGrid w:val="0"/>
                    <w:jc w:val="center"/>
                    <w:rPr>
                      <w:color w:val="auto"/>
                      <w:szCs w:val="21"/>
                      <w:highlight w:val="none"/>
                    </w:rPr>
                  </w:pPr>
                  <w:r>
                    <w:rPr>
                      <w:color w:val="auto"/>
                      <w:szCs w:val="21"/>
                      <w:highlight w:val="none"/>
                    </w:rPr>
                    <w:t>60</w:t>
                  </w:r>
                </w:p>
              </w:tc>
              <w:tc>
                <w:tcPr>
                  <w:tcW w:w="2691" w:type="dxa"/>
                  <w:tcBorders>
                    <w:tl2br w:val="nil"/>
                    <w:tr2bl w:val="nil"/>
                  </w:tcBorders>
                  <w:vAlign w:val="center"/>
                </w:tcPr>
                <w:p w14:paraId="1641E247">
                  <w:pPr>
                    <w:adjustRightInd w:val="0"/>
                    <w:snapToGrid w:val="0"/>
                    <w:jc w:val="center"/>
                    <w:rPr>
                      <w:color w:val="auto"/>
                      <w:szCs w:val="21"/>
                      <w:highlight w:val="none"/>
                    </w:rPr>
                  </w:pPr>
                  <w:r>
                    <w:rPr>
                      <w:color w:val="auto"/>
                      <w:szCs w:val="21"/>
                      <w:highlight w:val="none"/>
                    </w:rPr>
                    <w:t>50</w:t>
                  </w:r>
                </w:p>
              </w:tc>
            </w:tr>
          </w:tbl>
          <w:p w14:paraId="7B7BD25A">
            <w:pPr>
              <w:adjustRightInd w:val="0"/>
              <w:snapToGrid w:val="0"/>
              <w:spacing w:line="360" w:lineRule="auto"/>
              <w:ind w:firstLine="482" w:firstLineChars="200"/>
              <w:rPr>
                <w:b/>
                <w:bCs/>
                <w:color w:val="auto"/>
                <w:kern w:val="24"/>
                <w:sz w:val="24"/>
                <w:highlight w:val="none"/>
              </w:rPr>
            </w:pPr>
            <w:r>
              <w:rPr>
                <w:b/>
                <w:bCs/>
                <w:color w:val="auto"/>
                <w:kern w:val="24"/>
                <w:sz w:val="24"/>
                <w:highlight w:val="none"/>
              </w:rPr>
              <w:t>4、固体废物</w:t>
            </w:r>
          </w:p>
          <w:p w14:paraId="2D8C253E">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lang w:eastAsia="zh-CN"/>
              </w:rPr>
              <w:t>（</w:t>
            </w:r>
            <w:r>
              <w:rPr>
                <w:rFonts w:hint="eastAsia"/>
                <w:color w:val="auto"/>
                <w:kern w:val="24"/>
                <w:sz w:val="24"/>
                <w:highlight w:val="none"/>
                <w:lang w:val="en-US" w:eastAsia="zh-CN"/>
              </w:rPr>
              <w:t>1</w:t>
            </w:r>
            <w:r>
              <w:rPr>
                <w:rFonts w:hint="eastAsia"/>
                <w:color w:val="auto"/>
                <w:kern w:val="24"/>
                <w:sz w:val="24"/>
                <w:highlight w:val="none"/>
                <w:lang w:eastAsia="zh-CN"/>
              </w:rPr>
              <w:t>）</w:t>
            </w:r>
            <w:r>
              <w:rPr>
                <w:color w:val="auto"/>
                <w:kern w:val="24"/>
                <w:sz w:val="24"/>
                <w:highlight w:val="none"/>
              </w:rPr>
              <w:t>一般固废暂存及处置：《一般工业固体废物贮存和填埋污染控制标准》（GB18599-2020）。</w:t>
            </w:r>
          </w:p>
          <w:p w14:paraId="6E8E9430">
            <w:pPr>
              <w:adjustRightInd w:val="0"/>
              <w:snapToGrid w:val="0"/>
              <w:spacing w:line="360" w:lineRule="auto"/>
              <w:ind w:firstLine="480" w:firstLineChars="200"/>
              <w:rPr>
                <w:color w:val="auto"/>
                <w:sz w:val="24"/>
                <w:highlight w:val="none"/>
              </w:rPr>
            </w:pPr>
            <w:r>
              <w:rPr>
                <w:rFonts w:hint="eastAsia"/>
                <w:color w:val="auto"/>
                <w:kern w:val="24"/>
                <w:sz w:val="24"/>
                <w:highlight w:val="none"/>
              </w:rPr>
              <w:t>（2）危险废物收集、暂存、转移及处置：危险废物按《</w:t>
            </w:r>
            <w:bookmarkStart w:id="29" w:name="OLE_LINK13"/>
            <w:r>
              <w:rPr>
                <w:rFonts w:hint="eastAsia"/>
                <w:color w:val="auto"/>
                <w:kern w:val="24"/>
                <w:sz w:val="24"/>
                <w:highlight w:val="none"/>
              </w:rPr>
              <w:t>国家危险废物名录</w:t>
            </w:r>
            <w:bookmarkEnd w:id="29"/>
            <w:r>
              <w:rPr>
                <w:rFonts w:hint="eastAsia"/>
                <w:color w:val="auto"/>
                <w:kern w:val="24"/>
                <w:sz w:val="24"/>
                <w:highlight w:val="none"/>
              </w:rPr>
              <w:t>（20</w:t>
            </w:r>
            <w:r>
              <w:rPr>
                <w:rFonts w:hint="eastAsia"/>
                <w:color w:val="auto"/>
                <w:kern w:val="24"/>
                <w:sz w:val="24"/>
                <w:highlight w:val="none"/>
                <w:lang w:val="en-US" w:eastAsia="zh-CN"/>
              </w:rPr>
              <w:t>25年</w:t>
            </w:r>
            <w:r>
              <w:rPr>
                <w:rFonts w:hint="eastAsia"/>
                <w:color w:val="auto"/>
                <w:kern w:val="24"/>
                <w:sz w:val="24"/>
                <w:highlight w:val="none"/>
              </w:rPr>
              <w:t>版）》（自20</w:t>
            </w:r>
            <w:r>
              <w:rPr>
                <w:rFonts w:hint="eastAsia"/>
                <w:color w:val="auto"/>
                <w:kern w:val="24"/>
                <w:sz w:val="24"/>
                <w:highlight w:val="none"/>
                <w:lang w:val="en-US" w:eastAsia="zh-CN"/>
              </w:rPr>
              <w:t>25</w:t>
            </w:r>
            <w:r>
              <w:rPr>
                <w:rFonts w:hint="eastAsia"/>
                <w:color w:val="auto"/>
                <w:kern w:val="24"/>
                <w:sz w:val="24"/>
                <w:highlight w:val="none"/>
              </w:rPr>
              <w:t>年</w:t>
            </w:r>
            <w:r>
              <w:rPr>
                <w:rFonts w:hint="eastAsia"/>
                <w:color w:val="auto"/>
                <w:kern w:val="24"/>
                <w:sz w:val="24"/>
                <w:highlight w:val="none"/>
                <w:lang w:val="en-US" w:eastAsia="zh-CN"/>
              </w:rPr>
              <w:t>1</w:t>
            </w:r>
            <w:r>
              <w:rPr>
                <w:rFonts w:hint="eastAsia"/>
                <w:color w:val="auto"/>
                <w:kern w:val="24"/>
                <w:sz w:val="24"/>
                <w:highlight w:val="none"/>
              </w:rPr>
              <w:t>月1日起施行）进行分类；危险废物暂存及处置执行</w:t>
            </w:r>
            <w:r>
              <w:rPr>
                <w:rFonts w:hint="eastAsia"/>
                <w:color w:val="auto"/>
                <w:kern w:val="24"/>
                <w:sz w:val="24"/>
                <w:highlight w:val="none"/>
                <w:lang w:eastAsia="zh-CN"/>
              </w:rPr>
              <w:t>《</w:t>
            </w:r>
            <w:bookmarkStart w:id="30" w:name="OLE_LINK32"/>
            <w:r>
              <w:rPr>
                <w:rFonts w:hint="eastAsia"/>
                <w:color w:val="auto"/>
                <w:kern w:val="24"/>
                <w:sz w:val="24"/>
                <w:highlight w:val="none"/>
                <w:lang w:eastAsia="zh-CN"/>
              </w:rPr>
              <w:t>危险废物贮存污染控制标准</w:t>
            </w:r>
            <w:bookmarkEnd w:id="30"/>
            <w:r>
              <w:rPr>
                <w:rFonts w:hint="eastAsia"/>
                <w:color w:val="auto"/>
                <w:kern w:val="24"/>
                <w:sz w:val="24"/>
                <w:highlight w:val="none"/>
                <w:lang w:eastAsia="zh-CN"/>
              </w:rPr>
              <w:t>》（GB18597-2023）的相关建设</w:t>
            </w:r>
            <w:r>
              <w:rPr>
                <w:rFonts w:hint="eastAsia"/>
                <w:color w:val="auto"/>
                <w:kern w:val="24"/>
                <w:sz w:val="24"/>
                <w:highlight w:val="none"/>
              </w:rPr>
              <w:t>标准要求。</w:t>
            </w:r>
          </w:p>
        </w:tc>
      </w:tr>
      <w:tr w14:paraId="1F65F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56" w:type="dxa"/>
            <w:vAlign w:val="center"/>
          </w:tcPr>
          <w:p w14:paraId="73E51379">
            <w:pPr>
              <w:adjustRightInd w:val="0"/>
              <w:snapToGrid w:val="0"/>
              <w:jc w:val="center"/>
              <w:rPr>
                <w:color w:val="auto"/>
                <w:kern w:val="0"/>
                <w:sz w:val="24"/>
                <w:highlight w:val="none"/>
              </w:rPr>
            </w:pPr>
            <w:r>
              <w:rPr>
                <w:color w:val="auto"/>
                <w:kern w:val="0"/>
                <w:sz w:val="24"/>
                <w:highlight w:val="none"/>
              </w:rPr>
              <w:t>总量</w:t>
            </w:r>
          </w:p>
          <w:p w14:paraId="0A16F170">
            <w:pPr>
              <w:adjustRightInd w:val="0"/>
              <w:snapToGrid w:val="0"/>
              <w:jc w:val="center"/>
              <w:rPr>
                <w:color w:val="auto"/>
                <w:kern w:val="0"/>
                <w:sz w:val="24"/>
                <w:highlight w:val="none"/>
              </w:rPr>
            </w:pPr>
            <w:r>
              <w:rPr>
                <w:color w:val="auto"/>
                <w:kern w:val="0"/>
                <w:sz w:val="24"/>
                <w:highlight w:val="none"/>
              </w:rPr>
              <w:t>控制</w:t>
            </w:r>
          </w:p>
          <w:p w14:paraId="25226788">
            <w:pPr>
              <w:adjustRightInd w:val="0"/>
              <w:snapToGrid w:val="0"/>
              <w:jc w:val="center"/>
              <w:rPr>
                <w:color w:val="auto"/>
                <w:kern w:val="0"/>
                <w:sz w:val="24"/>
                <w:highlight w:val="none"/>
              </w:rPr>
            </w:pPr>
            <w:r>
              <w:rPr>
                <w:color w:val="auto"/>
                <w:kern w:val="0"/>
                <w:sz w:val="24"/>
                <w:highlight w:val="none"/>
              </w:rPr>
              <w:t>指标</w:t>
            </w:r>
          </w:p>
        </w:tc>
        <w:tc>
          <w:tcPr>
            <w:tcW w:w="8943" w:type="dxa"/>
          </w:tcPr>
          <w:p w14:paraId="27296475">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 xml:space="preserve">总量控制： </w:t>
            </w:r>
          </w:p>
          <w:p w14:paraId="1ABB49EA">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 xml:space="preserve">“十四五”期间，国家对主要污染物总量控制指标体系进行了调整，调整后的主要污染物减排指标包括氮氧化物、挥发性有机物、化学需氧量、氨氮。 </w:t>
            </w:r>
          </w:p>
          <w:p w14:paraId="109E87E0">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本项目的总量控制指标如下：</w:t>
            </w:r>
          </w:p>
          <w:p w14:paraId="212A4A68">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废气：颗粒物：0.0348t/a、SO2：0.024t/a、NOx：0.6936t/a；项目废气总量控制指标为有组织氮氧化物：0.6936t/a。</w:t>
            </w:r>
          </w:p>
          <w:p w14:paraId="76B379B7">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 xml:space="preserve">废水：本项目无生产废水外排，不涉及总量控制指标； </w:t>
            </w:r>
          </w:p>
          <w:p w14:paraId="65262ACC">
            <w:pPr>
              <w:adjustRightInd w:val="0"/>
              <w:snapToGrid w:val="0"/>
              <w:spacing w:line="360" w:lineRule="auto"/>
              <w:ind w:firstLine="480" w:firstLineChars="200"/>
              <w:rPr>
                <w:rFonts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 xml:space="preserve">固体废物：处置率 </w:t>
            </w:r>
            <w:r>
              <w:rPr>
                <w:rFonts w:hint="default" w:ascii="Times New Roman" w:hAnsi="Times New Roman" w:eastAsia="宋体" w:cs="Times New Roman"/>
                <w:color w:val="auto"/>
                <w:kern w:val="24"/>
                <w:sz w:val="24"/>
                <w:highlight w:val="none"/>
                <w:lang w:val="en-US" w:eastAsia="zh-CN"/>
              </w:rPr>
              <w:t>100%</w:t>
            </w:r>
            <w:r>
              <w:rPr>
                <w:rFonts w:hint="eastAsia" w:ascii="Times New Roman" w:hAnsi="Times New Roman" w:eastAsia="宋体" w:cs="Times New Roman"/>
                <w:color w:val="auto"/>
                <w:kern w:val="24"/>
                <w:sz w:val="24"/>
                <w:highlight w:val="none"/>
                <w:lang w:val="en-US" w:eastAsia="zh-CN"/>
              </w:rPr>
              <w:t>。</w:t>
            </w:r>
          </w:p>
          <w:p w14:paraId="63658C40">
            <w:pPr>
              <w:pStyle w:val="59"/>
              <w:spacing w:line="360" w:lineRule="auto"/>
              <w:rPr>
                <w:rFonts w:ascii="Times New Roman" w:hAnsi="Times New Roman" w:cs="Times New Roman"/>
                <w:color w:val="auto"/>
                <w:sz w:val="24"/>
                <w:highlight w:val="none"/>
                <w:lang w:val="en-US"/>
              </w:rPr>
            </w:pPr>
          </w:p>
          <w:p w14:paraId="32C5CCA9">
            <w:pPr>
              <w:pStyle w:val="59"/>
              <w:spacing w:line="360" w:lineRule="auto"/>
              <w:rPr>
                <w:rFonts w:ascii="Times New Roman" w:hAnsi="Times New Roman" w:cs="Times New Roman"/>
                <w:color w:val="auto"/>
                <w:sz w:val="24"/>
                <w:highlight w:val="none"/>
                <w:lang w:val="en-US"/>
              </w:rPr>
            </w:pPr>
          </w:p>
          <w:p w14:paraId="37DA89CF">
            <w:pPr>
              <w:pStyle w:val="59"/>
              <w:spacing w:line="360" w:lineRule="auto"/>
              <w:rPr>
                <w:rFonts w:ascii="Times New Roman" w:hAnsi="Times New Roman" w:cs="Times New Roman"/>
                <w:color w:val="auto"/>
                <w:sz w:val="24"/>
                <w:highlight w:val="none"/>
                <w:lang w:val="en-US"/>
              </w:rPr>
            </w:pPr>
          </w:p>
          <w:p w14:paraId="44FC8602">
            <w:pPr>
              <w:pStyle w:val="59"/>
              <w:spacing w:line="360" w:lineRule="auto"/>
              <w:rPr>
                <w:rFonts w:ascii="Times New Roman" w:hAnsi="Times New Roman" w:cs="Times New Roman"/>
                <w:color w:val="auto"/>
                <w:sz w:val="24"/>
                <w:highlight w:val="none"/>
                <w:lang w:val="en-US"/>
              </w:rPr>
            </w:pPr>
          </w:p>
          <w:p w14:paraId="6CC095DF">
            <w:pPr>
              <w:pStyle w:val="59"/>
              <w:spacing w:line="360" w:lineRule="auto"/>
              <w:rPr>
                <w:rFonts w:ascii="Times New Roman" w:hAnsi="Times New Roman" w:cs="Times New Roman"/>
                <w:color w:val="auto"/>
                <w:sz w:val="24"/>
                <w:highlight w:val="none"/>
                <w:lang w:val="en-US"/>
              </w:rPr>
            </w:pPr>
          </w:p>
        </w:tc>
      </w:tr>
    </w:tbl>
    <w:p w14:paraId="47A49E14">
      <w:pPr>
        <w:pStyle w:val="22"/>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6"/>
          <w:szCs w:val="36"/>
          <w:highlight w:val="none"/>
        </w:rPr>
        <w:br w:type="page"/>
      </w:r>
      <w:bookmarkStart w:id="31" w:name="_Toc18316"/>
      <w:r>
        <w:rPr>
          <w:rFonts w:ascii="Times New Roman" w:hAnsi="黑体" w:eastAsia="黑体"/>
          <w:snapToGrid w:val="0"/>
          <w:color w:val="auto"/>
          <w:sz w:val="30"/>
          <w:szCs w:val="30"/>
          <w:highlight w:val="none"/>
        </w:rPr>
        <w:t>四、主要环境影响和保护措施</w:t>
      </w:r>
      <w:bookmarkEnd w:id="31"/>
    </w:p>
    <w:tbl>
      <w:tblPr>
        <w:tblStyle w:val="26"/>
        <w:tblW w:w="504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5"/>
        <w:gridCol w:w="8665"/>
      </w:tblGrid>
      <w:tr w14:paraId="6CBEE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232" w:type="pct"/>
            <w:tcMar>
              <w:left w:w="28" w:type="dxa"/>
              <w:right w:w="28" w:type="dxa"/>
            </w:tcMar>
            <w:vAlign w:val="center"/>
          </w:tcPr>
          <w:p w14:paraId="055A84A6">
            <w:pPr>
              <w:pStyle w:val="22"/>
              <w:adjustRightInd w:val="0"/>
              <w:snapToGrid w:val="0"/>
              <w:spacing w:before="0" w:beforeAutospacing="0" w:after="0" w:afterAutospacing="0"/>
              <w:jc w:val="center"/>
              <w:rPr>
                <w:rFonts w:ascii="Times New Roman" w:hAnsi="Times New Roman"/>
                <w:bCs/>
                <w:color w:val="auto"/>
                <w:kern w:val="2"/>
                <w:szCs w:val="24"/>
                <w:highlight w:val="none"/>
              </w:rPr>
            </w:pPr>
            <w:r>
              <w:rPr>
                <w:rFonts w:ascii="Times New Roman"/>
                <w:color w:val="auto"/>
                <w:kern w:val="2"/>
                <w:szCs w:val="24"/>
                <w:highlight w:val="none"/>
              </w:rPr>
              <w:t>施工期环境保护措施</w:t>
            </w:r>
          </w:p>
        </w:tc>
        <w:tc>
          <w:tcPr>
            <w:tcW w:w="4767" w:type="pct"/>
          </w:tcPr>
          <w:p w14:paraId="58AD75B7">
            <w:pPr>
              <w:adjustRightInd w:val="0"/>
              <w:snapToGrid w:val="0"/>
              <w:spacing w:line="360" w:lineRule="auto"/>
              <w:ind w:firstLine="480" w:firstLineChars="200"/>
              <w:rPr>
                <w:bCs/>
                <w:color w:val="auto"/>
                <w:spacing w:val="-10"/>
                <w:sz w:val="24"/>
                <w:highlight w:val="none"/>
              </w:rPr>
            </w:pPr>
            <w:r>
              <w:rPr>
                <w:rFonts w:hint="default" w:ascii="宋体" w:hAnsi="宋体" w:eastAsia="宋体" w:cs="宋体"/>
                <w:color w:val="auto"/>
                <w:sz w:val="24"/>
                <w:szCs w:val="32"/>
                <w:lang w:val="en-US" w:eastAsia="zh-CN"/>
              </w:rPr>
              <w:t>项目施工期已按建筑施工要求进行，选用良好的施工设备，合理布置施工场地，科学安排施工作业时间</w:t>
            </w:r>
            <w:r>
              <w:rPr>
                <w:rFonts w:hint="eastAsia" w:ascii="宋体" w:hAnsi="宋体" w:eastAsia="宋体" w:cs="宋体"/>
                <w:color w:val="auto"/>
                <w:sz w:val="24"/>
                <w:szCs w:val="32"/>
                <w:lang w:val="en-US" w:eastAsia="zh-CN"/>
              </w:rPr>
              <w:t>。工程施工中未在夜间进行高噪声施工作业，高噪声施工机械等远离敏感点布置。</w:t>
            </w:r>
            <w:r>
              <w:rPr>
                <w:rFonts w:hint="default" w:ascii="宋体" w:hAnsi="宋体" w:eastAsia="宋体" w:cs="宋体"/>
                <w:color w:val="auto"/>
                <w:sz w:val="24"/>
                <w:szCs w:val="32"/>
                <w:lang w:val="en-US" w:eastAsia="zh-CN"/>
              </w:rPr>
              <w:t>现施工期已结束，未发生扰民纠纷，未接到噪声投诉，未对外环境造成明显不利影响</w:t>
            </w:r>
            <w:r>
              <w:rPr>
                <w:rFonts w:hint="eastAsia" w:ascii="宋体" w:hAnsi="宋体" w:eastAsia="宋体" w:cs="宋体"/>
                <w:color w:val="auto"/>
                <w:sz w:val="24"/>
                <w:szCs w:val="32"/>
                <w:lang w:val="en-US" w:eastAsia="zh-CN"/>
              </w:rPr>
              <w:t>。施工场地定时洒水降尘，同时每日按时清扫道路。</w:t>
            </w:r>
            <w:r>
              <w:rPr>
                <w:rFonts w:hint="default" w:ascii="宋体" w:hAnsi="宋体" w:eastAsia="宋体" w:cs="宋体"/>
                <w:color w:val="auto"/>
                <w:sz w:val="24"/>
                <w:szCs w:val="32"/>
                <w:lang w:val="en-US" w:eastAsia="zh-CN"/>
              </w:rPr>
              <w:t>现施工已结束，施工期未遗留环境问题</w:t>
            </w:r>
            <w:r>
              <w:rPr>
                <w:rFonts w:hint="eastAsia" w:ascii="宋体" w:hAnsi="宋体" w:eastAsia="宋体" w:cs="宋体"/>
                <w:color w:val="auto"/>
                <w:sz w:val="24"/>
                <w:szCs w:val="32"/>
                <w:lang w:val="en-US" w:eastAsia="zh-CN"/>
              </w:rPr>
              <w:t>。经向环境监察部门了解，项目施工期间未收到环保投诉。</w:t>
            </w:r>
          </w:p>
        </w:tc>
      </w:tr>
      <w:tr w14:paraId="7E4D7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6" w:hRule="atLeast"/>
          <w:jc w:val="center"/>
        </w:trPr>
        <w:tc>
          <w:tcPr>
            <w:tcW w:w="232" w:type="pct"/>
            <w:tcMar>
              <w:left w:w="28" w:type="dxa"/>
              <w:right w:w="28" w:type="dxa"/>
            </w:tcMar>
            <w:vAlign w:val="center"/>
          </w:tcPr>
          <w:p w14:paraId="654FA206">
            <w:pPr>
              <w:adjustRightInd w:val="0"/>
              <w:snapToGrid w:val="0"/>
              <w:jc w:val="center"/>
              <w:rPr>
                <w:bCs/>
                <w:color w:val="auto"/>
                <w:sz w:val="24"/>
                <w:highlight w:val="none"/>
              </w:rPr>
            </w:pPr>
            <w:r>
              <w:rPr>
                <w:rFonts w:hAnsi="宋体"/>
                <w:bCs/>
                <w:color w:val="auto"/>
                <w:sz w:val="24"/>
                <w:highlight w:val="none"/>
              </w:rPr>
              <w:t>运营期环境影响和保护措施</w:t>
            </w:r>
          </w:p>
        </w:tc>
        <w:tc>
          <w:tcPr>
            <w:tcW w:w="4767" w:type="pct"/>
          </w:tcPr>
          <w:p w14:paraId="0B8A7E7F">
            <w:pPr>
              <w:pStyle w:val="22"/>
              <w:tabs>
                <w:tab w:val="left" w:pos="3716"/>
              </w:tabs>
              <w:adjustRightInd w:val="0"/>
              <w:snapToGrid w:val="0"/>
              <w:spacing w:before="0" w:beforeAutospacing="0" w:after="0" w:afterAutospacing="0" w:line="360" w:lineRule="auto"/>
              <w:jc w:val="both"/>
              <w:outlineLvl w:val="1"/>
              <w:rPr>
                <w:rFonts w:ascii="Times New Roman" w:hAnsi="Times New Roman"/>
                <w:bCs/>
                <w:color w:val="auto"/>
                <w:spacing w:val="-10"/>
                <w:szCs w:val="24"/>
                <w:lang w:val="en-US" w:eastAsia="zh-CN"/>
              </w:rPr>
            </w:pPr>
            <w:r>
              <w:rPr>
                <w:rFonts w:ascii="Times New Roman" w:hAnsi="Times New Roman"/>
                <w:b/>
                <w:bCs/>
                <w:color w:val="auto"/>
                <w:szCs w:val="24"/>
                <w:lang w:val="en-US" w:eastAsia="zh-CN"/>
              </w:rPr>
              <w:t>大气环境影响和保护措施</w:t>
            </w:r>
          </w:p>
          <w:p w14:paraId="1BD3A085">
            <w:pPr>
              <w:spacing w:line="360" w:lineRule="auto"/>
              <w:ind w:firstLine="482" w:firstLineChars="200"/>
              <w:rPr>
                <w:rFonts w:hint="eastAsia"/>
                <w:b/>
                <w:bCs/>
                <w:color w:val="auto"/>
                <w:sz w:val="24"/>
              </w:rPr>
            </w:pPr>
            <w:r>
              <w:rPr>
                <w:rFonts w:hint="eastAsia"/>
                <w:b/>
                <w:bCs/>
                <w:color w:val="auto"/>
                <w:sz w:val="24"/>
                <w:lang w:val="en-US" w:eastAsia="zh-CN"/>
              </w:rPr>
              <w:t>一、废气产排情况</w:t>
            </w:r>
          </w:p>
          <w:p w14:paraId="01C3BA4F">
            <w:pPr>
              <w:pStyle w:val="59"/>
              <w:spacing w:line="360" w:lineRule="auto"/>
              <w:ind w:firstLine="480" w:firstLineChars="200"/>
              <w:jc w:val="left"/>
              <w:rPr>
                <w:rFonts w:ascii="Times New Roman" w:hAnsi="Times New Roman" w:cs="Times New Roman"/>
                <w:color w:val="auto"/>
                <w:kern w:val="24"/>
                <w:sz w:val="24"/>
                <w:highlight w:val="none"/>
                <w:lang w:val="en-US"/>
              </w:rPr>
            </w:pPr>
            <w:r>
              <w:rPr>
                <w:rFonts w:hint="eastAsia" w:ascii="Times New Roman" w:hAnsi="Times New Roman" w:cs="Times New Roman"/>
                <w:color w:val="auto"/>
                <w:kern w:val="24"/>
                <w:sz w:val="24"/>
                <w:highlight w:val="none"/>
                <w:lang w:val="en-US" w:eastAsia="zh-CN"/>
              </w:rPr>
              <w:t>1、蒸汽发生器</w:t>
            </w:r>
            <w:r>
              <w:rPr>
                <w:rFonts w:hint="eastAsia" w:ascii="Times New Roman" w:hAnsi="Times New Roman" w:cs="Times New Roman"/>
                <w:color w:val="auto"/>
                <w:kern w:val="24"/>
                <w:sz w:val="24"/>
                <w:highlight w:val="none"/>
                <w:lang w:val="en-US"/>
              </w:rPr>
              <w:t>废气</w:t>
            </w:r>
          </w:p>
          <w:p w14:paraId="379F4540">
            <w:pPr>
              <w:adjustRightInd w:val="0"/>
              <w:snapToGrid w:val="0"/>
              <w:spacing w:line="360" w:lineRule="auto"/>
              <w:ind w:firstLine="480" w:firstLineChars="200"/>
              <w:rPr>
                <w:color w:val="auto"/>
                <w:sz w:val="24"/>
                <w:highlight w:val="none"/>
              </w:rPr>
            </w:pPr>
            <w:r>
              <w:rPr>
                <w:rFonts w:hint="eastAsia"/>
                <w:color w:val="auto"/>
                <w:sz w:val="24"/>
                <w:highlight w:val="none"/>
              </w:rPr>
              <w:t>本项目设置3</w:t>
            </w:r>
            <w:r>
              <w:rPr>
                <w:rFonts w:hint="eastAsia"/>
                <w:color w:val="auto"/>
                <w:sz w:val="24"/>
                <w:highlight w:val="none"/>
                <w:lang w:val="en-US" w:eastAsia="zh-CN"/>
              </w:rPr>
              <w:t>组</w:t>
            </w:r>
            <w:r>
              <w:rPr>
                <w:rFonts w:hint="eastAsia"/>
                <w:color w:val="auto"/>
                <w:sz w:val="24"/>
                <w:highlight w:val="none"/>
              </w:rPr>
              <w:t>生物质</w:t>
            </w:r>
            <w:r>
              <w:rPr>
                <w:rFonts w:hint="eastAsia"/>
                <w:color w:val="auto"/>
                <w:sz w:val="24"/>
                <w:highlight w:val="none"/>
                <w:lang w:val="en-US" w:eastAsia="zh-CN"/>
              </w:rPr>
              <w:t>蒸汽发生器</w:t>
            </w:r>
            <w:r>
              <w:rPr>
                <w:rFonts w:hint="eastAsia"/>
                <w:color w:val="auto"/>
                <w:sz w:val="24"/>
                <w:highlight w:val="none"/>
              </w:rPr>
              <w:t>，采用生物质燃料，</w:t>
            </w:r>
            <w:r>
              <w:rPr>
                <w:rFonts w:hint="eastAsia"/>
                <w:color w:val="auto"/>
                <w:sz w:val="24"/>
                <w:highlight w:val="none"/>
                <w:lang w:val="en-US" w:eastAsia="zh-CN"/>
              </w:rPr>
              <w:t>每台额定蒸发量为2.5吨/小时，年运行1200</w:t>
            </w:r>
            <w:r>
              <w:rPr>
                <w:rFonts w:hint="eastAsia"/>
                <w:color w:val="auto"/>
                <w:sz w:val="24"/>
                <w:highlight w:val="none"/>
              </w:rPr>
              <w:t>小时，</w:t>
            </w:r>
            <w:r>
              <w:rPr>
                <w:rFonts w:hint="eastAsia"/>
                <w:bCs/>
                <w:color w:val="auto"/>
                <w:sz w:val="24"/>
                <w:szCs w:val="20"/>
                <w:highlight w:val="none"/>
              </w:rPr>
              <w:t>年供应</w:t>
            </w:r>
            <w:r>
              <w:rPr>
                <w:rFonts w:hint="eastAsia"/>
                <w:bCs/>
                <w:color w:val="auto"/>
                <w:sz w:val="24"/>
                <w:szCs w:val="20"/>
                <w:highlight w:val="none"/>
                <w:lang w:val="en-US" w:eastAsia="zh-CN"/>
              </w:rPr>
              <w:t>9000</w:t>
            </w:r>
            <w:r>
              <w:rPr>
                <w:rFonts w:hint="eastAsia"/>
                <w:bCs/>
                <w:color w:val="auto"/>
                <w:sz w:val="24"/>
                <w:szCs w:val="20"/>
                <w:highlight w:val="none"/>
              </w:rPr>
              <w:t>吨饱和蒸汽。根据建设单位提供的</w:t>
            </w:r>
            <w:r>
              <w:rPr>
                <w:rFonts w:hint="eastAsia"/>
                <w:bCs/>
                <w:color w:val="auto"/>
                <w:sz w:val="24"/>
                <w:szCs w:val="20"/>
                <w:highlight w:val="none"/>
                <w:lang w:eastAsia="zh-CN"/>
              </w:rPr>
              <w:t>蒸汽发生器</w:t>
            </w:r>
            <w:r>
              <w:rPr>
                <w:rFonts w:hint="eastAsia"/>
                <w:bCs/>
                <w:color w:val="auto"/>
                <w:sz w:val="24"/>
                <w:szCs w:val="20"/>
                <w:highlight w:val="none"/>
              </w:rPr>
              <w:t>运行参数，平均每吨蒸汽消耗</w:t>
            </w:r>
            <w:r>
              <w:rPr>
                <w:rFonts w:hint="eastAsia"/>
                <w:bCs/>
                <w:color w:val="auto"/>
                <w:sz w:val="24"/>
                <w:szCs w:val="20"/>
                <w:highlight w:val="none"/>
                <w:lang w:val="en-US" w:eastAsia="zh-CN"/>
              </w:rPr>
              <w:t>0.189</w:t>
            </w:r>
            <w:r>
              <w:rPr>
                <w:rFonts w:hint="eastAsia"/>
                <w:bCs/>
                <w:color w:val="auto"/>
                <w:sz w:val="24"/>
                <w:szCs w:val="20"/>
                <w:highlight w:val="none"/>
              </w:rPr>
              <w:t>吨生物质，</w:t>
            </w:r>
            <w:r>
              <w:rPr>
                <w:rFonts w:hint="eastAsia"/>
                <w:color w:val="auto"/>
                <w:sz w:val="24"/>
                <w:highlight w:val="none"/>
              </w:rPr>
              <w:t>年使用生物质燃料约</w:t>
            </w:r>
            <w:r>
              <w:rPr>
                <w:rFonts w:hint="eastAsia"/>
                <w:color w:val="auto"/>
                <w:sz w:val="24"/>
                <w:highlight w:val="none"/>
                <w:lang w:val="en-US" w:eastAsia="zh-CN"/>
              </w:rPr>
              <w:t>1700</w:t>
            </w:r>
            <w:r>
              <w:rPr>
                <w:rFonts w:hint="eastAsia"/>
                <w:color w:val="auto"/>
                <w:sz w:val="24"/>
                <w:highlight w:val="none"/>
              </w:rPr>
              <w:t>t/a。</w:t>
            </w:r>
          </w:p>
          <w:p w14:paraId="5460F1A5">
            <w:pPr>
              <w:widowControl/>
              <w:spacing w:line="360" w:lineRule="auto"/>
              <w:ind w:firstLine="480" w:firstLineChars="200"/>
              <w:jc w:val="left"/>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t>项目运行期间定期开展了自行监测，本次环评蒸汽发生器产生的废气的排放情况节选自自行监测报告清源</w:t>
            </w:r>
            <w:r>
              <w:rPr>
                <w:rFonts w:hint="eastAsia" w:ascii="宋体" w:hAnsi="宋体" w:eastAsia="宋体" w:cs="宋体"/>
                <w:color w:val="auto"/>
                <w:kern w:val="0"/>
                <w:sz w:val="24"/>
                <w:lang w:bidi="ar"/>
              </w:rPr>
              <w:t>检字［</w:t>
            </w:r>
            <w:r>
              <w:rPr>
                <w:rFonts w:hint="eastAsia" w:ascii="宋体" w:hAnsi="宋体" w:eastAsia="宋体" w:cs="宋体"/>
                <w:color w:val="auto"/>
                <w:kern w:val="0"/>
                <w:sz w:val="24"/>
                <w:lang w:val="en-US" w:eastAsia="zh-CN" w:bidi="ar"/>
              </w:rPr>
              <w:t>2025</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06025号和清源</w:t>
            </w:r>
            <w:r>
              <w:rPr>
                <w:rFonts w:hint="eastAsia" w:ascii="宋体" w:hAnsi="宋体" w:eastAsia="宋体" w:cs="宋体"/>
                <w:color w:val="auto"/>
                <w:kern w:val="0"/>
                <w:sz w:val="24"/>
                <w:lang w:bidi="ar"/>
              </w:rPr>
              <w:t>检字［</w:t>
            </w:r>
            <w:r>
              <w:rPr>
                <w:rFonts w:hint="eastAsia" w:ascii="宋体" w:hAnsi="宋体" w:eastAsia="宋体" w:cs="宋体"/>
                <w:color w:val="auto"/>
                <w:kern w:val="0"/>
                <w:sz w:val="24"/>
                <w:lang w:val="en-US" w:eastAsia="zh-CN" w:bidi="ar"/>
              </w:rPr>
              <w:t>2025</w:t>
            </w: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07115号中的相关内容。项目锅炉大气污染物的自行监测情况见表4-2。</w:t>
            </w:r>
          </w:p>
          <w:p w14:paraId="756BFA5B">
            <w:pPr>
              <w:tabs>
                <w:tab w:val="left" w:pos="357"/>
              </w:tabs>
              <w:adjustRightInd w:val="0"/>
              <w:jc w:val="center"/>
              <w:rPr>
                <w:rFonts w:hint="eastAsia" w:ascii="宋体" w:hAnsi="宋体" w:eastAsia="宋体" w:cs="宋体"/>
                <w:b/>
                <w:bCs/>
                <w:color w:val="auto"/>
                <w:spacing w:val="-12"/>
                <w:sz w:val="24"/>
                <w:szCs w:val="24"/>
                <w:vertAlign w:val="superscript"/>
              </w:rPr>
            </w:pPr>
            <w:r>
              <w:rPr>
                <w:rFonts w:hint="eastAsia" w:ascii="宋体" w:hAnsi="宋体" w:eastAsia="宋体" w:cs="宋体"/>
                <w:b/>
                <w:bCs/>
                <w:color w:val="auto"/>
                <w:sz w:val="24"/>
                <w:szCs w:val="24"/>
              </w:rPr>
              <w:t>表</w:t>
            </w:r>
            <w:r>
              <w:rPr>
                <w:rFonts w:hint="eastAsia" w:ascii="宋体" w:hAnsi="宋体" w:cs="宋体"/>
                <w:b/>
                <w:bCs/>
                <w:color w:val="auto"/>
                <w:sz w:val="24"/>
                <w:szCs w:val="24"/>
                <w:lang w:val="en-US" w:eastAsia="zh-CN"/>
              </w:rPr>
              <w:t>4-2</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蒸发器</w:t>
            </w:r>
            <w:r>
              <w:rPr>
                <w:rFonts w:hint="eastAsia" w:ascii="宋体" w:hAnsi="宋体" w:eastAsia="宋体" w:cs="宋体"/>
                <w:b/>
                <w:bCs/>
                <w:color w:val="auto"/>
                <w:sz w:val="24"/>
                <w:szCs w:val="24"/>
                <w:lang w:eastAsia="zh-CN"/>
              </w:rPr>
              <w:t>有组织排口</w:t>
            </w:r>
            <w:r>
              <w:rPr>
                <w:rFonts w:hint="eastAsia" w:ascii="宋体" w:hAnsi="宋体" w:eastAsia="宋体" w:cs="宋体"/>
                <w:b/>
                <w:bCs/>
                <w:color w:val="auto"/>
                <w:sz w:val="24"/>
                <w:szCs w:val="24"/>
              </w:rPr>
              <w:t>监测结果一览表  单位：</w:t>
            </w:r>
            <w:r>
              <w:rPr>
                <w:rFonts w:hint="eastAsia" w:ascii="宋体" w:hAnsi="宋体" w:eastAsia="宋体" w:cs="宋体"/>
                <w:b/>
                <w:bCs/>
                <w:color w:val="auto"/>
                <w:spacing w:val="-12"/>
                <w:sz w:val="24"/>
                <w:szCs w:val="24"/>
              </w:rPr>
              <w:t>mg/m</w:t>
            </w:r>
            <w:r>
              <w:rPr>
                <w:rFonts w:hint="eastAsia" w:ascii="宋体" w:hAnsi="宋体" w:eastAsia="宋体" w:cs="宋体"/>
                <w:b/>
                <w:bCs/>
                <w:color w:val="auto"/>
                <w:spacing w:val="-12"/>
                <w:sz w:val="24"/>
                <w:szCs w:val="24"/>
                <w:vertAlign w:val="superscript"/>
              </w:rPr>
              <w:t>3</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1"/>
              <w:gridCol w:w="545"/>
              <w:gridCol w:w="1858"/>
              <w:gridCol w:w="1355"/>
              <w:gridCol w:w="1355"/>
              <w:gridCol w:w="1355"/>
              <w:gridCol w:w="1367"/>
            </w:tblGrid>
            <w:tr w14:paraId="3822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7" w:type="pct"/>
                  <w:vMerge w:val="restart"/>
                  <w:noWrap w:val="0"/>
                  <w:tcMar>
                    <w:top w:w="15" w:type="dxa"/>
                    <w:left w:w="15" w:type="dxa"/>
                    <w:bottom w:w="0" w:type="dxa"/>
                    <w:right w:w="15" w:type="dxa"/>
                  </w:tcMar>
                  <w:vAlign w:val="center"/>
                </w:tcPr>
                <w:p w14:paraId="703C23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检测日期</w:t>
                  </w:r>
                </w:p>
              </w:tc>
              <w:tc>
                <w:tcPr>
                  <w:tcW w:w="1424" w:type="pct"/>
                  <w:gridSpan w:val="2"/>
                  <w:vMerge w:val="restart"/>
                  <w:noWrap w:val="0"/>
                  <w:tcMar>
                    <w:top w:w="15" w:type="dxa"/>
                    <w:left w:w="15" w:type="dxa"/>
                    <w:bottom w:w="0" w:type="dxa"/>
                    <w:right w:w="15" w:type="dxa"/>
                  </w:tcMar>
                  <w:vAlign w:val="center"/>
                </w:tcPr>
                <w:p w14:paraId="153F9E7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检测项目</w:t>
                  </w:r>
                </w:p>
              </w:tc>
              <w:tc>
                <w:tcPr>
                  <w:tcW w:w="2409" w:type="pct"/>
                  <w:gridSpan w:val="3"/>
                  <w:noWrap w:val="0"/>
                  <w:tcMar>
                    <w:top w:w="15" w:type="dxa"/>
                    <w:left w:w="15" w:type="dxa"/>
                    <w:bottom w:w="0" w:type="dxa"/>
                    <w:right w:w="15" w:type="dxa"/>
                  </w:tcMar>
                  <w:vAlign w:val="center"/>
                </w:tcPr>
                <w:p w14:paraId="698753A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检测频次</w:t>
                  </w:r>
                </w:p>
              </w:tc>
              <w:tc>
                <w:tcPr>
                  <w:tcW w:w="809" w:type="pct"/>
                  <w:vMerge w:val="restart"/>
                  <w:noWrap w:val="0"/>
                  <w:vAlign w:val="center"/>
                </w:tcPr>
                <w:p w14:paraId="0F7D77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平均值</w:t>
                  </w:r>
                </w:p>
              </w:tc>
            </w:tr>
            <w:tr w14:paraId="068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7" w:type="pct"/>
                  <w:vMerge w:val="continue"/>
                  <w:noWrap w:val="0"/>
                  <w:tcMar>
                    <w:top w:w="15" w:type="dxa"/>
                    <w:left w:w="15" w:type="dxa"/>
                    <w:bottom w:w="0" w:type="dxa"/>
                    <w:right w:w="15" w:type="dxa"/>
                  </w:tcMar>
                  <w:vAlign w:val="center"/>
                </w:tcPr>
                <w:p w14:paraId="54A64D9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424" w:type="pct"/>
                  <w:gridSpan w:val="2"/>
                  <w:vMerge w:val="continue"/>
                  <w:noWrap w:val="0"/>
                  <w:tcMar>
                    <w:top w:w="15" w:type="dxa"/>
                    <w:left w:w="15" w:type="dxa"/>
                    <w:bottom w:w="0" w:type="dxa"/>
                    <w:right w:w="15" w:type="dxa"/>
                  </w:tcMar>
                  <w:vAlign w:val="center"/>
                </w:tcPr>
                <w:p w14:paraId="62FBAAF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803" w:type="pct"/>
                  <w:noWrap w:val="0"/>
                  <w:tcMar>
                    <w:top w:w="15" w:type="dxa"/>
                    <w:left w:w="15" w:type="dxa"/>
                    <w:bottom w:w="0" w:type="dxa"/>
                    <w:right w:w="15" w:type="dxa"/>
                  </w:tcMar>
                  <w:vAlign w:val="center"/>
                </w:tcPr>
                <w:p w14:paraId="1D421E0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w:t>
                  </w:r>
                </w:p>
              </w:tc>
              <w:tc>
                <w:tcPr>
                  <w:tcW w:w="803" w:type="pct"/>
                  <w:noWrap w:val="0"/>
                  <w:vAlign w:val="center"/>
                </w:tcPr>
                <w:p w14:paraId="095111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2</w:t>
                  </w:r>
                </w:p>
              </w:tc>
              <w:tc>
                <w:tcPr>
                  <w:tcW w:w="803" w:type="pct"/>
                  <w:noWrap w:val="0"/>
                  <w:vAlign w:val="center"/>
                </w:tcPr>
                <w:p w14:paraId="33DB4D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3</w:t>
                  </w:r>
                </w:p>
              </w:tc>
              <w:tc>
                <w:tcPr>
                  <w:tcW w:w="809" w:type="pct"/>
                  <w:vMerge w:val="continue"/>
                  <w:noWrap w:val="0"/>
                  <w:vAlign w:val="center"/>
                </w:tcPr>
                <w:p w14:paraId="4217A8C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p>
              </w:tc>
            </w:tr>
            <w:tr w14:paraId="2DF7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restart"/>
                  <w:noWrap w:val="0"/>
                  <w:tcMar>
                    <w:top w:w="15" w:type="dxa"/>
                    <w:left w:w="15" w:type="dxa"/>
                    <w:bottom w:w="0" w:type="dxa"/>
                    <w:right w:w="15" w:type="dxa"/>
                  </w:tcMar>
                  <w:vAlign w:val="center"/>
                </w:tcPr>
                <w:p w14:paraId="19CBCA3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2025年6月25日</w:t>
                  </w:r>
                </w:p>
              </w:tc>
              <w:tc>
                <w:tcPr>
                  <w:tcW w:w="1424" w:type="pct"/>
                  <w:gridSpan w:val="2"/>
                  <w:noWrap w:val="0"/>
                  <w:tcMar>
                    <w:top w:w="15" w:type="dxa"/>
                    <w:left w:w="15" w:type="dxa"/>
                    <w:bottom w:w="0" w:type="dxa"/>
                    <w:right w:w="15" w:type="dxa"/>
                  </w:tcMar>
                  <w:vAlign w:val="center"/>
                </w:tcPr>
                <w:p w14:paraId="09755E4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氧含量</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3F5216F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803" w:type="pct"/>
                  <w:noWrap w:val="0"/>
                  <w:tcMar>
                    <w:top w:w="15" w:type="dxa"/>
                    <w:left w:w="15" w:type="dxa"/>
                    <w:bottom w:w="0" w:type="dxa"/>
                    <w:right w:w="15" w:type="dxa"/>
                  </w:tcMar>
                  <w:vAlign w:val="center"/>
                </w:tcPr>
                <w:p w14:paraId="4E8AE5F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14.5</w:t>
                  </w:r>
                </w:p>
              </w:tc>
              <w:tc>
                <w:tcPr>
                  <w:tcW w:w="803" w:type="pct"/>
                  <w:noWrap w:val="0"/>
                  <w:vAlign w:val="center"/>
                </w:tcPr>
                <w:p w14:paraId="669FD9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14.1</w:t>
                  </w:r>
                </w:p>
              </w:tc>
              <w:tc>
                <w:tcPr>
                  <w:tcW w:w="809" w:type="pct"/>
                  <w:noWrap w:val="0"/>
                  <w:vAlign w:val="center"/>
                </w:tcPr>
                <w:p w14:paraId="751431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14.4</w:t>
                  </w:r>
                </w:p>
              </w:tc>
            </w:tr>
            <w:tr w14:paraId="2793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25561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57A58CE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烟温（</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19C5E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82</w:t>
                  </w:r>
                </w:p>
              </w:tc>
            </w:tr>
            <w:tr w14:paraId="3C32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5C25C4B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2C4E36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eastAsia="zh-CN"/>
                    </w:rPr>
                    <w:t>流速（</w:t>
                  </w:r>
                  <w:r>
                    <w:rPr>
                      <w:rFonts w:hint="eastAsia" w:ascii="宋体" w:hAnsi="宋体" w:eastAsia="宋体" w:cs="宋体"/>
                      <w:b/>
                      <w:bCs w:val="0"/>
                      <w:color w:val="auto"/>
                      <w:sz w:val="21"/>
                      <w:szCs w:val="21"/>
                      <w:lang w:val="en-US" w:eastAsia="zh-CN"/>
                    </w:rPr>
                    <w:t>m/s</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894284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803" w:type="pct"/>
                  <w:noWrap w:val="0"/>
                  <w:tcMar>
                    <w:top w:w="15" w:type="dxa"/>
                    <w:left w:w="15" w:type="dxa"/>
                    <w:bottom w:w="0" w:type="dxa"/>
                    <w:right w:w="15" w:type="dxa"/>
                  </w:tcMar>
                  <w:vAlign w:val="center"/>
                </w:tcPr>
                <w:p w14:paraId="73F09F6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803" w:type="pct"/>
                  <w:noWrap w:val="0"/>
                  <w:vAlign w:val="center"/>
                </w:tcPr>
                <w:p w14:paraId="3D7B40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809" w:type="pct"/>
                  <w:noWrap w:val="0"/>
                  <w:vAlign w:val="center"/>
                </w:tcPr>
                <w:p w14:paraId="715F93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4.1</w:t>
                  </w:r>
                </w:p>
              </w:tc>
            </w:tr>
            <w:tr w14:paraId="50BB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5703E95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4AA100C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sz w:val="21"/>
                      <w:szCs w:val="21"/>
                      <w:lang w:val="en-US" w:eastAsia="zh-CN"/>
                    </w:rPr>
                    <w:t>废气排放量</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rPr>
                    <w:t>/h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59E1152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4554</w:t>
                  </w:r>
                </w:p>
              </w:tc>
              <w:tc>
                <w:tcPr>
                  <w:tcW w:w="803" w:type="pct"/>
                  <w:noWrap w:val="0"/>
                  <w:tcMar>
                    <w:top w:w="15" w:type="dxa"/>
                    <w:left w:w="15" w:type="dxa"/>
                    <w:bottom w:w="0" w:type="dxa"/>
                    <w:right w:w="15" w:type="dxa"/>
                  </w:tcMar>
                  <w:vAlign w:val="center"/>
                </w:tcPr>
                <w:p w14:paraId="6DEE92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3945</w:t>
                  </w:r>
                </w:p>
              </w:tc>
              <w:tc>
                <w:tcPr>
                  <w:tcW w:w="803" w:type="pct"/>
                  <w:noWrap w:val="0"/>
                  <w:vAlign w:val="center"/>
                </w:tcPr>
                <w:p w14:paraId="773832E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4915</w:t>
                  </w:r>
                </w:p>
              </w:tc>
              <w:tc>
                <w:tcPr>
                  <w:tcW w:w="809" w:type="pct"/>
                  <w:noWrap w:val="0"/>
                  <w:vAlign w:val="center"/>
                </w:tcPr>
                <w:p w14:paraId="4B97B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4471</w:t>
                  </w:r>
                </w:p>
              </w:tc>
            </w:tr>
            <w:tr w14:paraId="1E1E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5A8FDE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077AEE7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颗粒物</w:t>
                  </w:r>
                </w:p>
              </w:tc>
              <w:tc>
                <w:tcPr>
                  <w:tcW w:w="1101" w:type="pct"/>
                  <w:noWrap w:val="0"/>
                  <w:tcMar>
                    <w:top w:w="15" w:type="dxa"/>
                    <w:left w:w="15" w:type="dxa"/>
                    <w:bottom w:w="0" w:type="dxa"/>
                    <w:right w:w="15" w:type="dxa"/>
                  </w:tcMar>
                  <w:vAlign w:val="center"/>
                </w:tcPr>
                <w:p w14:paraId="179D2E8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065BF7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803" w:type="pct"/>
                  <w:noWrap w:val="0"/>
                  <w:tcMar>
                    <w:top w:w="15" w:type="dxa"/>
                    <w:left w:w="15" w:type="dxa"/>
                    <w:bottom w:w="0" w:type="dxa"/>
                    <w:right w:w="15" w:type="dxa"/>
                  </w:tcMar>
                  <w:vAlign w:val="center"/>
                </w:tcPr>
                <w:p w14:paraId="1A8841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803" w:type="pct"/>
                  <w:noWrap w:val="0"/>
                  <w:vAlign w:val="center"/>
                </w:tcPr>
                <w:p w14:paraId="1A3A8D0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809" w:type="pct"/>
                  <w:noWrap w:val="0"/>
                  <w:vAlign w:val="center"/>
                </w:tcPr>
                <w:p w14:paraId="0763EE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w:t>
                  </w:r>
                </w:p>
              </w:tc>
            </w:tr>
            <w:tr w14:paraId="45F3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47FC365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017482F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p>
              </w:tc>
              <w:tc>
                <w:tcPr>
                  <w:tcW w:w="1101" w:type="pct"/>
                  <w:noWrap w:val="0"/>
                  <w:tcMar>
                    <w:top w:w="15" w:type="dxa"/>
                    <w:left w:w="15" w:type="dxa"/>
                    <w:bottom w:w="0" w:type="dxa"/>
                    <w:right w:w="15" w:type="dxa"/>
                  </w:tcMar>
                  <w:vAlign w:val="center"/>
                </w:tcPr>
                <w:p w14:paraId="62FDC62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DFA2E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4.9</w:t>
                  </w:r>
                </w:p>
              </w:tc>
              <w:tc>
                <w:tcPr>
                  <w:tcW w:w="803" w:type="pct"/>
                  <w:noWrap w:val="0"/>
                  <w:tcMar>
                    <w:top w:w="15" w:type="dxa"/>
                    <w:left w:w="15" w:type="dxa"/>
                    <w:bottom w:w="0" w:type="dxa"/>
                    <w:right w:w="15" w:type="dxa"/>
                  </w:tcMar>
                  <w:vAlign w:val="center"/>
                </w:tcPr>
                <w:p w14:paraId="120869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w:t>
                  </w:r>
                </w:p>
              </w:tc>
              <w:tc>
                <w:tcPr>
                  <w:tcW w:w="803" w:type="pct"/>
                  <w:noWrap w:val="0"/>
                  <w:vAlign w:val="center"/>
                </w:tcPr>
                <w:p w14:paraId="432ED74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5.8</w:t>
                  </w:r>
                </w:p>
              </w:tc>
              <w:tc>
                <w:tcPr>
                  <w:tcW w:w="809" w:type="pct"/>
                  <w:noWrap w:val="0"/>
                  <w:vAlign w:val="center"/>
                </w:tcPr>
                <w:p w14:paraId="67306B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w:t>
                  </w:r>
                </w:p>
              </w:tc>
            </w:tr>
            <w:tr w14:paraId="1884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17DAF3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79AB25A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0E2AF9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9919A5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0.012</w:t>
                  </w:r>
                </w:p>
              </w:tc>
              <w:tc>
                <w:tcPr>
                  <w:tcW w:w="803" w:type="pct"/>
                  <w:noWrap w:val="0"/>
                  <w:tcMar>
                    <w:top w:w="15" w:type="dxa"/>
                    <w:left w:w="15" w:type="dxa"/>
                    <w:bottom w:w="0" w:type="dxa"/>
                    <w:right w:w="15" w:type="dxa"/>
                  </w:tcMar>
                  <w:vAlign w:val="center"/>
                </w:tcPr>
                <w:p w14:paraId="12CE955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0.013</w:t>
                  </w:r>
                </w:p>
              </w:tc>
              <w:tc>
                <w:tcPr>
                  <w:tcW w:w="803" w:type="pct"/>
                  <w:noWrap w:val="0"/>
                  <w:vAlign w:val="center"/>
                </w:tcPr>
                <w:p w14:paraId="31E950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0.017</w:t>
                  </w:r>
                </w:p>
              </w:tc>
              <w:tc>
                <w:tcPr>
                  <w:tcW w:w="809" w:type="pct"/>
                  <w:noWrap w:val="0"/>
                  <w:vAlign w:val="center"/>
                </w:tcPr>
                <w:p w14:paraId="11355AD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0.014</w:t>
                  </w:r>
                </w:p>
              </w:tc>
            </w:tr>
            <w:tr w14:paraId="71F2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6202EA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0EE024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29443C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5D7F96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50</w:t>
                  </w:r>
                </w:p>
              </w:tc>
            </w:tr>
            <w:tr w14:paraId="4EFE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53CD51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6BC84D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0503089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780DFA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7BC9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74B81F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5765F4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SO</w:t>
                  </w:r>
                  <w:r>
                    <w:rPr>
                      <w:rFonts w:hint="eastAsia" w:ascii="宋体" w:hAnsi="宋体" w:eastAsia="宋体" w:cs="宋体"/>
                      <w:b/>
                      <w:bCs w:val="0"/>
                      <w:color w:val="auto"/>
                      <w:kern w:val="2"/>
                      <w:sz w:val="21"/>
                      <w:szCs w:val="21"/>
                      <w:vertAlign w:val="subscript"/>
                      <w:lang w:val="en-US" w:eastAsia="zh-CN" w:bidi="ar-SA"/>
                    </w:rPr>
                    <w:t>2</w:t>
                  </w:r>
                </w:p>
              </w:tc>
              <w:tc>
                <w:tcPr>
                  <w:tcW w:w="1101" w:type="pct"/>
                  <w:noWrap w:val="0"/>
                  <w:tcMar>
                    <w:top w:w="15" w:type="dxa"/>
                    <w:left w:w="15" w:type="dxa"/>
                    <w:bottom w:w="0" w:type="dxa"/>
                    <w:right w:w="15" w:type="dxa"/>
                  </w:tcMar>
                  <w:vAlign w:val="center"/>
                </w:tcPr>
                <w:p w14:paraId="3FD91C4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71CEEFF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3" w:type="pct"/>
                  <w:noWrap w:val="0"/>
                  <w:tcMar>
                    <w:top w:w="15" w:type="dxa"/>
                    <w:left w:w="15" w:type="dxa"/>
                    <w:bottom w:w="0" w:type="dxa"/>
                    <w:right w:w="15" w:type="dxa"/>
                  </w:tcMar>
                  <w:vAlign w:val="center"/>
                </w:tcPr>
                <w:p w14:paraId="059234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3" w:type="pct"/>
                  <w:noWrap w:val="0"/>
                  <w:vAlign w:val="center"/>
                </w:tcPr>
                <w:p w14:paraId="60BF6FD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9" w:type="pct"/>
                  <w:noWrap w:val="0"/>
                  <w:vAlign w:val="center"/>
                </w:tcPr>
                <w:p w14:paraId="17014E5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r>
            <w:tr w14:paraId="2FF8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2D37080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4B4E5F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p>
              </w:tc>
              <w:tc>
                <w:tcPr>
                  <w:tcW w:w="1101" w:type="pct"/>
                  <w:noWrap w:val="0"/>
                  <w:tcMar>
                    <w:top w:w="15" w:type="dxa"/>
                    <w:left w:w="15" w:type="dxa"/>
                    <w:bottom w:w="0" w:type="dxa"/>
                    <w:right w:w="15" w:type="dxa"/>
                  </w:tcMar>
                  <w:vAlign w:val="center"/>
                </w:tcPr>
                <w:p w14:paraId="59DABE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0246D2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803" w:type="pct"/>
                  <w:noWrap w:val="0"/>
                  <w:tcMar>
                    <w:top w:w="15" w:type="dxa"/>
                    <w:left w:w="15" w:type="dxa"/>
                    <w:bottom w:w="0" w:type="dxa"/>
                    <w:right w:w="15" w:type="dxa"/>
                  </w:tcMar>
                  <w:vAlign w:val="center"/>
                </w:tcPr>
                <w:p w14:paraId="58F081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803" w:type="pct"/>
                  <w:noWrap w:val="0"/>
                  <w:vAlign w:val="center"/>
                </w:tcPr>
                <w:p w14:paraId="61FC41B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09" w:type="pct"/>
                  <w:noWrap w:val="0"/>
                  <w:vAlign w:val="center"/>
                </w:tcPr>
                <w:p w14:paraId="26DD9D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14:paraId="6513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7D9C76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49F139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p>
              </w:tc>
              <w:tc>
                <w:tcPr>
                  <w:tcW w:w="1101" w:type="pct"/>
                  <w:noWrap w:val="0"/>
                  <w:tcMar>
                    <w:top w:w="15" w:type="dxa"/>
                    <w:left w:w="15" w:type="dxa"/>
                    <w:bottom w:w="0" w:type="dxa"/>
                    <w:right w:w="15" w:type="dxa"/>
                  </w:tcMar>
                  <w:vAlign w:val="center"/>
                </w:tcPr>
                <w:p w14:paraId="169325A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29B385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＜0.014</w:t>
                  </w:r>
                </w:p>
              </w:tc>
              <w:tc>
                <w:tcPr>
                  <w:tcW w:w="803" w:type="pct"/>
                  <w:noWrap w:val="0"/>
                  <w:tcMar>
                    <w:top w:w="15" w:type="dxa"/>
                    <w:left w:w="15" w:type="dxa"/>
                    <w:bottom w:w="0" w:type="dxa"/>
                    <w:right w:w="15" w:type="dxa"/>
                  </w:tcMar>
                  <w:vAlign w:val="center"/>
                </w:tcPr>
                <w:p w14:paraId="3B0BED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＜0.012</w:t>
                  </w:r>
                </w:p>
              </w:tc>
              <w:tc>
                <w:tcPr>
                  <w:tcW w:w="803" w:type="pct"/>
                  <w:noWrap w:val="0"/>
                  <w:vAlign w:val="center"/>
                </w:tcPr>
                <w:p w14:paraId="3BF2A7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＜0.015</w:t>
                  </w:r>
                </w:p>
              </w:tc>
              <w:tc>
                <w:tcPr>
                  <w:tcW w:w="809" w:type="pct"/>
                  <w:noWrap w:val="0"/>
                  <w:vAlign w:val="center"/>
                </w:tcPr>
                <w:p w14:paraId="3FC7EAC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＜0.013</w:t>
                  </w:r>
                </w:p>
              </w:tc>
            </w:tr>
            <w:tr w14:paraId="7E3C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7D6F3DF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48C70DE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0DFDEB0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425B7B6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300</w:t>
                  </w:r>
                </w:p>
              </w:tc>
            </w:tr>
            <w:tr w14:paraId="2010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31C4F2B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5EE3F1E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5D811B4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7988F4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2678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63F57A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67A5ED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NO</w:t>
                  </w:r>
                  <w:r>
                    <w:rPr>
                      <w:rFonts w:hint="eastAsia" w:ascii="宋体" w:hAnsi="宋体" w:eastAsia="宋体" w:cs="宋体"/>
                      <w:b/>
                      <w:bCs w:val="0"/>
                      <w:color w:val="auto"/>
                      <w:sz w:val="21"/>
                      <w:szCs w:val="21"/>
                      <w:vertAlign w:val="subscript"/>
                      <w:lang w:val="en-US" w:eastAsia="zh-CN"/>
                    </w:rPr>
                    <w:t>X</w:t>
                  </w:r>
                </w:p>
              </w:tc>
              <w:tc>
                <w:tcPr>
                  <w:tcW w:w="1101" w:type="pct"/>
                  <w:noWrap w:val="0"/>
                  <w:tcMar>
                    <w:top w:w="15" w:type="dxa"/>
                    <w:left w:w="15" w:type="dxa"/>
                    <w:bottom w:w="0" w:type="dxa"/>
                    <w:right w:w="15" w:type="dxa"/>
                  </w:tcMar>
                  <w:vAlign w:val="center"/>
                </w:tcPr>
                <w:p w14:paraId="6F8441C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59DBCE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83</w:t>
                  </w:r>
                </w:p>
              </w:tc>
              <w:tc>
                <w:tcPr>
                  <w:tcW w:w="803" w:type="pct"/>
                  <w:noWrap w:val="0"/>
                  <w:tcMar>
                    <w:top w:w="15" w:type="dxa"/>
                    <w:left w:w="15" w:type="dxa"/>
                    <w:bottom w:w="0" w:type="dxa"/>
                    <w:right w:w="15" w:type="dxa"/>
                  </w:tcMar>
                  <w:vAlign w:val="center"/>
                </w:tcPr>
                <w:p w14:paraId="208FCC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92</w:t>
                  </w:r>
                </w:p>
              </w:tc>
              <w:tc>
                <w:tcPr>
                  <w:tcW w:w="803" w:type="pct"/>
                  <w:noWrap w:val="0"/>
                  <w:vAlign w:val="center"/>
                </w:tcPr>
                <w:p w14:paraId="096B653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96</w:t>
                  </w:r>
                </w:p>
              </w:tc>
              <w:tc>
                <w:tcPr>
                  <w:tcW w:w="809" w:type="pct"/>
                  <w:noWrap w:val="0"/>
                  <w:vAlign w:val="center"/>
                </w:tcPr>
                <w:p w14:paraId="5BE8B3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90</w:t>
                  </w:r>
                </w:p>
              </w:tc>
            </w:tr>
            <w:tr w14:paraId="0A48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29AC94C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3BD8DEE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p>
              </w:tc>
              <w:tc>
                <w:tcPr>
                  <w:tcW w:w="1101" w:type="pct"/>
                  <w:noWrap w:val="0"/>
                  <w:tcMar>
                    <w:top w:w="15" w:type="dxa"/>
                    <w:left w:w="15" w:type="dxa"/>
                    <w:bottom w:w="0" w:type="dxa"/>
                    <w:right w:w="15" w:type="dxa"/>
                  </w:tcMar>
                  <w:vAlign w:val="center"/>
                </w:tcPr>
                <w:p w14:paraId="68C5F63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5528B8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156</w:t>
                  </w:r>
                </w:p>
              </w:tc>
              <w:tc>
                <w:tcPr>
                  <w:tcW w:w="803" w:type="pct"/>
                  <w:noWrap w:val="0"/>
                  <w:tcMar>
                    <w:top w:w="15" w:type="dxa"/>
                    <w:left w:w="15" w:type="dxa"/>
                    <w:bottom w:w="0" w:type="dxa"/>
                    <w:right w:w="15" w:type="dxa"/>
                  </w:tcMar>
                  <w:vAlign w:val="center"/>
                </w:tcPr>
                <w:p w14:paraId="54E4FE5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170</w:t>
                  </w:r>
                </w:p>
              </w:tc>
              <w:tc>
                <w:tcPr>
                  <w:tcW w:w="803" w:type="pct"/>
                  <w:noWrap w:val="0"/>
                  <w:vAlign w:val="center"/>
                </w:tcPr>
                <w:p w14:paraId="6592850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167</w:t>
                  </w:r>
                </w:p>
              </w:tc>
              <w:tc>
                <w:tcPr>
                  <w:tcW w:w="809" w:type="pct"/>
                  <w:noWrap w:val="0"/>
                  <w:vAlign w:val="center"/>
                </w:tcPr>
                <w:p w14:paraId="3B6CA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164</w:t>
                  </w:r>
                </w:p>
              </w:tc>
            </w:tr>
            <w:tr w14:paraId="3E36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51A1EEA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29FA89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299E600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2911E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0.378</w:t>
                  </w:r>
                </w:p>
              </w:tc>
              <w:tc>
                <w:tcPr>
                  <w:tcW w:w="803" w:type="pct"/>
                  <w:noWrap w:val="0"/>
                  <w:tcMar>
                    <w:top w:w="15" w:type="dxa"/>
                    <w:left w:w="15" w:type="dxa"/>
                    <w:bottom w:w="0" w:type="dxa"/>
                    <w:right w:w="15" w:type="dxa"/>
                  </w:tcMar>
                  <w:vAlign w:val="center"/>
                </w:tcPr>
                <w:p w14:paraId="1CF5163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0.363</w:t>
                  </w:r>
                </w:p>
              </w:tc>
              <w:tc>
                <w:tcPr>
                  <w:tcW w:w="803" w:type="pct"/>
                  <w:noWrap w:val="0"/>
                  <w:vAlign w:val="center"/>
                </w:tcPr>
                <w:p w14:paraId="5045ADD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0.472</w:t>
                  </w:r>
                </w:p>
              </w:tc>
              <w:tc>
                <w:tcPr>
                  <w:tcW w:w="809" w:type="pct"/>
                  <w:noWrap w:val="0"/>
                  <w:vAlign w:val="center"/>
                </w:tcPr>
                <w:p w14:paraId="32AD0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0.404</w:t>
                  </w:r>
                </w:p>
              </w:tc>
            </w:tr>
            <w:tr w14:paraId="3CDF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35C33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7A0B7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03232C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03A27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300</w:t>
                  </w:r>
                </w:p>
              </w:tc>
            </w:tr>
            <w:tr w14:paraId="10C5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44064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38570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414F1CD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1883D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2C07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1594EC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1424" w:type="pct"/>
                  <w:gridSpan w:val="2"/>
                  <w:noWrap w:val="0"/>
                  <w:tcMar>
                    <w:top w:w="15" w:type="dxa"/>
                    <w:left w:w="15" w:type="dxa"/>
                    <w:bottom w:w="0" w:type="dxa"/>
                    <w:right w:w="15" w:type="dxa"/>
                  </w:tcMar>
                  <w:vAlign w:val="center"/>
                </w:tcPr>
                <w:p w14:paraId="074D2E3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烟气黑度（级）</w:t>
                  </w:r>
                </w:p>
              </w:tc>
              <w:tc>
                <w:tcPr>
                  <w:tcW w:w="3218" w:type="pct"/>
                  <w:gridSpan w:val="4"/>
                  <w:noWrap w:val="0"/>
                  <w:tcMar>
                    <w:top w:w="15" w:type="dxa"/>
                    <w:left w:w="15" w:type="dxa"/>
                    <w:bottom w:w="0" w:type="dxa"/>
                    <w:right w:w="15" w:type="dxa"/>
                  </w:tcMar>
                  <w:vAlign w:val="center"/>
                </w:tcPr>
                <w:p w14:paraId="68953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p>
              </w:tc>
            </w:tr>
            <w:tr w14:paraId="624C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2774D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424" w:type="pct"/>
                  <w:gridSpan w:val="2"/>
                  <w:noWrap w:val="0"/>
                  <w:tcMar>
                    <w:top w:w="15" w:type="dxa"/>
                    <w:left w:w="15" w:type="dxa"/>
                    <w:bottom w:w="0" w:type="dxa"/>
                    <w:right w:w="15" w:type="dxa"/>
                  </w:tcMar>
                  <w:vAlign w:val="center"/>
                </w:tcPr>
                <w:p w14:paraId="54272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标准值（级）</w:t>
                  </w:r>
                </w:p>
              </w:tc>
              <w:tc>
                <w:tcPr>
                  <w:tcW w:w="3218" w:type="pct"/>
                  <w:gridSpan w:val="4"/>
                  <w:noWrap w:val="0"/>
                  <w:tcMar>
                    <w:top w:w="15" w:type="dxa"/>
                    <w:left w:w="15" w:type="dxa"/>
                    <w:bottom w:w="0" w:type="dxa"/>
                    <w:right w:w="15" w:type="dxa"/>
                  </w:tcMar>
                  <w:vAlign w:val="center"/>
                </w:tcPr>
                <w:p w14:paraId="1C872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color w:val="auto"/>
                      <w:sz w:val="21"/>
                      <w:szCs w:val="21"/>
                      <w:lang w:val="en-US" w:eastAsia="zh-CN"/>
                    </w:rPr>
                    <w:t>≤1</w:t>
                  </w:r>
                </w:p>
              </w:tc>
            </w:tr>
            <w:tr w14:paraId="31F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00878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p>
              </w:tc>
              <w:tc>
                <w:tcPr>
                  <w:tcW w:w="1424" w:type="pct"/>
                  <w:gridSpan w:val="2"/>
                  <w:noWrap w:val="0"/>
                  <w:tcMar>
                    <w:top w:w="15" w:type="dxa"/>
                    <w:left w:w="15" w:type="dxa"/>
                    <w:bottom w:w="0" w:type="dxa"/>
                    <w:right w:w="15" w:type="dxa"/>
                  </w:tcMar>
                  <w:vAlign w:val="center"/>
                </w:tcPr>
                <w:p w14:paraId="0C27A6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6EF63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1C4A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000" w:type="pct"/>
                  <w:gridSpan w:val="7"/>
                  <w:noWrap w:val="0"/>
                  <w:vAlign w:val="center"/>
                </w:tcPr>
                <w:p w14:paraId="6019C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val="0"/>
                      <w:color w:val="auto"/>
                      <w:sz w:val="21"/>
                      <w:szCs w:val="21"/>
                    </w:rPr>
                    <w:t>备注</w:t>
                  </w:r>
                  <w:r>
                    <w:rPr>
                      <w:rFonts w:hint="eastAsia" w:ascii="宋体" w:hAnsi="宋体" w:eastAsia="宋体" w:cs="宋体"/>
                      <w:b/>
                      <w:bCs w:val="0"/>
                      <w:color w:val="auto"/>
                      <w:sz w:val="21"/>
                      <w:szCs w:val="21"/>
                      <w:lang w:eastAsia="zh-CN"/>
                    </w:rPr>
                    <w:t>：“＜”表示实测浓度值小于检出限值，排放速率按检出限值计算</w:t>
                  </w:r>
                </w:p>
              </w:tc>
            </w:tr>
          </w:tbl>
          <w:p w14:paraId="5AB3B6B8">
            <w:pPr>
              <w:keepNext w:val="0"/>
              <w:keepLines w:val="0"/>
              <w:pageBreakBefore w:val="0"/>
              <w:widowControl w:val="0"/>
              <w:tabs>
                <w:tab w:val="left" w:pos="357"/>
              </w:tabs>
              <w:kinsoku/>
              <w:wordWrap/>
              <w:overflowPunct/>
              <w:topLinePunct w:val="0"/>
              <w:autoSpaceDE/>
              <w:autoSpaceDN/>
              <w:bidi w:val="0"/>
              <w:adjustRightInd w:val="0"/>
              <w:snapToGrid/>
              <w:spacing w:before="313" w:beforeLines="100"/>
              <w:jc w:val="center"/>
              <w:textAlignment w:val="auto"/>
              <w:rPr>
                <w:rFonts w:hint="eastAsia" w:ascii="宋体" w:hAnsi="宋体" w:eastAsia="宋体" w:cs="宋体"/>
                <w:b/>
                <w:bCs/>
                <w:color w:val="auto"/>
                <w:spacing w:val="-12"/>
                <w:sz w:val="24"/>
                <w:szCs w:val="24"/>
                <w:vertAlign w:val="superscript"/>
              </w:rPr>
            </w:pPr>
            <w:r>
              <w:rPr>
                <w:rFonts w:hint="eastAsia" w:ascii="宋体" w:hAnsi="宋体" w:eastAsia="宋体" w:cs="宋体"/>
                <w:b/>
                <w:bCs/>
                <w:color w:val="auto"/>
                <w:sz w:val="24"/>
                <w:szCs w:val="24"/>
              </w:rPr>
              <w:t>表</w:t>
            </w:r>
            <w:r>
              <w:rPr>
                <w:rFonts w:hint="eastAsia" w:ascii="宋体" w:hAnsi="宋体" w:cs="宋体"/>
                <w:b/>
                <w:bCs/>
                <w:color w:val="auto"/>
                <w:sz w:val="24"/>
                <w:szCs w:val="24"/>
                <w:lang w:val="en-US" w:eastAsia="zh-CN"/>
              </w:rPr>
              <w:t>4-3</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蒸发器</w:t>
            </w:r>
            <w:r>
              <w:rPr>
                <w:rFonts w:hint="eastAsia" w:ascii="宋体" w:hAnsi="宋体" w:eastAsia="宋体" w:cs="宋体"/>
                <w:b/>
                <w:bCs/>
                <w:color w:val="auto"/>
                <w:sz w:val="24"/>
                <w:szCs w:val="24"/>
                <w:lang w:eastAsia="zh-CN"/>
              </w:rPr>
              <w:t>有组织排口</w:t>
            </w:r>
            <w:r>
              <w:rPr>
                <w:rFonts w:hint="eastAsia" w:ascii="宋体" w:hAnsi="宋体" w:eastAsia="宋体" w:cs="宋体"/>
                <w:b/>
                <w:bCs/>
                <w:color w:val="auto"/>
                <w:sz w:val="24"/>
                <w:szCs w:val="24"/>
              </w:rPr>
              <w:t>监测结果一览表  单位：</w:t>
            </w:r>
            <w:r>
              <w:rPr>
                <w:rFonts w:hint="eastAsia" w:ascii="宋体" w:hAnsi="宋体" w:eastAsia="宋体" w:cs="宋体"/>
                <w:b/>
                <w:bCs/>
                <w:color w:val="auto"/>
                <w:spacing w:val="-12"/>
                <w:sz w:val="24"/>
                <w:szCs w:val="24"/>
              </w:rPr>
              <w:t>mg/m</w:t>
            </w:r>
            <w:r>
              <w:rPr>
                <w:rFonts w:hint="eastAsia" w:ascii="宋体" w:hAnsi="宋体" w:eastAsia="宋体" w:cs="宋体"/>
                <w:b/>
                <w:bCs/>
                <w:color w:val="auto"/>
                <w:spacing w:val="-12"/>
                <w:sz w:val="24"/>
                <w:szCs w:val="24"/>
                <w:vertAlign w:val="superscript"/>
              </w:rPr>
              <w:t>3</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1"/>
              <w:gridCol w:w="545"/>
              <w:gridCol w:w="1858"/>
              <w:gridCol w:w="1355"/>
              <w:gridCol w:w="1355"/>
              <w:gridCol w:w="1355"/>
              <w:gridCol w:w="1367"/>
            </w:tblGrid>
            <w:tr w14:paraId="6BC4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7" w:type="pct"/>
                  <w:vMerge w:val="restart"/>
                  <w:noWrap w:val="0"/>
                  <w:tcMar>
                    <w:top w:w="15" w:type="dxa"/>
                    <w:left w:w="15" w:type="dxa"/>
                    <w:bottom w:w="0" w:type="dxa"/>
                    <w:right w:w="15" w:type="dxa"/>
                  </w:tcMar>
                  <w:vAlign w:val="center"/>
                </w:tcPr>
                <w:p w14:paraId="7592457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检测日期</w:t>
                  </w:r>
                </w:p>
              </w:tc>
              <w:tc>
                <w:tcPr>
                  <w:tcW w:w="1424" w:type="pct"/>
                  <w:gridSpan w:val="2"/>
                  <w:vMerge w:val="restart"/>
                  <w:noWrap w:val="0"/>
                  <w:tcMar>
                    <w:top w:w="15" w:type="dxa"/>
                    <w:left w:w="15" w:type="dxa"/>
                    <w:bottom w:w="0" w:type="dxa"/>
                    <w:right w:w="15" w:type="dxa"/>
                  </w:tcMar>
                  <w:vAlign w:val="center"/>
                </w:tcPr>
                <w:p w14:paraId="15E45F7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检测项目</w:t>
                  </w:r>
                </w:p>
              </w:tc>
              <w:tc>
                <w:tcPr>
                  <w:tcW w:w="2409" w:type="pct"/>
                  <w:gridSpan w:val="3"/>
                  <w:noWrap w:val="0"/>
                  <w:tcMar>
                    <w:top w:w="15" w:type="dxa"/>
                    <w:left w:w="15" w:type="dxa"/>
                    <w:bottom w:w="0" w:type="dxa"/>
                    <w:right w:w="15" w:type="dxa"/>
                  </w:tcMar>
                  <w:vAlign w:val="center"/>
                </w:tcPr>
                <w:p w14:paraId="523FB04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检测频次</w:t>
                  </w:r>
                </w:p>
              </w:tc>
              <w:tc>
                <w:tcPr>
                  <w:tcW w:w="809" w:type="pct"/>
                  <w:vMerge w:val="restart"/>
                  <w:noWrap w:val="0"/>
                  <w:vAlign w:val="center"/>
                </w:tcPr>
                <w:p w14:paraId="19B9765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平均值</w:t>
                  </w:r>
                </w:p>
              </w:tc>
            </w:tr>
            <w:tr w14:paraId="343B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57" w:type="pct"/>
                  <w:vMerge w:val="continue"/>
                  <w:noWrap w:val="0"/>
                  <w:tcMar>
                    <w:top w:w="15" w:type="dxa"/>
                    <w:left w:w="15" w:type="dxa"/>
                    <w:bottom w:w="0" w:type="dxa"/>
                    <w:right w:w="15" w:type="dxa"/>
                  </w:tcMar>
                  <w:vAlign w:val="center"/>
                </w:tcPr>
                <w:p w14:paraId="6B4D5D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424" w:type="pct"/>
                  <w:gridSpan w:val="2"/>
                  <w:vMerge w:val="continue"/>
                  <w:noWrap w:val="0"/>
                  <w:tcMar>
                    <w:top w:w="15" w:type="dxa"/>
                    <w:left w:w="15" w:type="dxa"/>
                    <w:bottom w:w="0" w:type="dxa"/>
                    <w:right w:w="15" w:type="dxa"/>
                  </w:tcMar>
                  <w:vAlign w:val="center"/>
                </w:tcPr>
                <w:p w14:paraId="52ACC4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803" w:type="pct"/>
                  <w:noWrap w:val="0"/>
                  <w:tcMar>
                    <w:top w:w="15" w:type="dxa"/>
                    <w:left w:w="15" w:type="dxa"/>
                    <w:bottom w:w="0" w:type="dxa"/>
                    <w:right w:w="15" w:type="dxa"/>
                  </w:tcMar>
                  <w:vAlign w:val="center"/>
                </w:tcPr>
                <w:p w14:paraId="62DFC72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w:t>
                  </w:r>
                </w:p>
              </w:tc>
              <w:tc>
                <w:tcPr>
                  <w:tcW w:w="803" w:type="pct"/>
                  <w:noWrap w:val="0"/>
                  <w:vAlign w:val="center"/>
                </w:tcPr>
                <w:p w14:paraId="7EA077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2</w:t>
                  </w:r>
                </w:p>
              </w:tc>
              <w:tc>
                <w:tcPr>
                  <w:tcW w:w="803" w:type="pct"/>
                  <w:noWrap w:val="0"/>
                  <w:vAlign w:val="center"/>
                </w:tcPr>
                <w:p w14:paraId="49494B8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3</w:t>
                  </w:r>
                </w:p>
              </w:tc>
              <w:tc>
                <w:tcPr>
                  <w:tcW w:w="809" w:type="pct"/>
                  <w:vMerge w:val="continue"/>
                  <w:noWrap w:val="0"/>
                  <w:vAlign w:val="center"/>
                </w:tcPr>
                <w:p w14:paraId="397DE0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z w:val="21"/>
                      <w:szCs w:val="21"/>
                    </w:rPr>
                  </w:pPr>
                </w:p>
              </w:tc>
            </w:tr>
            <w:tr w14:paraId="35AD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restart"/>
                  <w:noWrap w:val="0"/>
                  <w:tcMar>
                    <w:top w:w="15" w:type="dxa"/>
                    <w:left w:w="15" w:type="dxa"/>
                    <w:bottom w:w="0" w:type="dxa"/>
                    <w:right w:w="15" w:type="dxa"/>
                  </w:tcMar>
                  <w:vAlign w:val="center"/>
                </w:tcPr>
                <w:p w14:paraId="098FEE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
                      <w:bCs w:val="0"/>
                      <w:color w:val="auto"/>
                      <w:sz w:val="21"/>
                      <w:szCs w:val="21"/>
                      <w:lang w:val="en-US" w:eastAsia="zh-CN"/>
                    </w:rPr>
                    <w:t>2025年7月24日</w:t>
                  </w:r>
                </w:p>
              </w:tc>
              <w:tc>
                <w:tcPr>
                  <w:tcW w:w="1424" w:type="pct"/>
                  <w:gridSpan w:val="2"/>
                  <w:noWrap w:val="0"/>
                  <w:tcMar>
                    <w:top w:w="15" w:type="dxa"/>
                    <w:left w:w="15" w:type="dxa"/>
                    <w:bottom w:w="0" w:type="dxa"/>
                    <w:right w:w="15" w:type="dxa"/>
                  </w:tcMar>
                  <w:vAlign w:val="center"/>
                </w:tcPr>
                <w:p w14:paraId="7A2A1CE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氧含量</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43DE0C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13.7</w:t>
                  </w:r>
                </w:p>
              </w:tc>
              <w:tc>
                <w:tcPr>
                  <w:tcW w:w="803" w:type="pct"/>
                  <w:noWrap w:val="0"/>
                  <w:tcMar>
                    <w:top w:w="15" w:type="dxa"/>
                    <w:left w:w="15" w:type="dxa"/>
                    <w:bottom w:w="0" w:type="dxa"/>
                    <w:right w:w="15" w:type="dxa"/>
                  </w:tcMar>
                  <w:vAlign w:val="center"/>
                </w:tcPr>
                <w:p w14:paraId="2A68EF1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13.4</w:t>
                  </w:r>
                </w:p>
              </w:tc>
              <w:tc>
                <w:tcPr>
                  <w:tcW w:w="803" w:type="pct"/>
                  <w:noWrap w:val="0"/>
                  <w:vAlign w:val="center"/>
                </w:tcPr>
                <w:p w14:paraId="7775F7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13.9</w:t>
                  </w:r>
                </w:p>
              </w:tc>
              <w:tc>
                <w:tcPr>
                  <w:tcW w:w="809" w:type="pct"/>
                  <w:noWrap w:val="0"/>
                  <w:vAlign w:val="center"/>
                </w:tcPr>
                <w:p w14:paraId="5B516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13.7</w:t>
                  </w:r>
                </w:p>
              </w:tc>
            </w:tr>
            <w:tr w14:paraId="19C6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6C8D91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34C4560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烟温（</w:t>
                  </w:r>
                  <w:r>
                    <w:rPr>
                      <w:rFonts w:hint="eastAsia" w:ascii="宋体" w:hAnsi="宋体" w:eastAsia="宋体" w:cs="宋体"/>
                      <w:b/>
                      <w:bCs w:val="0"/>
                      <w:color w:val="auto"/>
                      <w:sz w:val="21"/>
                      <w:szCs w:val="21"/>
                      <w:lang w:val="en-US" w:eastAsia="zh-CN"/>
                    </w:rPr>
                    <w:t>℃</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4B71D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79</w:t>
                  </w:r>
                </w:p>
              </w:tc>
            </w:tr>
            <w:tr w14:paraId="5D27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67462E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211CF72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eastAsia="zh-CN"/>
                    </w:rPr>
                    <w:t>流速（</w:t>
                  </w:r>
                  <w:r>
                    <w:rPr>
                      <w:rFonts w:hint="eastAsia" w:ascii="宋体" w:hAnsi="宋体" w:eastAsia="宋体" w:cs="宋体"/>
                      <w:b/>
                      <w:bCs w:val="0"/>
                      <w:color w:val="auto"/>
                      <w:sz w:val="21"/>
                      <w:szCs w:val="21"/>
                      <w:lang w:val="en-US" w:eastAsia="zh-CN"/>
                    </w:rPr>
                    <w:t>m/s</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17632FB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5.2</w:t>
                  </w:r>
                </w:p>
              </w:tc>
              <w:tc>
                <w:tcPr>
                  <w:tcW w:w="803" w:type="pct"/>
                  <w:noWrap w:val="0"/>
                  <w:tcMar>
                    <w:top w:w="15" w:type="dxa"/>
                    <w:left w:w="15" w:type="dxa"/>
                    <w:bottom w:w="0" w:type="dxa"/>
                    <w:right w:w="15" w:type="dxa"/>
                  </w:tcMar>
                  <w:vAlign w:val="center"/>
                </w:tcPr>
                <w:p w14:paraId="77F748E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5.9</w:t>
                  </w:r>
                </w:p>
              </w:tc>
              <w:tc>
                <w:tcPr>
                  <w:tcW w:w="803" w:type="pct"/>
                  <w:noWrap w:val="0"/>
                  <w:vAlign w:val="center"/>
                </w:tcPr>
                <w:p w14:paraId="2F166AD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809" w:type="pct"/>
                  <w:noWrap w:val="0"/>
                  <w:vAlign w:val="center"/>
                </w:tcPr>
                <w:p w14:paraId="104DF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5.7</w:t>
                  </w:r>
                </w:p>
              </w:tc>
            </w:tr>
            <w:tr w14:paraId="0883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5BBCD49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lang w:eastAsia="zh-CN"/>
                    </w:rPr>
                  </w:pPr>
                </w:p>
              </w:tc>
              <w:tc>
                <w:tcPr>
                  <w:tcW w:w="1424" w:type="pct"/>
                  <w:gridSpan w:val="2"/>
                  <w:noWrap w:val="0"/>
                  <w:tcMar>
                    <w:top w:w="15" w:type="dxa"/>
                    <w:left w:w="15" w:type="dxa"/>
                    <w:bottom w:w="0" w:type="dxa"/>
                    <w:right w:w="15" w:type="dxa"/>
                  </w:tcMar>
                  <w:vAlign w:val="center"/>
                </w:tcPr>
                <w:p w14:paraId="40B50A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sz w:val="21"/>
                      <w:szCs w:val="21"/>
                      <w:lang w:val="en-US" w:eastAsia="zh-CN"/>
                    </w:rPr>
                    <w:t>废气排放量</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rPr>
                    <w:t>/h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6D9E3F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5711</w:t>
                  </w:r>
                </w:p>
              </w:tc>
              <w:tc>
                <w:tcPr>
                  <w:tcW w:w="803" w:type="pct"/>
                  <w:noWrap w:val="0"/>
                  <w:tcMar>
                    <w:top w:w="15" w:type="dxa"/>
                    <w:left w:w="15" w:type="dxa"/>
                    <w:bottom w:w="0" w:type="dxa"/>
                    <w:right w:w="15" w:type="dxa"/>
                  </w:tcMar>
                  <w:vAlign w:val="center"/>
                </w:tcPr>
                <w:p w14:paraId="7CAC810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6492</w:t>
                  </w:r>
                </w:p>
              </w:tc>
              <w:tc>
                <w:tcPr>
                  <w:tcW w:w="803" w:type="pct"/>
                  <w:noWrap w:val="0"/>
                  <w:vAlign w:val="center"/>
                </w:tcPr>
                <w:p w14:paraId="2C63DEA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6639</w:t>
                  </w:r>
                </w:p>
              </w:tc>
              <w:tc>
                <w:tcPr>
                  <w:tcW w:w="809" w:type="pct"/>
                  <w:noWrap w:val="0"/>
                  <w:vAlign w:val="center"/>
                </w:tcPr>
                <w:p w14:paraId="295F3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6281</w:t>
                  </w:r>
                </w:p>
              </w:tc>
            </w:tr>
            <w:tr w14:paraId="7FFB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02F777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69C69DE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颗粒物</w:t>
                  </w:r>
                </w:p>
              </w:tc>
              <w:tc>
                <w:tcPr>
                  <w:tcW w:w="1101" w:type="pct"/>
                  <w:noWrap w:val="0"/>
                  <w:tcMar>
                    <w:top w:w="15" w:type="dxa"/>
                    <w:left w:w="15" w:type="dxa"/>
                    <w:bottom w:w="0" w:type="dxa"/>
                    <w:right w:w="15" w:type="dxa"/>
                  </w:tcMar>
                  <w:vAlign w:val="center"/>
                </w:tcPr>
                <w:p w14:paraId="1C10B8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4BB981C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803" w:type="pct"/>
                  <w:noWrap w:val="0"/>
                  <w:tcMar>
                    <w:top w:w="15" w:type="dxa"/>
                    <w:left w:w="15" w:type="dxa"/>
                    <w:bottom w:w="0" w:type="dxa"/>
                    <w:right w:w="15" w:type="dxa"/>
                  </w:tcMar>
                  <w:vAlign w:val="center"/>
                </w:tcPr>
                <w:p w14:paraId="205721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4.5</w:t>
                  </w:r>
                </w:p>
              </w:tc>
              <w:tc>
                <w:tcPr>
                  <w:tcW w:w="803" w:type="pct"/>
                  <w:noWrap w:val="0"/>
                  <w:vAlign w:val="center"/>
                </w:tcPr>
                <w:p w14:paraId="1247C1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809" w:type="pct"/>
                  <w:noWrap w:val="0"/>
                  <w:vAlign w:val="center"/>
                </w:tcPr>
                <w:p w14:paraId="280D35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4.5</w:t>
                  </w:r>
                </w:p>
              </w:tc>
            </w:tr>
            <w:tr w14:paraId="5C5D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tcMar>
                    <w:top w:w="15" w:type="dxa"/>
                    <w:left w:w="15" w:type="dxa"/>
                    <w:bottom w:w="0" w:type="dxa"/>
                    <w:right w:w="15" w:type="dxa"/>
                  </w:tcMar>
                  <w:vAlign w:val="center"/>
                </w:tcPr>
                <w:p w14:paraId="6EDB05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52E671F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p>
              </w:tc>
              <w:tc>
                <w:tcPr>
                  <w:tcW w:w="1101" w:type="pct"/>
                  <w:noWrap w:val="0"/>
                  <w:tcMar>
                    <w:top w:w="15" w:type="dxa"/>
                    <w:left w:w="15" w:type="dxa"/>
                    <w:bottom w:w="0" w:type="dxa"/>
                    <w:right w:w="15" w:type="dxa"/>
                  </w:tcMar>
                  <w:vAlign w:val="center"/>
                </w:tcPr>
                <w:p w14:paraId="3DECD87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007AC8C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8.2</w:t>
                  </w:r>
                </w:p>
              </w:tc>
              <w:tc>
                <w:tcPr>
                  <w:tcW w:w="803" w:type="pct"/>
                  <w:noWrap w:val="0"/>
                  <w:tcMar>
                    <w:top w:w="15" w:type="dxa"/>
                    <w:left w:w="15" w:type="dxa"/>
                    <w:bottom w:w="0" w:type="dxa"/>
                    <w:right w:w="15" w:type="dxa"/>
                  </w:tcMar>
                  <w:vAlign w:val="center"/>
                </w:tcPr>
                <w:p w14:paraId="0E561C6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7.2</w:t>
                  </w:r>
                </w:p>
              </w:tc>
              <w:tc>
                <w:tcPr>
                  <w:tcW w:w="803" w:type="pct"/>
                  <w:noWrap w:val="0"/>
                  <w:vAlign w:val="center"/>
                </w:tcPr>
                <w:p w14:paraId="6FEE43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6.9</w:t>
                  </w:r>
                </w:p>
              </w:tc>
              <w:tc>
                <w:tcPr>
                  <w:tcW w:w="809" w:type="pct"/>
                  <w:noWrap w:val="0"/>
                  <w:vAlign w:val="center"/>
                </w:tcPr>
                <w:p w14:paraId="3C06835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7.4</w:t>
                  </w:r>
                </w:p>
              </w:tc>
            </w:tr>
            <w:tr w14:paraId="2994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071C7E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6532BEB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6E299C9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61FBDB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0.029</w:t>
                  </w:r>
                </w:p>
              </w:tc>
              <w:tc>
                <w:tcPr>
                  <w:tcW w:w="803" w:type="pct"/>
                  <w:noWrap w:val="0"/>
                  <w:tcMar>
                    <w:top w:w="15" w:type="dxa"/>
                    <w:left w:w="15" w:type="dxa"/>
                    <w:bottom w:w="0" w:type="dxa"/>
                    <w:right w:w="15" w:type="dxa"/>
                  </w:tcMar>
                  <w:vAlign w:val="center"/>
                </w:tcPr>
                <w:p w14:paraId="662D93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0.029</w:t>
                  </w:r>
                </w:p>
              </w:tc>
              <w:tc>
                <w:tcPr>
                  <w:tcW w:w="803" w:type="pct"/>
                  <w:noWrap w:val="0"/>
                  <w:vAlign w:val="center"/>
                </w:tcPr>
                <w:p w14:paraId="28002BC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0.027</w:t>
                  </w:r>
                </w:p>
              </w:tc>
              <w:tc>
                <w:tcPr>
                  <w:tcW w:w="809" w:type="pct"/>
                  <w:noWrap w:val="0"/>
                  <w:vAlign w:val="center"/>
                </w:tcPr>
                <w:p w14:paraId="1C86A3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0.028</w:t>
                  </w:r>
                </w:p>
              </w:tc>
            </w:tr>
            <w:tr w14:paraId="788B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075A0E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5710E8F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05DCE2A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5C8D6B3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50</w:t>
                  </w:r>
                </w:p>
              </w:tc>
            </w:tr>
            <w:tr w14:paraId="5C70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047C63F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5F589EB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725B4D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2EC13E7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5B6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7A800A3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1724E1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SO</w:t>
                  </w:r>
                  <w:r>
                    <w:rPr>
                      <w:rFonts w:hint="eastAsia" w:ascii="宋体" w:hAnsi="宋体" w:eastAsia="宋体" w:cs="宋体"/>
                      <w:b/>
                      <w:bCs w:val="0"/>
                      <w:color w:val="auto"/>
                      <w:kern w:val="2"/>
                      <w:sz w:val="21"/>
                      <w:szCs w:val="21"/>
                      <w:vertAlign w:val="subscript"/>
                      <w:lang w:val="en-US" w:eastAsia="zh-CN" w:bidi="ar-SA"/>
                    </w:rPr>
                    <w:t>2</w:t>
                  </w:r>
                </w:p>
              </w:tc>
              <w:tc>
                <w:tcPr>
                  <w:tcW w:w="1101" w:type="pct"/>
                  <w:noWrap w:val="0"/>
                  <w:tcMar>
                    <w:top w:w="15" w:type="dxa"/>
                    <w:left w:w="15" w:type="dxa"/>
                    <w:bottom w:w="0" w:type="dxa"/>
                    <w:right w:w="15" w:type="dxa"/>
                  </w:tcMar>
                  <w:vAlign w:val="center"/>
                </w:tcPr>
                <w:p w14:paraId="3B2BB16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2875A2B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3" w:type="pct"/>
                  <w:noWrap w:val="0"/>
                  <w:tcMar>
                    <w:top w:w="15" w:type="dxa"/>
                    <w:left w:w="15" w:type="dxa"/>
                    <w:bottom w:w="0" w:type="dxa"/>
                    <w:right w:w="15" w:type="dxa"/>
                  </w:tcMar>
                  <w:vAlign w:val="center"/>
                </w:tcPr>
                <w:p w14:paraId="4426996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3" w:type="pct"/>
                  <w:noWrap w:val="0"/>
                  <w:vAlign w:val="center"/>
                </w:tcPr>
                <w:p w14:paraId="3551E8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809" w:type="pct"/>
                  <w:noWrap w:val="0"/>
                  <w:vAlign w:val="center"/>
                </w:tcPr>
                <w:p w14:paraId="403D794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＜3</w:t>
                  </w:r>
                </w:p>
              </w:tc>
            </w:tr>
            <w:tr w14:paraId="60CC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4473201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556BFA5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p>
              </w:tc>
              <w:tc>
                <w:tcPr>
                  <w:tcW w:w="1101" w:type="pct"/>
                  <w:noWrap w:val="0"/>
                  <w:tcMar>
                    <w:top w:w="15" w:type="dxa"/>
                    <w:left w:w="15" w:type="dxa"/>
                    <w:bottom w:w="0" w:type="dxa"/>
                    <w:right w:w="15" w:type="dxa"/>
                  </w:tcMar>
                  <w:vAlign w:val="center"/>
                </w:tcPr>
                <w:p w14:paraId="52A02C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568AC5F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03" w:type="pct"/>
                  <w:noWrap w:val="0"/>
                  <w:tcMar>
                    <w:top w:w="15" w:type="dxa"/>
                    <w:left w:w="15" w:type="dxa"/>
                    <w:bottom w:w="0" w:type="dxa"/>
                    <w:right w:w="15" w:type="dxa"/>
                  </w:tcMar>
                  <w:vAlign w:val="center"/>
                </w:tcPr>
                <w:p w14:paraId="6BE5B6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03" w:type="pct"/>
                  <w:noWrap w:val="0"/>
                  <w:vAlign w:val="center"/>
                </w:tcPr>
                <w:p w14:paraId="1E74E0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809" w:type="pct"/>
                  <w:noWrap w:val="0"/>
                  <w:vAlign w:val="center"/>
                </w:tcPr>
                <w:p w14:paraId="2A6F67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14:paraId="2254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00E0269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2C536D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kern w:val="2"/>
                      <w:sz w:val="21"/>
                      <w:szCs w:val="21"/>
                      <w:lang w:val="en-US" w:eastAsia="zh-CN" w:bidi="ar-SA"/>
                    </w:rPr>
                  </w:pPr>
                </w:p>
              </w:tc>
              <w:tc>
                <w:tcPr>
                  <w:tcW w:w="1101" w:type="pct"/>
                  <w:noWrap w:val="0"/>
                  <w:tcMar>
                    <w:top w:w="15" w:type="dxa"/>
                    <w:left w:w="15" w:type="dxa"/>
                    <w:bottom w:w="0" w:type="dxa"/>
                    <w:right w:w="15" w:type="dxa"/>
                  </w:tcMar>
                  <w:vAlign w:val="center"/>
                </w:tcPr>
                <w:p w14:paraId="4657C2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0BE8C62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＜0.017</w:t>
                  </w:r>
                </w:p>
              </w:tc>
              <w:tc>
                <w:tcPr>
                  <w:tcW w:w="803" w:type="pct"/>
                  <w:noWrap w:val="0"/>
                  <w:tcMar>
                    <w:top w:w="15" w:type="dxa"/>
                    <w:left w:w="15" w:type="dxa"/>
                    <w:bottom w:w="0" w:type="dxa"/>
                    <w:right w:w="15" w:type="dxa"/>
                  </w:tcMar>
                  <w:vAlign w:val="center"/>
                </w:tcPr>
                <w:p w14:paraId="4614EDB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＜0.019</w:t>
                  </w:r>
                </w:p>
              </w:tc>
              <w:tc>
                <w:tcPr>
                  <w:tcW w:w="803" w:type="pct"/>
                  <w:noWrap w:val="0"/>
                  <w:vAlign w:val="center"/>
                </w:tcPr>
                <w:p w14:paraId="5041F66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＜0.020</w:t>
                  </w:r>
                </w:p>
              </w:tc>
              <w:tc>
                <w:tcPr>
                  <w:tcW w:w="809" w:type="pct"/>
                  <w:noWrap w:val="0"/>
                  <w:vAlign w:val="center"/>
                </w:tcPr>
                <w:p w14:paraId="0DB693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color w:val="auto"/>
                      <w:sz w:val="21"/>
                      <w:szCs w:val="21"/>
                      <w:lang w:val="en-US" w:eastAsia="zh-CN"/>
                    </w:rPr>
                    <w:t>＜0.019</w:t>
                  </w:r>
                </w:p>
              </w:tc>
            </w:tr>
            <w:tr w14:paraId="6BD5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1B246E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180CCA0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0C1E5FE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742C1BB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300</w:t>
                  </w:r>
                </w:p>
              </w:tc>
            </w:tr>
            <w:tr w14:paraId="2D35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5F3A22F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0C2857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023D700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2B259E7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4531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650F41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restart"/>
                  <w:noWrap w:val="0"/>
                  <w:tcMar>
                    <w:top w:w="15" w:type="dxa"/>
                    <w:left w:w="15" w:type="dxa"/>
                    <w:bottom w:w="0" w:type="dxa"/>
                    <w:right w:w="15" w:type="dxa"/>
                  </w:tcMar>
                  <w:vAlign w:val="center"/>
                </w:tcPr>
                <w:p w14:paraId="43F637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eastAsia="zh-CN"/>
                    </w:rPr>
                    <w:t>NO</w:t>
                  </w:r>
                  <w:r>
                    <w:rPr>
                      <w:rFonts w:hint="eastAsia" w:ascii="宋体" w:hAnsi="宋体" w:eastAsia="宋体" w:cs="宋体"/>
                      <w:b/>
                      <w:bCs w:val="0"/>
                      <w:color w:val="auto"/>
                      <w:sz w:val="21"/>
                      <w:szCs w:val="21"/>
                      <w:vertAlign w:val="subscript"/>
                      <w:lang w:val="en-US" w:eastAsia="zh-CN"/>
                    </w:rPr>
                    <w:t>X</w:t>
                  </w:r>
                </w:p>
              </w:tc>
              <w:tc>
                <w:tcPr>
                  <w:tcW w:w="1101" w:type="pct"/>
                  <w:noWrap w:val="0"/>
                  <w:tcMar>
                    <w:top w:w="15" w:type="dxa"/>
                    <w:left w:w="15" w:type="dxa"/>
                    <w:bottom w:w="0" w:type="dxa"/>
                    <w:right w:w="15" w:type="dxa"/>
                  </w:tcMar>
                  <w:vAlign w:val="center"/>
                </w:tcPr>
                <w:p w14:paraId="307DDB0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实测</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60E868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84</w:t>
                  </w:r>
                </w:p>
              </w:tc>
              <w:tc>
                <w:tcPr>
                  <w:tcW w:w="803" w:type="pct"/>
                  <w:noWrap w:val="0"/>
                  <w:tcMar>
                    <w:top w:w="15" w:type="dxa"/>
                    <w:left w:w="15" w:type="dxa"/>
                    <w:bottom w:w="0" w:type="dxa"/>
                    <w:right w:w="15" w:type="dxa"/>
                  </w:tcMar>
                  <w:vAlign w:val="center"/>
                </w:tcPr>
                <w:p w14:paraId="6BCB748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89</w:t>
                  </w:r>
                </w:p>
              </w:tc>
              <w:tc>
                <w:tcPr>
                  <w:tcW w:w="803" w:type="pct"/>
                  <w:noWrap w:val="0"/>
                  <w:vAlign w:val="center"/>
                </w:tcPr>
                <w:p w14:paraId="51F9EA8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77</w:t>
                  </w:r>
                </w:p>
              </w:tc>
              <w:tc>
                <w:tcPr>
                  <w:tcW w:w="809" w:type="pct"/>
                  <w:noWrap w:val="0"/>
                  <w:vAlign w:val="center"/>
                </w:tcPr>
                <w:p w14:paraId="6E60FB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83</w:t>
                  </w:r>
                </w:p>
              </w:tc>
            </w:tr>
            <w:tr w14:paraId="239D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57" w:type="pct"/>
                  <w:vMerge w:val="continue"/>
                  <w:noWrap w:val="0"/>
                  <w:vAlign w:val="center"/>
                </w:tcPr>
                <w:p w14:paraId="3FB260A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5A5F83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p>
              </w:tc>
              <w:tc>
                <w:tcPr>
                  <w:tcW w:w="1101" w:type="pct"/>
                  <w:noWrap w:val="0"/>
                  <w:tcMar>
                    <w:top w:w="15" w:type="dxa"/>
                    <w:left w:w="15" w:type="dxa"/>
                    <w:bottom w:w="0" w:type="dxa"/>
                    <w:right w:w="15" w:type="dxa"/>
                  </w:tcMar>
                  <w:vAlign w:val="center"/>
                </w:tcPr>
                <w:p w14:paraId="75DFAFC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排放</w:t>
                  </w:r>
                  <w:r>
                    <w:rPr>
                      <w:rFonts w:hint="eastAsia" w:ascii="宋体" w:hAnsi="宋体" w:eastAsia="宋体" w:cs="宋体"/>
                      <w:b/>
                      <w:bCs w:val="0"/>
                      <w:color w:val="auto"/>
                      <w:sz w:val="21"/>
                      <w:szCs w:val="21"/>
                    </w:rPr>
                    <w:t>浓度</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6AABF01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138</w:t>
                  </w:r>
                </w:p>
              </w:tc>
              <w:tc>
                <w:tcPr>
                  <w:tcW w:w="803" w:type="pct"/>
                  <w:noWrap w:val="0"/>
                  <w:tcMar>
                    <w:top w:w="15" w:type="dxa"/>
                    <w:left w:w="15" w:type="dxa"/>
                    <w:bottom w:w="0" w:type="dxa"/>
                    <w:right w:w="15" w:type="dxa"/>
                  </w:tcMar>
                  <w:vAlign w:val="center"/>
                </w:tcPr>
                <w:p w14:paraId="5C4255D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141</w:t>
                  </w:r>
                </w:p>
              </w:tc>
              <w:tc>
                <w:tcPr>
                  <w:tcW w:w="803" w:type="pct"/>
                  <w:noWrap w:val="0"/>
                  <w:vAlign w:val="center"/>
                </w:tcPr>
                <w:p w14:paraId="0097EC2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130</w:t>
                  </w:r>
                </w:p>
              </w:tc>
              <w:tc>
                <w:tcPr>
                  <w:tcW w:w="809" w:type="pct"/>
                  <w:noWrap w:val="0"/>
                  <w:vAlign w:val="center"/>
                </w:tcPr>
                <w:p w14:paraId="4D7BFC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136</w:t>
                  </w:r>
                </w:p>
              </w:tc>
            </w:tr>
            <w:tr w14:paraId="6C6E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5184FA8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323" w:type="pct"/>
                  <w:vMerge w:val="continue"/>
                  <w:noWrap w:val="0"/>
                  <w:tcMar>
                    <w:top w:w="15" w:type="dxa"/>
                    <w:left w:w="15" w:type="dxa"/>
                    <w:bottom w:w="0" w:type="dxa"/>
                    <w:right w:w="15" w:type="dxa"/>
                  </w:tcMar>
                  <w:vAlign w:val="center"/>
                </w:tcPr>
                <w:p w14:paraId="0F0FD1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19B84F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rPr>
                    <w:t>排放速率</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rPr>
                    <w:t>kg/h</w:t>
                  </w:r>
                  <w:r>
                    <w:rPr>
                      <w:rFonts w:hint="eastAsia" w:ascii="宋体" w:hAnsi="宋体" w:eastAsia="宋体" w:cs="宋体"/>
                      <w:b/>
                      <w:bCs w:val="0"/>
                      <w:color w:val="auto"/>
                      <w:sz w:val="21"/>
                      <w:szCs w:val="21"/>
                      <w:lang w:eastAsia="zh-CN"/>
                    </w:rPr>
                    <w:t>）</w:t>
                  </w:r>
                </w:p>
              </w:tc>
              <w:tc>
                <w:tcPr>
                  <w:tcW w:w="803" w:type="pct"/>
                  <w:noWrap w:val="0"/>
                  <w:tcMar>
                    <w:top w:w="15" w:type="dxa"/>
                    <w:left w:w="15" w:type="dxa"/>
                    <w:bottom w:w="0" w:type="dxa"/>
                    <w:right w:w="15" w:type="dxa"/>
                  </w:tcMar>
                  <w:vAlign w:val="center"/>
                </w:tcPr>
                <w:p w14:paraId="13CE19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0.480</w:t>
                  </w:r>
                </w:p>
              </w:tc>
              <w:tc>
                <w:tcPr>
                  <w:tcW w:w="803" w:type="pct"/>
                  <w:noWrap w:val="0"/>
                  <w:tcMar>
                    <w:top w:w="15" w:type="dxa"/>
                    <w:left w:w="15" w:type="dxa"/>
                    <w:bottom w:w="0" w:type="dxa"/>
                    <w:right w:w="15" w:type="dxa"/>
                  </w:tcMar>
                  <w:vAlign w:val="center"/>
                </w:tcPr>
                <w:p w14:paraId="0BB8FFE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0.578</w:t>
                  </w:r>
                </w:p>
              </w:tc>
              <w:tc>
                <w:tcPr>
                  <w:tcW w:w="803" w:type="pct"/>
                  <w:noWrap w:val="0"/>
                  <w:vAlign w:val="center"/>
                </w:tcPr>
                <w:p w14:paraId="6EE58D6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0.511</w:t>
                  </w:r>
                </w:p>
              </w:tc>
              <w:tc>
                <w:tcPr>
                  <w:tcW w:w="809" w:type="pct"/>
                  <w:noWrap w:val="0"/>
                  <w:vAlign w:val="center"/>
                </w:tcPr>
                <w:p w14:paraId="2E00F7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0.523</w:t>
                  </w:r>
                </w:p>
              </w:tc>
            </w:tr>
            <w:tr w14:paraId="6AF7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2E88B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323" w:type="pct"/>
                  <w:vMerge w:val="continue"/>
                  <w:noWrap w:val="0"/>
                  <w:tcMar>
                    <w:top w:w="15" w:type="dxa"/>
                    <w:left w:w="15" w:type="dxa"/>
                    <w:bottom w:w="0" w:type="dxa"/>
                    <w:right w:w="15" w:type="dxa"/>
                  </w:tcMar>
                  <w:vAlign w:val="center"/>
                </w:tcPr>
                <w:p w14:paraId="6C9D6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101" w:type="pct"/>
                  <w:noWrap w:val="0"/>
                  <w:tcMar>
                    <w:top w:w="15" w:type="dxa"/>
                    <w:left w:w="15" w:type="dxa"/>
                    <w:bottom w:w="0" w:type="dxa"/>
                    <w:right w:w="15" w:type="dxa"/>
                  </w:tcMar>
                  <w:vAlign w:val="center"/>
                </w:tcPr>
                <w:p w14:paraId="42B06CA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标准值（</w:t>
                  </w:r>
                  <w:r>
                    <w:rPr>
                      <w:rFonts w:hint="eastAsia" w:ascii="宋体" w:hAnsi="宋体" w:eastAsia="宋体" w:cs="宋体"/>
                      <w:b/>
                      <w:bCs w:val="0"/>
                      <w:color w:val="auto"/>
                      <w:sz w:val="21"/>
                      <w:szCs w:val="21"/>
                    </w:rPr>
                    <w:t>mg/m</w:t>
                  </w:r>
                  <w:r>
                    <w:rPr>
                      <w:rFonts w:hint="eastAsia" w:ascii="宋体" w:hAnsi="宋体" w:eastAsia="宋体" w:cs="宋体"/>
                      <w:b/>
                      <w:bCs w:val="0"/>
                      <w:color w:val="auto"/>
                      <w:sz w:val="21"/>
                      <w:szCs w:val="21"/>
                      <w:vertAlign w:val="superscript"/>
                    </w:rPr>
                    <w:t>3</w:t>
                  </w:r>
                  <w:r>
                    <w:rPr>
                      <w:rFonts w:hint="eastAsia" w:ascii="宋体" w:hAnsi="宋体" w:eastAsia="宋体" w:cs="宋体"/>
                      <w:b/>
                      <w:bCs w:val="0"/>
                      <w:color w:val="auto"/>
                      <w:sz w:val="21"/>
                      <w:szCs w:val="21"/>
                      <w:lang w:eastAsia="zh-CN"/>
                    </w:rPr>
                    <w:t>）</w:t>
                  </w:r>
                </w:p>
              </w:tc>
              <w:tc>
                <w:tcPr>
                  <w:tcW w:w="3218" w:type="pct"/>
                  <w:gridSpan w:val="4"/>
                  <w:noWrap w:val="0"/>
                  <w:tcMar>
                    <w:top w:w="15" w:type="dxa"/>
                    <w:left w:w="15" w:type="dxa"/>
                    <w:bottom w:w="0" w:type="dxa"/>
                    <w:right w:w="15" w:type="dxa"/>
                  </w:tcMar>
                  <w:vAlign w:val="center"/>
                </w:tcPr>
                <w:p w14:paraId="327A54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300</w:t>
                  </w:r>
                </w:p>
              </w:tc>
            </w:tr>
            <w:tr w14:paraId="498B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357" w:type="pct"/>
                  <w:vMerge w:val="continue"/>
                  <w:noWrap w:val="0"/>
                  <w:vAlign w:val="center"/>
                </w:tcPr>
                <w:p w14:paraId="1A512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323" w:type="pct"/>
                  <w:vMerge w:val="continue"/>
                  <w:noWrap w:val="0"/>
                  <w:tcMar>
                    <w:top w:w="15" w:type="dxa"/>
                    <w:left w:w="15" w:type="dxa"/>
                    <w:bottom w:w="0" w:type="dxa"/>
                    <w:right w:w="15" w:type="dxa"/>
                  </w:tcMar>
                  <w:vAlign w:val="center"/>
                </w:tcPr>
                <w:p w14:paraId="37198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p>
              </w:tc>
              <w:tc>
                <w:tcPr>
                  <w:tcW w:w="1101" w:type="pct"/>
                  <w:noWrap w:val="0"/>
                  <w:tcMar>
                    <w:top w:w="15" w:type="dxa"/>
                    <w:left w:w="15" w:type="dxa"/>
                    <w:bottom w:w="0" w:type="dxa"/>
                    <w:right w:w="15" w:type="dxa"/>
                  </w:tcMar>
                  <w:vAlign w:val="center"/>
                </w:tcPr>
                <w:p w14:paraId="0AFA57E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5D20B9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198A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213C7A6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Cs/>
                      <w:color w:val="auto"/>
                      <w:sz w:val="21"/>
                      <w:szCs w:val="21"/>
                    </w:rPr>
                  </w:pPr>
                </w:p>
              </w:tc>
              <w:tc>
                <w:tcPr>
                  <w:tcW w:w="1424" w:type="pct"/>
                  <w:gridSpan w:val="2"/>
                  <w:noWrap w:val="0"/>
                  <w:tcMar>
                    <w:top w:w="15" w:type="dxa"/>
                    <w:left w:w="15" w:type="dxa"/>
                    <w:bottom w:w="0" w:type="dxa"/>
                    <w:right w:w="15" w:type="dxa"/>
                  </w:tcMar>
                  <w:vAlign w:val="center"/>
                </w:tcPr>
                <w:p w14:paraId="5EAB0C3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烟气黑度（级）</w:t>
                  </w:r>
                </w:p>
              </w:tc>
              <w:tc>
                <w:tcPr>
                  <w:tcW w:w="3218" w:type="pct"/>
                  <w:gridSpan w:val="4"/>
                  <w:noWrap w:val="0"/>
                  <w:tcMar>
                    <w:top w:w="15" w:type="dxa"/>
                    <w:left w:w="15" w:type="dxa"/>
                    <w:bottom w:w="0" w:type="dxa"/>
                    <w:right w:w="15" w:type="dxa"/>
                  </w:tcMar>
                  <w:vAlign w:val="center"/>
                </w:tcPr>
                <w:p w14:paraId="786947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p>
              </w:tc>
            </w:tr>
            <w:tr w14:paraId="3A78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04D5C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rPr>
                  </w:pPr>
                </w:p>
              </w:tc>
              <w:tc>
                <w:tcPr>
                  <w:tcW w:w="1424" w:type="pct"/>
                  <w:gridSpan w:val="2"/>
                  <w:noWrap w:val="0"/>
                  <w:tcMar>
                    <w:top w:w="15" w:type="dxa"/>
                    <w:left w:w="15" w:type="dxa"/>
                    <w:bottom w:w="0" w:type="dxa"/>
                    <w:right w:w="15" w:type="dxa"/>
                  </w:tcMar>
                  <w:vAlign w:val="center"/>
                </w:tcPr>
                <w:p w14:paraId="32F10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标准值（级）</w:t>
                  </w:r>
                </w:p>
              </w:tc>
              <w:tc>
                <w:tcPr>
                  <w:tcW w:w="3218" w:type="pct"/>
                  <w:gridSpan w:val="4"/>
                  <w:noWrap w:val="0"/>
                  <w:tcMar>
                    <w:top w:w="15" w:type="dxa"/>
                    <w:left w:w="15" w:type="dxa"/>
                    <w:bottom w:w="0" w:type="dxa"/>
                    <w:right w:w="15" w:type="dxa"/>
                  </w:tcMar>
                  <w:vAlign w:val="center"/>
                </w:tcPr>
                <w:p w14:paraId="65494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color w:val="auto"/>
                      <w:sz w:val="21"/>
                      <w:szCs w:val="21"/>
                      <w:lang w:val="en-US" w:eastAsia="zh-CN"/>
                    </w:rPr>
                    <w:t>≤1</w:t>
                  </w:r>
                </w:p>
              </w:tc>
            </w:tr>
            <w:tr w14:paraId="2C9E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357" w:type="pct"/>
                  <w:vMerge w:val="continue"/>
                  <w:noWrap w:val="0"/>
                  <w:vAlign w:val="center"/>
                </w:tcPr>
                <w:p w14:paraId="28A8AF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p>
              </w:tc>
              <w:tc>
                <w:tcPr>
                  <w:tcW w:w="1424" w:type="pct"/>
                  <w:gridSpan w:val="2"/>
                  <w:noWrap w:val="0"/>
                  <w:tcMar>
                    <w:top w:w="15" w:type="dxa"/>
                    <w:left w:w="15" w:type="dxa"/>
                    <w:bottom w:w="0" w:type="dxa"/>
                    <w:right w:w="15" w:type="dxa"/>
                  </w:tcMar>
                  <w:vAlign w:val="center"/>
                </w:tcPr>
                <w:p w14:paraId="2170261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达标情况</w:t>
                  </w:r>
                </w:p>
              </w:tc>
              <w:tc>
                <w:tcPr>
                  <w:tcW w:w="3218" w:type="pct"/>
                  <w:gridSpan w:val="4"/>
                  <w:noWrap w:val="0"/>
                  <w:tcMar>
                    <w:top w:w="15" w:type="dxa"/>
                    <w:left w:w="15" w:type="dxa"/>
                    <w:bottom w:w="0" w:type="dxa"/>
                    <w:right w:w="15" w:type="dxa"/>
                  </w:tcMar>
                  <w:vAlign w:val="center"/>
                </w:tcPr>
                <w:p w14:paraId="16D220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达标</w:t>
                  </w:r>
                </w:p>
              </w:tc>
            </w:tr>
            <w:tr w14:paraId="6AD4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000" w:type="pct"/>
                  <w:gridSpan w:val="7"/>
                  <w:noWrap w:val="0"/>
                  <w:vAlign w:val="center"/>
                </w:tcPr>
                <w:p w14:paraId="52ACB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val="0"/>
                      <w:color w:val="auto"/>
                      <w:sz w:val="21"/>
                      <w:szCs w:val="21"/>
                    </w:rPr>
                    <w:t>备注</w:t>
                  </w:r>
                  <w:r>
                    <w:rPr>
                      <w:rFonts w:hint="eastAsia" w:ascii="宋体" w:hAnsi="宋体" w:eastAsia="宋体" w:cs="宋体"/>
                      <w:b/>
                      <w:bCs w:val="0"/>
                      <w:color w:val="auto"/>
                      <w:sz w:val="21"/>
                      <w:szCs w:val="21"/>
                      <w:lang w:eastAsia="zh-CN"/>
                    </w:rPr>
                    <w:t>：“＜”表示实测浓度值小于检出限值，排放速率按检出限值计算</w:t>
                  </w:r>
                </w:p>
              </w:tc>
            </w:tr>
          </w:tbl>
          <w:p w14:paraId="7D19F5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根据监测结果可知，</w:t>
            </w:r>
            <w:r>
              <w:rPr>
                <w:rFonts w:hint="eastAsia" w:ascii="宋体" w:hAnsi="宋体" w:cs="宋体"/>
                <w:b w:val="0"/>
                <w:bCs w:val="0"/>
                <w:color w:val="auto"/>
                <w:sz w:val="24"/>
                <w:szCs w:val="24"/>
                <w:lang w:val="en-US" w:eastAsia="zh-CN"/>
              </w:rPr>
              <w:t>蒸</w:t>
            </w:r>
            <w:r>
              <w:rPr>
                <w:rFonts w:hint="eastAsia"/>
                <w:color w:val="auto"/>
                <w:spacing w:val="-10"/>
                <w:sz w:val="24"/>
                <w:lang w:val="en-US" w:eastAsia="zh-CN"/>
              </w:rPr>
              <w:t>汽发生器废气颗粒物</w:t>
            </w:r>
            <w:r>
              <w:rPr>
                <w:rFonts w:hint="eastAsia"/>
                <w:color w:val="auto"/>
                <w:kern w:val="24"/>
                <w:sz w:val="24"/>
                <w:highlight w:val="none"/>
              </w:rPr>
              <w:t>排放</w:t>
            </w:r>
            <w:r>
              <w:rPr>
                <w:rFonts w:hint="eastAsia"/>
                <w:color w:val="auto"/>
                <w:kern w:val="24"/>
                <w:sz w:val="24"/>
                <w:highlight w:val="none"/>
                <w:lang w:eastAsia="zh-CN"/>
              </w:rPr>
              <w:t>的</w:t>
            </w:r>
            <w:r>
              <w:rPr>
                <w:rFonts w:hint="eastAsia"/>
                <w:color w:val="auto"/>
                <w:kern w:val="24"/>
                <w:sz w:val="24"/>
                <w:highlight w:val="none"/>
                <w:lang w:val="en-US" w:eastAsia="zh-CN"/>
              </w:rPr>
              <w:t>最大</w:t>
            </w:r>
            <w:r>
              <w:rPr>
                <w:rFonts w:hint="eastAsia"/>
                <w:color w:val="auto"/>
                <w:kern w:val="24"/>
                <w:sz w:val="24"/>
                <w:highlight w:val="none"/>
              </w:rPr>
              <w:t>浓度为</w:t>
            </w:r>
            <w:r>
              <w:rPr>
                <w:rFonts w:hint="eastAsia"/>
                <w:color w:val="auto"/>
                <w:kern w:val="24"/>
                <w:sz w:val="24"/>
                <w:highlight w:val="none"/>
                <w:lang w:val="en-US" w:eastAsia="zh-CN"/>
              </w:rPr>
              <w:t>8.2</w:t>
            </w:r>
            <w:r>
              <w:rPr>
                <w:rFonts w:hint="eastAsia"/>
                <w:color w:val="auto"/>
                <w:kern w:val="24"/>
                <w:sz w:val="24"/>
                <w:highlight w:val="none"/>
              </w:rPr>
              <w:t>mg/m</w:t>
            </w:r>
            <w:r>
              <w:rPr>
                <w:rFonts w:hint="eastAsia"/>
                <w:color w:val="auto"/>
                <w:kern w:val="24"/>
                <w:sz w:val="24"/>
                <w:highlight w:val="none"/>
                <w:vertAlign w:val="superscript"/>
              </w:rPr>
              <w:t>3</w:t>
            </w:r>
            <w:r>
              <w:rPr>
                <w:rFonts w:hint="eastAsia"/>
                <w:color w:val="auto"/>
                <w:kern w:val="24"/>
                <w:sz w:val="24"/>
                <w:highlight w:val="none"/>
                <w:vertAlign w:val="baseline"/>
                <w:lang w:eastAsia="zh-CN"/>
              </w:rPr>
              <w:t>，</w:t>
            </w:r>
            <w:r>
              <w:rPr>
                <w:rFonts w:hint="eastAsia"/>
                <w:color w:val="auto"/>
                <w:kern w:val="24"/>
                <w:sz w:val="24"/>
                <w:highlight w:val="none"/>
                <w:vertAlign w:val="baseline"/>
                <w:lang w:val="en-US" w:eastAsia="zh-CN"/>
              </w:rPr>
              <w:t>SO</w:t>
            </w:r>
            <w:r>
              <w:rPr>
                <w:rFonts w:hint="eastAsia"/>
                <w:color w:val="auto"/>
                <w:kern w:val="24"/>
                <w:sz w:val="24"/>
                <w:highlight w:val="none"/>
                <w:vertAlign w:val="subscript"/>
                <w:lang w:val="en-US" w:eastAsia="zh-CN"/>
              </w:rPr>
              <w:t>2</w:t>
            </w:r>
            <w:r>
              <w:rPr>
                <w:rFonts w:hint="eastAsia" w:ascii="Times New Roman" w:hAnsi="Times New Roman" w:eastAsia="宋体" w:cs="Times New Roman"/>
                <w:color w:val="auto"/>
                <w:kern w:val="24"/>
                <w:sz w:val="24"/>
                <w:highlight w:val="none"/>
                <w:lang w:val="en-US" w:eastAsia="zh-CN"/>
              </w:rPr>
              <w:t>排放</w:t>
            </w:r>
            <w:r>
              <w:rPr>
                <w:rFonts w:hint="eastAsia" w:cs="Times New Roman"/>
                <w:color w:val="auto"/>
                <w:kern w:val="24"/>
                <w:sz w:val="24"/>
                <w:highlight w:val="none"/>
                <w:lang w:val="en-US" w:eastAsia="zh-CN"/>
              </w:rPr>
              <w:t>的最大</w:t>
            </w:r>
            <w:r>
              <w:rPr>
                <w:rFonts w:hint="eastAsia" w:ascii="Times New Roman" w:hAnsi="Times New Roman" w:eastAsia="宋体" w:cs="Times New Roman"/>
                <w:color w:val="auto"/>
                <w:kern w:val="24"/>
                <w:sz w:val="24"/>
                <w:highlight w:val="none"/>
                <w:lang w:val="en-US" w:eastAsia="zh-CN"/>
              </w:rPr>
              <w:t>浓度</w:t>
            </w:r>
            <w:r>
              <w:rPr>
                <w:rFonts w:hint="eastAsia" w:cs="Times New Roman"/>
                <w:color w:val="auto"/>
                <w:kern w:val="24"/>
                <w:sz w:val="24"/>
                <w:highlight w:val="none"/>
                <w:lang w:val="en-US" w:eastAsia="zh-CN"/>
              </w:rPr>
              <w:t>为小于6</w:t>
            </w:r>
            <w:r>
              <w:rPr>
                <w:rFonts w:hint="eastAsia"/>
                <w:color w:val="auto"/>
                <w:kern w:val="24"/>
                <w:sz w:val="24"/>
                <w:highlight w:val="none"/>
              </w:rPr>
              <w:t>mg/m</w:t>
            </w:r>
            <w:r>
              <w:rPr>
                <w:rFonts w:hint="eastAsia"/>
                <w:color w:val="auto"/>
                <w:kern w:val="24"/>
                <w:sz w:val="24"/>
                <w:highlight w:val="none"/>
                <w:vertAlign w:val="superscript"/>
              </w:rPr>
              <w:t>3</w:t>
            </w:r>
            <w:r>
              <w:rPr>
                <w:rFonts w:hint="eastAsia"/>
                <w:color w:val="auto"/>
                <w:kern w:val="24"/>
                <w:sz w:val="24"/>
                <w:highlight w:val="none"/>
                <w:vertAlign w:val="baseline"/>
                <w:lang w:eastAsia="zh-CN"/>
              </w:rPr>
              <w:t>，</w:t>
            </w:r>
            <w:r>
              <w:rPr>
                <w:rFonts w:hint="eastAsia"/>
                <w:color w:val="auto"/>
                <w:kern w:val="24"/>
                <w:sz w:val="24"/>
                <w:highlight w:val="none"/>
                <w:vertAlign w:val="baseline"/>
                <w:lang w:val="en-US" w:eastAsia="zh-CN"/>
              </w:rPr>
              <w:t>NO</w:t>
            </w:r>
            <w:r>
              <w:rPr>
                <w:rFonts w:hint="eastAsia"/>
                <w:color w:val="auto"/>
                <w:kern w:val="24"/>
                <w:sz w:val="24"/>
                <w:highlight w:val="none"/>
                <w:vertAlign w:val="subscript"/>
                <w:lang w:val="en-US" w:eastAsia="zh-CN"/>
              </w:rPr>
              <w:t>X</w:t>
            </w:r>
            <w:r>
              <w:rPr>
                <w:rFonts w:hint="eastAsia"/>
                <w:color w:val="auto"/>
                <w:kern w:val="24"/>
                <w:sz w:val="24"/>
                <w:highlight w:val="none"/>
                <w:vertAlign w:val="baseline"/>
                <w:lang w:val="en-US" w:eastAsia="zh-CN"/>
              </w:rPr>
              <w:t>排放的最大浓度为170mg/m</w:t>
            </w:r>
            <w:r>
              <w:rPr>
                <w:rFonts w:hint="eastAsia"/>
                <w:color w:val="auto"/>
                <w:kern w:val="24"/>
                <w:sz w:val="24"/>
                <w:highlight w:val="none"/>
                <w:vertAlign w:val="superscript"/>
                <w:lang w:val="en-US" w:eastAsia="zh-CN"/>
              </w:rPr>
              <w:t>3</w:t>
            </w:r>
            <w:r>
              <w:rPr>
                <w:rFonts w:hint="eastAsia"/>
                <w:color w:val="auto"/>
                <w:kern w:val="24"/>
                <w:sz w:val="24"/>
                <w:highlight w:val="none"/>
              </w:rPr>
              <w:t>，</w:t>
            </w:r>
            <w:r>
              <w:rPr>
                <w:rFonts w:hint="eastAsia" w:ascii="宋体" w:hAnsi="宋体" w:eastAsia="宋体" w:cs="宋体"/>
                <w:b w:val="0"/>
                <w:bCs w:val="0"/>
                <w:color w:val="auto"/>
                <w:sz w:val="24"/>
                <w:szCs w:val="24"/>
                <w:lang w:val="en-US" w:eastAsia="zh-CN"/>
              </w:rPr>
              <w:t>能够满足《锅炉大气污染物排放标准》（GB13271-2014）表2中新建燃煤锅炉大气污染物排放限值。根据监测结果</w:t>
            </w:r>
            <w:r>
              <w:rPr>
                <w:rFonts w:hint="eastAsia" w:ascii="宋体" w:hAnsi="宋体" w:cs="宋体"/>
                <w:b w:val="0"/>
                <w:bCs w:val="0"/>
                <w:color w:val="auto"/>
                <w:sz w:val="24"/>
                <w:szCs w:val="24"/>
                <w:lang w:val="en-US" w:eastAsia="zh-CN"/>
              </w:rPr>
              <w:t>，颗粒物最大排放速率为0.029kg/h，SO</w:t>
            </w:r>
            <w:r>
              <w:rPr>
                <w:rFonts w:hint="eastAsia" w:ascii="宋体" w:hAnsi="宋体" w:cs="宋体"/>
                <w:b w:val="0"/>
                <w:bCs w:val="0"/>
                <w:color w:val="auto"/>
                <w:sz w:val="24"/>
                <w:szCs w:val="24"/>
                <w:vertAlign w:val="subscript"/>
                <w:lang w:val="en-US" w:eastAsia="zh-CN"/>
              </w:rPr>
              <w:t>2</w:t>
            </w:r>
            <w:r>
              <w:rPr>
                <w:rFonts w:hint="eastAsia" w:ascii="宋体" w:hAnsi="宋体" w:cs="宋体"/>
                <w:b w:val="0"/>
                <w:bCs w:val="0"/>
                <w:color w:val="auto"/>
                <w:sz w:val="24"/>
                <w:szCs w:val="24"/>
                <w:lang w:val="en-US" w:eastAsia="zh-CN"/>
              </w:rPr>
              <w:t>排放最大速率为0.020kg/h，</w:t>
            </w:r>
            <w:r>
              <w:rPr>
                <w:rFonts w:hint="eastAsia"/>
                <w:color w:val="auto"/>
                <w:kern w:val="24"/>
                <w:sz w:val="24"/>
                <w:highlight w:val="none"/>
                <w:vertAlign w:val="baseline"/>
                <w:lang w:val="en-US" w:eastAsia="zh-CN"/>
              </w:rPr>
              <w:t>NO</w:t>
            </w:r>
            <w:r>
              <w:rPr>
                <w:rFonts w:hint="eastAsia"/>
                <w:color w:val="auto"/>
                <w:kern w:val="24"/>
                <w:sz w:val="24"/>
                <w:highlight w:val="none"/>
                <w:vertAlign w:val="subscript"/>
                <w:lang w:val="en-US" w:eastAsia="zh-CN"/>
              </w:rPr>
              <w:t>X</w:t>
            </w:r>
            <w:r>
              <w:rPr>
                <w:rFonts w:hint="eastAsia"/>
                <w:color w:val="auto"/>
                <w:kern w:val="24"/>
                <w:sz w:val="24"/>
                <w:highlight w:val="none"/>
                <w:vertAlign w:val="baseline"/>
                <w:lang w:val="en-US" w:eastAsia="zh-CN"/>
              </w:rPr>
              <w:t>最大排放速率为0.578kg/h，</w:t>
            </w:r>
            <w:r>
              <w:rPr>
                <w:rFonts w:hint="eastAsia" w:ascii="宋体" w:hAnsi="宋体" w:cs="宋体"/>
                <w:b w:val="0"/>
                <w:bCs w:val="0"/>
                <w:color w:val="auto"/>
                <w:sz w:val="24"/>
                <w:szCs w:val="24"/>
                <w:lang w:val="en-US" w:eastAsia="zh-CN"/>
              </w:rPr>
              <w:t>本次核算采用污染物监测结果的最大排放速率核算，则</w:t>
            </w:r>
            <w:r>
              <w:rPr>
                <w:rFonts w:hint="eastAsia" w:ascii="宋体" w:hAnsi="宋体" w:eastAsia="宋体" w:cs="宋体"/>
                <w:b w:val="0"/>
                <w:bCs w:val="0"/>
                <w:color w:val="auto"/>
                <w:sz w:val="24"/>
                <w:szCs w:val="24"/>
                <w:lang w:val="en-US" w:eastAsia="zh-CN"/>
              </w:rPr>
              <w:t>项目蒸发器主要污染物排放量为</w:t>
            </w:r>
            <w:r>
              <w:rPr>
                <w:rFonts w:hint="eastAsia" w:ascii="宋体" w:hAnsi="宋体" w:cs="宋体"/>
                <w:b w:val="0"/>
                <w:bCs w:val="0"/>
                <w:color w:val="auto"/>
                <w:sz w:val="24"/>
                <w:szCs w:val="24"/>
                <w:lang w:val="en-US" w:eastAsia="zh-CN"/>
              </w:rPr>
              <w:t>颗粒物：0.0348</w:t>
            </w:r>
            <w:r>
              <w:rPr>
                <w:rFonts w:hint="eastAsia" w:ascii="宋体" w:hAnsi="宋体" w:eastAsia="宋体" w:cs="宋体"/>
                <w:b w:val="0"/>
                <w:bCs w:val="0"/>
                <w:color w:val="auto"/>
                <w:sz w:val="24"/>
                <w:szCs w:val="24"/>
                <w:lang w:val="en-US" w:eastAsia="zh-CN"/>
              </w:rPr>
              <w:t>t/a、SO</w:t>
            </w:r>
            <w:r>
              <w:rPr>
                <w:rFonts w:hint="eastAsia" w:ascii="宋体" w:hAnsi="宋体" w:eastAsia="宋体" w:cs="宋体"/>
                <w:b w:val="0"/>
                <w:bCs w:val="0"/>
                <w:color w:val="auto"/>
                <w:sz w:val="24"/>
                <w:szCs w:val="24"/>
                <w:vertAlign w:val="subscript"/>
                <w:lang w:val="en-US" w:eastAsia="zh-CN"/>
              </w:rPr>
              <w:t>2</w:t>
            </w:r>
            <w:r>
              <w:rPr>
                <w:rFonts w:hint="eastAsia" w:ascii="宋体" w:hAnsi="宋体" w:cs="宋体"/>
                <w:b w:val="0"/>
                <w:bCs w:val="0"/>
                <w:color w:val="auto"/>
                <w:sz w:val="24"/>
                <w:szCs w:val="24"/>
                <w:vertAlign w:val="baseline"/>
                <w:lang w:val="en-US" w:eastAsia="zh-CN"/>
              </w:rPr>
              <w:t>：</w:t>
            </w:r>
            <w:r>
              <w:rPr>
                <w:rFonts w:hint="eastAsia" w:ascii="宋体" w:hAnsi="宋体" w:eastAsia="宋体" w:cs="宋体"/>
                <w:b w:val="0"/>
                <w:bCs w:val="0"/>
                <w:color w:val="auto"/>
                <w:sz w:val="24"/>
                <w:szCs w:val="24"/>
                <w:lang w:val="en-US" w:eastAsia="zh-CN"/>
              </w:rPr>
              <w:t>0.0</w:t>
            </w:r>
            <w:r>
              <w:rPr>
                <w:rFonts w:hint="eastAsia" w:ascii="宋体" w:hAnsi="宋体" w:cs="宋体"/>
                <w:b w:val="0"/>
                <w:bCs w:val="0"/>
                <w:color w:val="auto"/>
                <w:sz w:val="24"/>
                <w:szCs w:val="24"/>
                <w:lang w:val="en-US" w:eastAsia="zh-CN"/>
              </w:rPr>
              <w:t>24</w:t>
            </w:r>
            <w:r>
              <w:rPr>
                <w:rFonts w:hint="eastAsia" w:ascii="宋体" w:hAnsi="宋体" w:eastAsia="宋体" w:cs="宋体"/>
                <w:b w:val="0"/>
                <w:bCs w:val="0"/>
                <w:color w:val="auto"/>
                <w:sz w:val="24"/>
                <w:szCs w:val="24"/>
                <w:lang w:val="en-US" w:eastAsia="zh-CN"/>
              </w:rPr>
              <w:t>t/a、NOx</w:t>
            </w:r>
            <w:r>
              <w:rPr>
                <w:rFonts w:hint="eastAsia" w:ascii="宋体" w:hAnsi="宋体" w:cs="宋体"/>
                <w:b w:val="0"/>
                <w:bCs w:val="0"/>
                <w:color w:val="auto"/>
                <w:sz w:val="24"/>
                <w:szCs w:val="24"/>
                <w:lang w:val="en-US" w:eastAsia="zh-CN"/>
              </w:rPr>
              <w:t>：0.6936</w:t>
            </w:r>
            <w:r>
              <w:rPr>
                <w:rFonts w:hint="eastAsia" w:ascii="宋体" w:hAnsi="宋体" w:eastAsia="宋体" w:cs="宋体"/>
                <w:b w:val="0"/>
                <w:bCs w:val="0"/>
                <w:color w:val="auto"/>
                <w:sz w:val="24"/>
                <w:szCs w:val="24"/>
                <w:lang w:val="en-US" w:eastAsia="zh-CN"/>
              </w:rPr>
              <w:t>t/a</w:t>
            </w:r>
            <w:r>
              <w:rPr>
                <w:rFonts w:hint="eastAsia" w:ascii="宋体" w:hAnsi="宋体" w:cs="宋体"/>
                <w:b w:val="0"/>
                <w:bCs w:val="0"/>
                <w:color w:val="auto"/>
                <w:sz w:val="24"/>
                <w:szCs w:val="24"/>
                <w:lang w:val="en-US" w:eastAsia="zh-CN"/>
              </w:rPr>
              <w:t>，</w:t>
            </w:r>
            <w:r>
              <w:rPr>
                <w:rFonts w:hint="eastAsia"/>
                <w:color w:val="auto"/>
                <w:sz w:val="24"/>
                <w:highlight w:val="none"/>
                <w:lang w:eastAsia="zh-CN"/>
              </w:rPr>
              <w:t>蒸汽发生器</w:t>
            </w:r>
            <w:r>
              <w:rPr>
                <w:rFonts w:hint="eastAsia"/>
                <w:color w:val="auto"/>
                <w:sz w:val="24"/>
                <w:highlight w:val="none"/>
              </w:rPr>
              <w:t>烟气产生量为</w:t>
            </w:r>
            <w:r>
              <w:rPr>
                <w:rFonts w:hint="eastAsia"/>
                <w:color w:val="auto"/>
                <w:kern w:val="24"/>
                <w:sz w:val="24"/>
                <w:highlight w:val="none"/>
                <w:lang w:val="en-US" w:eastAsia="zh-CN"/>
              </w:rPr>
              <w:t>796.68</w:t>
            </w:r>
            <w:r>
              <w:rPr>
                <w:rFonts w:hint="eastAsia"/>
                <w:color w:val="auto"/>
                <w:kern w:val="24"/>
                <w:sz w:val="24"/>
                <w:highlight w:val="none"/>
              </w:rPr>
              <w:t>万m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eastAsia="zh-CN"/>
              </w:rPr>
              <w:t>。</w:t>
            </w:r>
          </w:p>
          <w:p w14:paraId="7439CDD1">
            <w:pPr>
              <w:adjustRightInd w:val="0"/>
              <w:snapToGrid w:val="0"/>
              <w:spacing w:line="360" w:lineRule="auto"/>
              <w:ind w:firstLine="480" w:firstLineChars="200"/>
              <w:rPr>
                <w:bCs/>
                <w:color w:val="auto"/>
                <w:sz w:val="24"/>
                <w:highlight w:val="none"/>
              </w:rPr>
            </w:pPr>
            <w:r>
              <w:rPr>
                <w:rFonts w:hint="eastAsia"/>
                <w:bCs/>
                <w:color w:val="auto"/>
                <w:sz w:val="24"/>
                <w:highlight w:val="none"/>
                <w:lang w:val="en-US" w:eastAsia="zh-CN"/>
              </w:rPr>
              <w:t>2、</w:t>
            </w:r>
            <w:r>
              <w:rPr>
                <w:rFonts w:hint="eastAsia"/>
                <w:bCs/>
                <w:color w:val="auto"/>
                <w:sz w:val="24"/>
                <w:highlight w:val="none"/>
              </w:rPr>
              <w:t>生物质燃料上料、下料粉尘</w:t>
            </w:r>
          </w:p>
          <w:p w14:paraId="14D576F3">
            <w:pPr>
              <w:widowControl/>
              <w:spacing w:line="360" w:lineRule="auto"/>
              <w:ind w:firstLine="480" w:firstLineChars="200"/>
              <w:jc w:val="left"/>
              <w:rPr>
                <w:rFonts w:hint="eastAsia" w:ascii="Times New Roman" w:hAnsi="Times New Roman" w:eastAsia="宋体" w:cs="Times New Roman"/>
                <w:color w:val="auto"/>
                <w:kern w:val="0"/>
                <w:sz w:val="24"/>
                <w:lang w:val="en-US" w:eastAsia="zh-CN" w:bidi="ar"/>
              </w:rPr>
            </w:pPr>
            <w:r>
              <w:rPr>
                <w:rFonts w:hint="eastAsia"/>
                <w:bCs/>
                <w:color w:val="auto"/>
                <w:sz w:val="24"/>
                <w:highlight w:val="none"/>
              </w:rPr>
              <w:t>项目</w:t>
            </w:r>
            <w:r>
              <w:rPr>
                <w:rFonts w:hint="eastAsia"/>
                <w:bCs/>
                <w:color w:val="auto"/>
                <w:sz w:val="24"/>
                <w:highlight w:val="none"/>
                <w:lang w:val="en-US" w:eastAsia="zh-CN"/>
              </w:rPr>
              <w:t>生物质蒸汽发生器燃料</w:t>
            </w:r>
            <w:r>
              <w:rPr>
                <w:rFonts w:hint="eastAsia"/>
                <w:bCs/>
                <w:color w:val="auto"/>
                <w:sz w:val="24"/>
                <w:highlight w:val="none"/>
              </w:rPr>
              <w:t>采用人工加料的方式，上料、下料过程中会产生少量的粉尘，产生量很小，且</w:t>
            </w:r>
            <w:r>
              <w:rPr>
                <w:rFonts w:hint="eastAsia"/>
                <w:bCs/>
                <w:color w:val="auto"/>
                <w:sz w:val="24"/>
                <w:highlight w:val="none"/>
                <w:lang w:eastAsia="zh-CN"/>
              </w:rPr>
              <w:t>锅炉房</w:t>
            </w:r>
            <w:r>
              <w:rPr>
                <w:rFonts w:hint="eastAsia"/>
                <w:bCs/>
                <w:color w:val="auto"/>
                <w:sz w:val="24"/>
                <w:highlight w:val="none"/>
              </w:rPr>
              <w:t>除进出口、窗户，其余面已封闭，少量粉尘经窗口无组织排放，经自然扩散后，生物质燃料上料、下料粉尘对周围大气环境影响不大。</w:t>
            </w:r>
            <w:r>
              <w:rPr>
                <w:rFonts w:hint="eastAsia" w:ascii="Times New Roman" w:hAnsi="Times New Roman" w:eastAsia="宋体" w:cs="Times New Roman"/>
                <w:color w:val="auto"/>
                <w:kern w:val="0"/>
                <w:sz w:val="24"/>
                <w:lang w:val="en-US" w:eastAsia="zh-CN" w:bidi="ar"/>
              </w:rPr>
              <w:t>项目运行期间定期开展了自行监测，</w:t>
            </w:r>
            <w:r>
              <w:rPr>
                <w:rFonts w:hint="eastAsia" w:cs="Times New Roman"/>
                <w:color w:val="auto"/>
                <w:kern w:val="0"/>
                <w:sz w:val="24"/>
                <w:lang w:val="en-US" w:eastAsia="zh-CN" w:bidi="ar"/>
              </w:rPr>
              <w:t>根据</w:t>
            </w:r>
            <w:r>
              <w:rPr>
                <w:rFonts w:hint="eastAsia" w:ascii="Times New Roman" w:hAnsi="Times New Roman" w:eastAsia="宋体" w:cs="Times New Roman"/>
                <w:color w:val="auto"/>
                <w:kern w:val="0"/>
                <w:sz w:val="24"/>
                <w:lang w:val="en-US" w:eastAsia="zh-CN" w:bidi="ar"/>
              </w:rPr>
              <w:t>自行</w:t>
            </w:r>
            <w:r>
              <w:rPr>
                <w:rFonts w:hint="eastAsia" w:cs="Times New Roman"/>
                <w:color w:val="auto"/>
                <w:kern w:val="0"/>
                <w:sz w:val="24"/>
                <w:lang w:val="en-US" w:eastAsia="zh-CN" w:bidi="ar"/>
              </w:rPr>
              <w:t>监测报告</w:t>
            </w:r>
            <w:r>
              <w:rPr>
                <w:rFonts w:hint="eastAsia" w:eastAsia="宋体" w:cs="Times New Roman"/>
                <w:color w:val="auto"/>
                <w:kern w:val="0"/>
                <w:sz w:val="24"/>
                <w:lang w:val="en-US" w:eastAsia="zh-CN" w:bidi="ar"/>
              </w:rPr>
              <w:t>清源</w:t>
            </w:r>
            <w:r>
              <w:rPr>
                <w:rFonts w:hint="eastAsia" w:ascii="Times New Roman" w:hAnsi="Times New Roman" w:eastAsia="宋体" w:cs="Times New Roman"/>
                <w:color w:val="auto"/>
                <w:kern w:val="0"/>
                <w:sz w:val="24"/>
                <w:lang w:bidi="ar"/>
              </w:rPr>
              <w:t>检字［</w:t>
            </w:r>
            <w:r>
              <w:rPr>
                <w:rFonts w:hint="eastAsia" w:eastAsia="宋体" w:cs="Times New Roman"/>
                <w:color w:val="auto"/>
                <w:kern w:val="0"/>
                <w:sz w:val="24"/>
                <w:lang w:val="en-US" w:eastAsia="zh-CN" w:bidi="ar"/>
              </w:rPr>
              <w:t>2025</w:t>
            </w:r>
            <w:r>
              <w:rPr>
                <w:rFonts w:hint="eastAsia" w:ascii="Times New Roman" w:hAnsi="Times New Roman" w:eastAsia="宋体" w:cs="Times New Roman"/>
                <w:color w:val="auto"/>
                <w:kern w:val="0"/>
                <w:sz w:val="24"/>
                <w:lang w:bidi="ar"/>
              </w:rPr>
              <w:t>］</w:t>
            </w:r>
            <w:r>
              <w:rPr>
                <w:rFonts w:hint="eastAsia" w:eastAsia="宋体" w:cs="Times New Roman"/>
                <w:color w:val="auto"/>
                <w:kern w:val="0"/>
                <w:sz w:val="24"/>
                <w:lang w:val="en-US" w:eastAsia="zh-CN" w:bidi="ar"/>
              </w:rPr>
              <w:t>07115号，</w:t>
            </w:r>
            <w:r>
              <w:rPr>
                <w:rFonts w:hint="eastAsia" w:ascii="Times New Roman" w:hAnsi="Times New Roman" w:eastAsia="宋体" w:cs="Times New Roman"/>
                <w:color w:val="auto"/>
                <w:kern w:val="0"/>
                <w:sz w:val="24"/>
                <w:lang w:val="en-US" w:eastAsia="zh-CN" w:bidi="ar"/>
              </w:rPr>
              <w:t>项目</w:t>
            </w:r>
            <w:r>
              <w:rPr>
                <w:rFonts w:hint="eastAsia" w:eastAsia="宋体" w:cs="Times New Roman"/>
                <w:color w:val="auto"/>
                <w:kern w:val="0"/>
                <w:sz w:val="24"/>
                <w:lang w:val="en-US" w:eastAsia="zh-CN" w:bidi="ar"/>
              </w:rPr>
              <w:t>无组织粉尘</w:t>
            </w:r>
            <w:r>
              <w:rPr>
                <w:rFonts w:hint="eastAsia" w:ascii="Times New Roman" w:hAnsi="Times New Roman" w:eastAsia="宋体" w:cs="Times New Roman"/>
                <w:color w:val="auto"/>
                <w:kern w:val="0"/>
                <w:sz w:val="24"/>
                <w:lang w:val="en-US" w:eastAsia="zh-CN" w:bidi="ar"/>
              </w:rPr>
              <w:t>的自行监测情况见表</w:t>
            </w:r>
            <w:r>
              <w:rPr>
                <w:rFonts w:hint="eastAsia" w:cs="Times New Roman"/>
                <w:color w:val="auto"/>
                <w:kern w:val="0"/>
                <w:sz w:val="24"/>
                <w:lang w:val="en-US" w:eastAsia="zh-CN" w:bidi="ar"/>
              </w:rPr>
              <w:t>4-4</w:t>
            </w:r>
            <w:r>
              <w:rPr>
                <w:rFonts w:hint="eastAsia" w:ascii="Times New Roman" w:hAnsi="Times New Roman" w:eastAsia="宋体" w:cs="Times New Roman"/>
                <w:color w:val="auto"/>
                <w:kern w:val="0"/>
                <w:sz w:val="24"/>
                <w:lang w:val="en-US" w:eastAsia="zh-CN" w:bidi="ar"/>
              </w:rPr>
              <w:t>。</w:t>
            </w:r>
          </w:p>
          <w:p w14:paraId="6E64106B">
            <w:pPr>
              <w:tabs>
                <w:tab w:val="left" w:pos="357"/>
              </w:tabs>
              <w:adjustRightInd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表</w:t>
            </w:r>
            <w:r>
              <w:rPr>
                <w:rFonts w:hint="eastAsia" w:ascii="宋体" w:hAnsi="宋体" w:cs="宋体"/>
                <w:b/>
                <w:bCs/>
                <w:color w:val="auto"/>
                <w:sz w:val="24"/>
                <w:szCs w:val="24"/>
                <w:lang w:val="en-US" w:eastAsia="zh-CN"/>
              </w:rPr>
              <w:t>4-4</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项目无组织</w:t>
            </w:r>
            <w:r>
              <w:rPr>
                <w:rFonts w:hint="eastAsia" w:ascii="宋体" w:hAnsi="宋体" w:eastAsia="宋体" w:cs="宋体"/>
                <w:b/>
                <w:bCs/>
                <w:color w:val="auto"/>
                <w:sz w:val="24"/>
                <w:szCs w:val="24"/>
                <w:lang w:eastAsia="zh-CN"/>
              </w:rPr>
              <w:t>废气</w:t>
            </w:r>
            <w:r>
              <w:rPr>
                <w:rFonts w:hint="eastAsia" w:ascii="宋体" w:hAnsi="宋体" w:eastAsia="宋体" w:cs="宋体"/>
                <w:b/>
                <w:bCs/>
                <w:color w:val="auto"/>
                <w:sz w:val="24"/>
                <w:szCs w:val="24"/>
              </w:rPr>
              <w:t>监测结果一览表</w:t>
            </w:r>
            <w:r>
              <w:rPr>
                <w:rFonts w:hint="eastAsia" w:ascii="宋体" w:hAnsi="宋体" w:eastAsia="宋体" w:cs="宋体"/>
                <w:b/>
                <w:bCs/>
                <w:color w:val="auto"/>
                <w:sz w:val="24"/>
                <w:szCs w:val="24"/>
                <w:lang w:val="en-US" w:eastAsia="zh-CN"/>
              </w:rPr>
              <w:t xml:space="preserve">  单位：</w:t>
            </w:r>
            <w:r>
              <w:rPr>
                <w:rFonts w:hint="eastAsia" w:ascii="宋体" w:hAnsi="宋体" w:eastAsia="宋体" w:cs="宋体"/>
                <w:b/>
                <w:bCs/>
                <w:color w:val="auto"/>
                <w:spacing w:val="-12"/>
                <w:sz w:val="24"/>
                <w:szCs w:val="24"/>
              </w:rPr>
              <w:t>mg/m</w:t>
            </w:r>
            <w:r>
              <w:rPr>
                <w:rFonts w:hint="eastAsia" w:ascii="宋体" w:hAnsi="宋体" w:eastAsia="宋体" w:cs="宋体"/>
                <w:b/>
                <w:bCs/>
                <w:color w:val="auto"/>
                <w:spacing w:val="-12"/>
                <w:sz w:val="24"/>
                <w:szCs w:val="24"/>
                <w:vertAlign w:val="superscript"/>
              </w:rPr>
              <w:t>3</w:t>
            </w:r>
          </w:p>
          <w:tbl>
            <w:tblPr>
              <w:tblStyle w:val="26"/>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115"/>
              <w:gridCol w:w="1217"/>
              <w:gridCol w:w="1302"/>
              <w:gridCol w:w="159"/>
              <w:gridCol w:w="1141"/>
              <w:gridCol w:w="80"/>
              <w:gridCol w:w="1222"/>
              <w:gridCol w:w="1302"/>
            </w:tblGrid>
            <w:tr w14:paraId="37A8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1" w:type="pct"/>
                  <w:noWrap w:val="0"/>
                  <w:vAlign w:val="center"/>
                </w:tcPr>
                <w:p w14:paraId="6CBC0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bookmarkStart w:id="32" w:name="OLE_LINK1"/>
                  <w:r>
                    <w:rPr>
                      <w:rFonts w:hint="eastAsia" w:ascii="宋体" w:hAnsi="宋体" w:eastAsia="宋体" w:cs="宋体"/>
                      <w:b/>
                      <w:color w:val="auto"/>
                      <w:sz w:val="21"/>
                      <w:szCs w:val="21"/>
                      <w:lang w:eastAsia="zh-CN"/>
                    </w:rPr>
                    <w:t>检</w:t>
                  </w:r>
                  <w:r>
                    <w:rPr>
                      <w:rFonts w:hint="eastAsia" w:ascii="宋体" w:hAnsi="宋体" w:eastAsia="宋体" w:cs="宋体"/>
                      <w:b/>
                      <w:color w:val="auto"/>
                      <w:sz w:val="21"/>
                      <w:szCs w:val="21"/>
                    </w:rPr>
                    <w:t>测项目</w:t>
                  </w:r>
                </w:p>
              </w:tc>
              <w:tc>
                <w:tcPr>
                  <w:tcW w:w="669" w:type="pct"/>
                  <w:noWrap w:val="0"/>
                  <w:vAlign w:val="center"/>
                </w:tcPr>
                <w:p w14:paraId="34E31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采样时间</w:t>
                  </w:r>
                </w:p>
              </w:tc>
              <w:tc>
                <w:tcPr>
                  <w:tcW w:w="736" w:type="pct"/>
                  <w:noWrap w:val="0"/>
                  <w:vAlign w:val="center"/>
                </w:tcPr>
                <w:p w14:paraId="4AC0D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采样</w:t>
                  </w:r>
                  <w:r>
                    <w:rPr>
                      <w:rFonts w:hint="eastAsia" w:ascii="宋体" w:hAnsi="宋体" w:eastAsia="宋体" w:cs="宋体"/>
                      <w:b/>
                      <w:color w:val="auto"/>
                      <w:sz w:val="21"/>
                      <w:szCs w:val="21"/>
                      <w:lang w:eastAsia="zh-CN"/>
                    </w:rPr>
                    <w:t>频次</w:t>
                  </w:r>
                </w:p>
              </w:tc>
              <w:tc>
                <w:tcPr>
                  <w:tcW w:w="788" w:type="pct"/>
                  <w:noWrap w:val="0"/>
                  <w:vAlign w:val="center"/>
                </w:tcPr>
                <w:p w14:paraId="711F6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上风向</w:t>
                  </w:r>
                </w:p>
              </w:tc>
              <w:tc>
                <w:tcPr>
                  <w:tcW w:w="788" w:type="pct"/>
                  <w:gridSpan w:val="2"/>
                  <w:noWrap w:val="0"/>
                  <w:vAlign w:val="center"/>
                </w:tcPr>
                <w:p w14:paraId="577BF8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下风向</w:t>
                  </w:r>
                  <w:r>
                    <w:rPr>
                      <w:rFonts w:hint="eastAsia" w:ascii="宋体" w:hAnsi="宋体" w:eastAsia="宋体" w:cs="宋体"/>
                      <w:b/>
                      <w:color w:val="auto"/>
                      <w:sz w:val="21"/>
                      <w:szCs w:val="21"/>
                      <w:lang w:val="en-US" w:eastAsia="zh-CN"/>
                    </w:rPr>
                    <w:t>1#</w:t>
                  </w:r>
                </w:p>
              </w:tc>
              <w:tc>
                <w:tcPr>
                  <w:tcW w:w="788" w:type="pct"/>
                  <w:gridSpan w:val="2"/>
                  <w:noWrap w:val="0"/>
                  <w:vAlign w:val="center"/>
                </w:tcPr>
                <w:p w14:paraId="18C84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下风向</w:t>
                  </w:r>
                  <w:r>
                    <w:rPr>
                      <w:rFonts w:hint="eastAsia" w:ascii="宋体" w:hAnsi="宋体" w:eastAsia="宋体" w:cs="宋体"/>
                      <w:b/>
                      <w:color w:val="auto"/>
                      <w:sz w:val="21"/>
                      <w:szCs w:val="21"/>
                      <w:lang w:val="en-US" w:eastAsia="zh-CN"/>
                    </w:rPr>
                    <w:t>2#</w:t>
                  </w:r>
                </w:p>
              </w:tc>
              <w:tc>
                <w:tcPr>
                  <w:tcW w:w="788" w:type="pct"/>
                  <w:noWrap w:val="0"/>
                  <w:vAlign w:val="center"/>
                </w:tcPr>
                <w:p w14:paraId="71053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下风向</w:t>
                  </w:r>
                  <w:r>
                    <w:rPr>
                      <w:rFonts w:hint="eastAsia" w:ascii="宋体" w:hAnsi="宋体" w:eastAsia="宋体" w:cs="宋体"/>
                      <w:b/>
                      <w:color w:val="auto"/>
                      <w:sz w:val="21"/>
                      <w:szCs w:val="21"/>
                      <w:lang w:val="en-US" w:eastAsia="zh-CN"/>
                    </w:rPr>
                    <w:t>3#</w:t>
                  </w:r>
                </w:p>
              </w:tc>
            </w:tr>
            <w:tr w14:paraId="3088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1" w:type="pct"/>
                  <w:vMerge w:val="restart"/>
                  <w:noWrap w:val="0"/>
                  <w:vAlign w:val="center"/>
                </w:tcPr>
                <w:p w14:paraId="18D71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总悬浮</w:t>
                  </w:r>
                  <w:r>
                    <w:rPr>
                      <w:rFonts w:hint="eastAsia" w:ascii="宋体" w:hAnsi="宋体" w:eastAsia="宋体" w:cs="宋体"/>
                      <w:b/>
                      <w:color w:val="auto"/>
                      <w:sz w:val="21"/>
                      <w:szCs w:val="21"/>
                    </w:rPr>
                    <w:t>颗粒物</w:t>
                  </w:r>
                </w:p>
              </w:tc>
              <w:tc>
                <w:tcPr>
                  <w:tcW w:w="669" w:type="pct"/>
                  <w:vMerge w:val="restart"/>
                  <w:noWrap w:val="0"/>
                  <w:vAlign w:val="center"/>
                </w:tcPr>
                <w:p w14:paraId="692FB89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spacing w:val="-6"/>
                      <w:sz w:val="21"/>
                      <w:szCs w:val="21"/>
                      <w:lang w:val="en-US"/>
                    </w:rPr>
                  </w:pPr>
                  <w:r>
                    <w:rPr>
                      <w:rFonts w:hint="eastAsia" w:ascii="宋体" w:hAnsi="宋体" w:eastAsia="宋体" w:cs="宋体"/>
                      <w:b/>
                      <w:bCs/>
                      <w:color w:val="auto"/>
                      <w:spacing w:val="-6"/>
                      <w:sz w:val="21"/>
                      <w:szCs w:val="21"/>
                      <w:lang w:val="en-US" w:eastAsia="zh-CN"/>
                    </w:rPr>
                    <w:t>2025.7.24</w:t>
                  </w:r>
                </w:p>
              </w:tc>
              <w:tc>
                <w:tcPr>
                  <w:tcW w:w="736" w:type="pct"/>
                  <w:noWrap w:val="0"/>
                  <w:vAlign w:val="center"/>
                </w:tcPr>
                <w:p w14:paraId="5C5D9B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1</w:t>
                  </w:r>
                </w:p>
              </w:tc>
              <w:tc>
                <w:tcPr>
                  <w:tcW w:w="788" w:type="pct"/>
                  <w:noWrap w:val="0"/>
                  <w:vAlign w:val="center"/>
                </w:tcPr>
                <w:p w14:paraId="0C1FAA4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0.162</w:t>
                  </w:r>
                </w:p>
              </w:tc>
              <w:tc>
                <w:tcPr>
                  <w:tcW w:w="788" w:type="pct"/>
                  <w:gridSpan w:val="2"/>
                  <w:noWrap w:val="0"/>
                  <w:vAlign w:val="center"/>
                </w:tcPr>
                <w:p w14:paraId="31B1792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0.261</w:t>
                  </w:r>
                </w:p>
              </w:tc>
              <w:tc>
                <w:tcPr>
                  <w:tcW w:w="788" w:type="pct"/>
                  <w:gridSpan w:val="2"/>
                  <w:noWrap w:val="0"/>
                  <w:vAlign w:val="center"/>
                </w:tcPr>
                <w:p w14:paraId="01B914E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0.291</w:t>
                  </w:r>
                </w:p>
              </w:tc>
              <w:tc>
                <w:tcPr>
                  <w:tcW w:w="788" w:type="pct"/>
                  <w:noWrap w:val="0"/>
                  <w:vAlign w:val="center"/>
                </w:tcPr>
                <w:p w14:paraId="72DB737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0.220</w:t>
                  </w:r>
                </w:p>
              </w:tc>
            </w:tr>
            <w:tr w14:paraId="05AA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1" w:type="pct"/>
                  <w:vMerge w:val="continue"/>
                  <w:noWrap w:val="0"/>
                  <w:vAlign w:val="center"/>
                </w:tcPr>
                <w:p w14:paraId="2BF867F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p>
              </w:tc>
              <w:tc>
                <w:tcPr>
                  <w:tcW w:w="669" w:type="pct"/>
                  <w:vMerge w:val="continue"/>
                  <w:noWrap w:val="0"/>
                  <w:vAlign w:val="center"/>
                </w:tcPr>
                <w:p w14:paraId="004D51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p>
              </w:tc>
              <w:tc>
                <w:tcPr>
                  <w:tcW w:w="736" w:type="pct"/>
                  <w:noWrap w:val="0"/>
                  <w:vAlign w:val="center"/>
                </w:tcPr>
                <w:p w14:paraId="5C4A7B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2</w:t>
                  </w:r>
                </w:p>
              </w:tc>
              <w:tc>
                <w:tcPr>
                  <w:tcW w:w="788" w:type="pct"/>
                  <w:noWrap w:val="0"/>
                  <w:vAlign w:val="center"/>
                </w:tcPr>
                <w:p w14:paraId="6AEE56E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0.203</w:t>
                  </w:r>
                </w:p>
              </w:tc>
              <w:tc>
                <w:tcPr>
                  <w:tcW w:w="788" w:type="pct"/>
                  <w:gridSpan w:val="2"/>
                  <w:noWrap w:val="0"/>
                  <w:vAlign w:val="center"/>
                </w:tcPr>
                <w:p w14:paraId="0E0B85A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0.289</w:t>
                  </w:r>
                </w:p>
              </w:tc>
              <w:tc>
                <w:tcPr>
                  <w:tcW w:w="788" w:type="pct"/>
                  <w:gridSpan w:val="2"/>
                  <w:noWrap w:val="0"/>
                  <w:vAlign w:val="center"/>
                </w:tcPr>
                <w:p w14:paraId="0C46424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0.245</w:t>
                  </w:r>
                </w:p>
              </w:tc>
              <w:tc>
                <w:tcPr>
                  <w:tcW w:w="788" w:type="pct"/>
                  <w:noWrap w:val="0"/>
                  <w:vAlign w:val="center"/>
                </w:tcPr>
                <w:p w14:paraId="0889AFF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0.341</w:t>
                  </w:r>
                </w:p>
              </w:tc>
            </w:tr>
            <w:tr w14:paraId="522D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1" w:type="pct"/>
                  <w:vMerge w:val="continue"/>
                  <w:noWrap w:val="0"/>
                  <w:vAlign w:val="center"/>
                </w:tcPr>
                <w:p w14:paraId="7523C1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1"/>
                      <w:szCs w:val="21"/>
                    </w:rPr>
                  </w:pPr>
                </w:p>
              </w:tc>
              <w:tc>
                <w:tcPr>
                  <w:tcW w:w="669" w:type="pct"/>
                  <w:vMerge w:val="continue"/>
                  <w:noWrap w:val="0"/>
                  <w:vAlign w:val="center"/>
                </w:tcPr>
                <w:p w14:paraId="5C348C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1"/>
                      <w:szCs w:val="21"/>
                    </w:rPr>
                  </w:pPr>
                </w:p>
              </w:tc>
              <w:tc>
                <w:tcPr>
                  <w:tcW w:w="736" w:type="pct"/>
                  <w:noWrap w:val="0"/>
                  <w:vAlign w:val="center"/>
                </w:tcPr>
                <w:p w14:paraId="35C2486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3</w:t>
                  </w:r>
                </w:p>
              </w:tc>
              <w:tc>
                <w:tcPr>
                  <w:tcW w:w="788" w:type="pct"/>
                  <w:noWrap w:val="0"/>
                  <w:vAlign w:val="center"/>
                </w:tcPr>
                <w:p w14:paraId="4056758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0.177</w:t>
                  </w:r>
                </w:p>
              </w:tc>
              <w:tc>
                <w:tcPr>
                  <w:tcW w:w="788" w:type="pct"/>
                  <w:gridSpan w:val="2"/>
                  <w:noWrap w:val="0"/>
                  <w:vAlign w:val="center"/>
                </w:tcPr>
                <w:p w14:paraId="1670236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0.239</w:t>
                  </w:r>
                </w:p>
              </w:tc>
              <w:tc>
                <w:tcPr>
                  <w:tcW w:w="788" w:type="pct"/>
                  <w:gridSpan w:val="2"/>
                  <w:noWrap w:val="0"/>
                  <w:vAlign w:val="center"/>
                </w:tcPr>
                <w:p w14:paraId="3A50669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0.364</w:t>
                  </w:r>
                </w:p>
              </w:tc>
              <w:tc>
                <w:tcPr>
                  <w:tcW w:w="788" w:type="pct"/>
                  <w:noWrap w:val="0"/>
                  <w:vAlign w:val="center"/>
                </w:tcPr>
                <w:p w14:paraId="3A5CBE0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0.309</w:t>
                  </w:r>
                </w:p>
              </w:tc>
            </w:tr>
            <w:bookmarkEnd w:id="32"/>
            <w:tr w14:paraId="4154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47" w:type="pct"/>
                  <w:gridSpan w:val="3"/>
                  <w:noWrap w:val="0"/>
                  <w:vAlign w:val="center"/>
                </w:tcPr>
                <w:p w14:paraId="5588F2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标准值</w:t>
                  </w:r>
                </w:p>
              </w:tc>
              <w:tc>
                <w:tcPr>
                  <w:tcW w:w="3152" w:type="pct"/>
                  <w:gridSpan w:val="6"/>
                  <w:noWrap w:val="0"/>
                  <w:vAlign w:val="center"/>
                </w:tcPr>
                <w:p w14:paraId="08A3F64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1</w:t>
                  </w:r>
                </w:p>
              </w:tc>
            </w:tr>
            <w:tr w14:paraId="3A42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847" w:type="pct"/>
                  <w:gridSpan w:val="3"/>
                  <w:noWrap w:val="0"/>
                  <w:vAlign w:val="center"/>
                </w:tcPr>
                <w:p w14:paraId="1FCDDEC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达标情况</w:t>
                  </w:r>
                </w:p>
              </w:tc>
              <w:tc>
                <w:tcPr>
                  <w:tcW w:w="885" w:type="pct"/>
                  <w:gridSpan w:val="2"/>
                  <w:noWrap w:val="0"/>
                  <w:vAlign w:val="center"/>
                </w:tcPr>
                <w:p w14:paraId="185E21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w:t>
                  </w:r>
                </w:p>
              </w:tc>
              <w:tc>
                <w:tcPr>
                  <w:tcW w:w="740" w:type="pct"/>
                  <w:gridSpan w:val="2"/>
                  <w:noWrap w:val="0"/>
                  <w:vAlign w:val="center"/>
                </w:tcPr>
                <w:p w14:paraId="4E30173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w:t>
                  </w:r>
                </w:p>
              </w:tc>
              <w:tc>
                <w:tcPr>
                  <w:tcW w:w="740" w:type="pct"/>
                  <w:noWrap w:val="0"/>
                  <w:vAlign w:val="center"/>
                </w:tcPr>
                <w:p w14:paraId="123D4C7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w:t>
                  </w:r>
                </w:p>
              </w:tc>
              <w:tc>
                <w:tcPr>
                  <w:tcW w:w="787" w:type="pct"/>
                  <w:noWrap w:val="0"/>
                  <w:vAlign w:val="center"/>
                </w:tcPr>
                <w:p w14:paraId="119803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达标</w:t>
                  </w:r>
                </w:p>
              </w:tc>
            </w:tr>
          </w:tbl>
          <w:p w14:paraId="69E1DB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根据监测结果可知，项目</w:t>
            </w:r>
            <w:r>
              <w:rPr>
                <w:rFonts w:hint="eastAsia" w:ascii="宋体" w:hAnsi="宋体" w:cs="宋体"/>
                <w:b w:val="0"/>
                <w:bCs w:val="0"/>
                <w:color w:val="auto"/>
                <w:sz w:val="24"/>
                <w:szCs w:val="24"/>
                <w:lang w:val="en-US" w:eastAsia="zh-CN"/>
              </w:rPr>
              <w:t>厂界上风向和下风向</w:t>
            </w:r>
            <w:r>
              <w:rPr>
                <w:rFonts w:hint="eastAsia" w:ascii="宋体" w:hAnsi="宋体" w:eastAsia="宋体" w:cs="宋体"/>
                <w:b w:val="0"/>
                <w:bCs w:val="0"/>
                <w:color w:val="auto"/>
                <w:sz w:val="24"/>
                <w:szCs w:val="24"/>
                <w:lang w:val="en-US" w:eastAsia="zh-CN"/>
              </w:rPr>
              <w:t>无组织粉尘满足《大气污染物综合排放标准》（GB16297-1996）无组织排放限值标准。</w:t>
            </w:r>
          </w:p>
          <w:p w14:paraId="4EFB4DC4">
            <w:pPr>
              <w:adjustRightInd w:val="0"/>
              <w:snapToGrid w:val="0"/>
              <w:spacing w:line="360" w:lineRule="auto"/>
              <w:ind w:firstLine="482" w:firstLineChars="200"/>
              <w:rPr>
                <w:b/>
                <w:bCs/>
                <w:color w:val="auto"/>
                <w:kern w:val="24"/>
                <w:sz w:val="24"/>
                <w:highlight w:val="none"/>
              </w:rPr>
            </w:pPr>
            <w:r>
              <w:rPr>
                <w:rFonts w:hint="eastAsia"/>
                <w:b/>
                <w:bCs/>
                <w:color w:val="auto"/>
                <w:kern w:val="24"/>
                <w:sz w:val="24"/>
                <w:highlight w:val="none"/>
                <w:lang w:val="en-US" w:eastAsia="zh-CN"/>
              </w:rPr>
              <w:t>二、</w:t>
            </w:r>
            <w:r>
              <w:rPr>
                <w:rFonts w:hint="eastAsia"/>
                <w:b/>
                <w:bCs/>
                <w:color w:val="auto"/>
                <w:kern w:val="24"/>
                <w:sz w:val="24"/>
                <w:highlight w:val="none"/>
              </w:rPr>
              <w:t>非正常排放</w:t>
            </w:r>
          </w:p>
          <w:p w14:paraId="1A417297">
            <w:pPr>
              <w:adjustRightInd w:val="0"/>
              <w:snapToGrid w:val="0"/>
              <w:spacing w:line="360" w:lineRule="auto"/>
              <w:ind w:firstLine="480" w:firstLineChars="200"/>
              <w:rPr>
                <w:color w:val="auto"/>
                <w:kern w:val="24"/>
                <w:sz w:val="24"/>
                <w:highlight w:val="none"/>
              </w:rPr>
            </w:pPr>
            <w:r>
              <w:rPr>
                <w:color w:val="auto"/>
                <w:kern w:val="24"/>
                <w:sz w:val="24"/>
                <w:highlight w:val="none"/>
              </w:rPr>
              <w:t>本项目运行过程中发生的事故主要是除尘装置故障或停止工作，大量的烟气未经除尘就直排大气，造成短时间污染物浓度过高。本项目</w:t>
            </w:r>
            <w:r>
              <w:rPr>
                <w:rFonts w:hint="eastAsia"/>
                <w:color w:val="auto"/>
                <w:kern w:val="24"/>
                <w:sz w:val="24"/>
                <w:highlight w:val="none"/>
                <w:lang w:val="en-US" w:eastAsia="zh-CN"/>
              </w:rPr>
              <w:t>布袋</w:t>
            </w:r>
            <w:r>
              <w:rPr>
                <w:color w:val="auto"/>
                <w:kern w:val="24"/>
                <w:sz w:val="24"/>
                <w:highlight w:val="none"/>
              </w:rPr>
              <w:t>除尘器装置发生故障</w:t>
            </w:r>
            <w:r>
              <w:rPr>
                <w:rFonts w:hint="eastAsia"/>
                <w:color w:val="auto"/>
                <w:kern w:val="24"/>
                <w:sz w:val="24"/>
                <w:highlight w:val="none"/>
                <w:lang w:eastAsia="zh-CN"/>
              </w:rPr>
              <w:t>视为</w:t>
            </w:r>
            <w:r>
              <w:rPr>
                <w:color w:val="auto"/>
                <w:kern w:val="24"/>
                <w:sz w:val="24"/>
                <w:highlight w:val="none"/>
              </w:rPr>
              <w:t xml:space="preserve">非正常工况。 </w:t>
            </w:r>
          </w:p>
          <w:p w14:paraId="175DF9A7">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本项目</w:t>
            </w:r>
            <w:r>
              <w:rPr>
                <w:rFonts w:hint="eastAsia"/>
                <w:color w:val="auto"/>
                <w:kern w:val="24"/>
                <w:sz w:val="24"/>
                <w:highlight w:val="none"/>
                <w:lang w:eastAsia="zh-CN"/>
              </w:rPr>
              <w:t>蒸汽发生器</w:t>
            </w:r>
            <w:r>
              <w:rPr>
                <w:color w:val="auto"/>
                <w:kern w:val="24"/>
                <w:sz w:val="24"/>
                <w:highlight w:val="none"/>
              </w:rPr>
              <w:t>烟气采用</w:t>
            </w:r>
            <w:r>
              <w:rPr>
                <w:rFonts w:hint="eastAsia"/>
                <w:color w:val="auto"/>
                <w:kern w:val="24"/>
                <w:sz w:val="24"/>
                <w:highlight w:val="none"/>
              </w:rPr>
              <w:t>低氮燃烧技术+旋风除尘</w:t>
            </w:r>
            <w:r>
              <w:rPr>
                <w:color w:val="auto"/>
                <w:kern w:val="24"/>
                <w:sz w:val="24"/>
                <w:highlight w:val="none"/>
              </w:rPr>
              <w:t>+</w:t>
            </w:r>
            <w:r>
              <w:rPr>
                <w:rFonts w:hint="eastAsia"/>
                <w:color w:val="auto"/>
                <w:kern w:val="24"/>
                <w:sz w:val="24"/>
                <w:highlight w:val="none"/>
              </w:rPr>
              <w:t>布袋除尘</w:t>
            </w:r>
            <w:r>
              <w:rPr>
                <w:color w:val="auto"/>
                <w:kern w:val="24"/>
                <w:sz w:val="24"/>
                <w:highlight w:val="none"/>
              </w:rPr>
              <w:t>，一个袋式除尘器由几十或上百条滤袋组成，袋收尘器中滤袋损坏会使除尘效率降低，从概率统计分析可知，除尘滤袋越多，单个滤袋损坏的几率越小，而几个滤袋同时损坏的几率更小，而所有滤袋同时损坏的几率几乎为零，另外考虑到对袋收尘器的维护检查，更换破损滤袋，袋收尘器事故性排放效率下降一般不会超过5%，出现更高比例的滤袋破损概率非常小。袋式除尘器对</w:t>
            </w:r>
            <w:r>
              <w:rPr>
                <w:rFonts w:hint="eastAsia"/>
                <w:color w:val="auto"/>
                <w:kern w:val="24"/>
                <w:sz w:val="24"/>
                <w:highlight w:val="none"/>
                <w:lang w:eastAsia="zh-CN"/>
              </w:rPr>
              <w:t>蒸汽发生器</w:t>
            </w:r>
            <w:r>
              <w:rPr>
                <w:color w:val="auto"/>
                <w:kern w:val="24"/>
                <w:sz w:val="24"/>
                <w:highlight w:val="none"/>
              </w:rPr>
              <w:t>烟气中SO</w:t>
            </w:r>
            <w:r>
              <w:rPr>
                <w:color w:val="auto"/>
                <w:kern w:val="24"/>
                <w:sz w:val="24"/>
                <w:highlight w:val="none"/>
                <w:vertAlign w:val="subscript"/>
              </w:rPr>
              <w:t>2</w:t>
            </w:r>
            <w:r>
              <w:rPr>
                <w:color w:val="auto"/>
                <w:kern w:val="24"/>
                <w:sz w:val="24"/>
                <w:highlight w:val="none"/>
              </w:rPr>
              <w:t xml:space="preserve">、NOx无去除作用，排放浓度及排放量维持正常水平。所有除尘系统同时出现故障不运行的概率几乎为零。 </w:t>
            </w:r>
          </w:p>
          <w:p w14:paraId="744A4B0C">
            <w:pPr>
              <w:adjustRightInd w:val="0"/>
              <w:snapToGrid w:val="0"/>
              <w:spacing w:line="360" w:lineRule="auto"/>
              <w:ind w:firstLine="480" w:firstLineChars="200"/>
              <w:rPr>
                <w:color w:val="auto"/>
                <w:kern w:val="24"/>
                <w:sz w:val="24"/>
                <w:highlight w:val="none"/>
              </w:rPr>
            </w:pPr>
            <w:r>
              <w:rPr>
                <w:color w:val="auto"/>
                <w:kern w:val="24"/>
                <w:sz w:val="24"/>
                <w:highlight w:val="none"/>
              </w:rPr>
              <w:t>本次评价主要</w:t>
            </w:r>
            <w:r>
              <w:rPr>
                <w:color w:val="auto"/>
                <w:sz w:val="24"/>
                <w:highlight w:val="none"/>
              </w:rPr>
              <w:t>以除尘器除尘效率</w:t>
            </w:r>
            <w:r>
              <w:rPr>
                <w:rFonts w:hint="eastAsia"/>
                <w:color w:val="auto"/>
                <w:sz w:val="24"/>
                <w:highlight w:val="none"/>
                <w:lang w:val="en-US" w:eastAsia="zh-CN"/>
              </w:rPr>
              <w:t>从99%</w:t>
            </w:r>
            <w:r>
              <w:rPr>
                <w:color w:val="auto"/>
                <w:sz w:val="24"/>
                <w:highlight w:val="none"/>
              </w:rPr>
              <w:t>降低至95%作为</w:t>
            </w:r>
            <w:r>
              <w:rPr>
                <w:color w:val="auto"/>
                <w:kern w:val="24"/>
                <w:sz w:val="24"/>
                <w:highlight w:val="none"/>
              </w:rPr>
              <w:t>非正常排放</w:t>
            </w:r>
            <w:r>
              <w:rPr>
                <w:color w:val="auto"/>
                <w:sz w:val="24"/>
                <w:highlight w:val="none"/>
              </w:rPr>
              <w:t>考虑，</w:t>
            </w:r>
            <w:r>
              <w:rPr>
                <w:color w:val="auto"/>
                <w:kern w:val="24"/>
                <w:sz w:val="24"/>
                <w:highlight w:val="none"/>
              </w:rPr>
              <w:t>则污染源非正常排放统计见下表。</w:t>
            </w:r>
          </w:p>
          <w:p w14:paraId="4AB3CBAF">
            <w:pPr>
              <w:adjustRightInd w:val="0"/>
              <w:snapToGrid w:val="0"/>
              <w:spacing w:line="360" w:lineRule="auto"/>
              <w:ind w:firstLine="482" w:firstLineChars="200"/>
              <w:jc w:val="center"/>
              <w:rPr>
                <w:b/>
                <w:bCs/>
                <w:color w:val="auto"/>
                <w:kern w:val="24"/>
                <w:sz w:val="24"/>
                <w:highlight w:val="none"/>
              </w:rPr>
            </w:pPr>
            <w:r>
              <w:rPr>
                <w:rFonts w:hint="eastAsia"/>
                <w:b/>
                <w:bCs/>
                <w:color w:val="auto"/>
                <w:kern w:val="24"/>
                <w:sz w:val="24"/>
                <w:highlight w:val="none"/>
              </w:rPr>
              <w:t>表4-</w:t>
            </w:r>
            <w:r>
              <w:rPr>
                <w:rFonts w:hint="eastAsia"/>
                <w:b/>
                <w:bCs/>
                <w:color w:val="auto"/>
                <w:kern w:val="24"/>
                <w:sz w:val="24"/>
                <w:highlight w:val="none"/>
                <w:lang w:val="en-US" w:eastAsia="zh-CN"/>
              </w:rPr>
              <w:t>5</w:t>
            </w:r>
            <w:r>
              <w:rPr>
                <w:rFonts w:hint="eastAsia"/>
                <w:b/>
                <w:bCs/>
                <w:color w:val="auto"/>
                <w:kern w:val="24"/>
                <w:sz w:val="24"/>
                <w:highlight w:val="none"/>
              </w:rPr>
              <w:t xml:space="preserve">  污染源非正常排放量核算表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836"/>
              <w:gridCol w:w="891"/>
              <w:gridCol w:w="730"/>
              <w:gridCol w:w="1195"/>
              <w:gridCol w:w="1010"/>
              <w:gridCol w:w="1195"/>
              <w:gridCol w:w="598"/>
              <w:gridCol w:w="495"/>
              <w:gridCol w:w="925"/>
            </w:tblGrid>
            <w:tr w14:paraId="7497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Align w:val="center"/>
                </w:tcPr>
                <w:p w14:paraId="537B47F4">
                  <w:pPr>
                    <w:adjustRightInd w:val="0"/>
                    <w:snapToGrid w:val="0"/>
                    <w:spacing w:line="320" w:lineRule="exact"/>
                    <w:jc w:val="center"/>
                    <w:rPr>
                      <w:color w:val="auto"/>
                      <w:kern w:val="24"/>
                      <w:sz w:val="21"/>
                      <w:szCs w:val="21"/>
                      <w:highlight w:val="none"/>
                    </w:rPr>
                  </w:pPr>
                  <w:r>
                    <w:rPr>
                      <w:color w:val="auto"/>
                      <w:kern w:val="24"/>
                      <w:sz w:val="21"/>
                      <w:szCs w:val="21"/>
                      <w:highlight w:val="none"/>
                    </w:rPr>
                    <w:t>污染源</w:t>
                  </w:r>
                </w:p>
              </w:tc>
              <w:tc>
                <w:tcPr>
                  <w:tcW w:w="495" w:type="pct"/>
                  <w:vAlign w:val="center"/>
                </w:tcPr>
                <w:p w14:paraId="71741EB7">
                  <w:pPr>
                    <w:adjustRightInd w:val="0"/>
                    <w:snapToGrid w:val="0"/>
                    <w:spacing w:line="320" w:lineRule="exact"/>
                    <w:jc w:val="center"/>
                    <w:rPr>
                      <w:color w:val="auto"/>
                      <w:kern w:val="24"/>
                      <w:sz w:val="21"/>
                      <w:szCs w:val="21"/>
                      <w:highlight w:val="none"/>
                    </w:rPr>
                  </w:pPr>
                  <w:r>
                    <w:rPr>
                      <w:rFonts w:hint="eastAsia"/>
                      <w:color w:val="auto"/>
                      <w:kern w:val="24"/>
                      <w:sz w:val="21"/>
                      <w:szCs w:val="21"/>
                      <w:highlight w:val="none"/>
                    </w:rPr>
                    <w:t>排放口编号</w:t>
                  </w:r>
                </w:p>
              </w:tc>
              <w:tc>
                <w:tcPr>
                  <w:tcW w:w="528" w:type="pct"/>
                  <w:vAlign w:val="center"/>
                </w:tcPr>
                <w:p w14:paraId="79E4ED83">
                  <w:pPr>
                    <w:adjustRightInd w:val="0"/>
                    <w:snapToGrid w:val="0"/>
                    <w:spacing w:line="320" w:lineRule="exact"/>
                    <w:jc w:val="center"/>
                    <w:rPr>
                      <w:color w:val="auto"/>
                      <w:kern w:val="24"/>
                      <w:sz w:val="21"/>
                      <w:szCs w:val="21"/>
                      <w:highlight w:val="none"/>
                    </w:rPr>
                  </w:pPr>
                  <w:r>
                    <w:rPr>
                      <w:color w:val="auto"/>
                      <w:kern w:val="24"/>
                      <w:sz w:val="21"/>
                      <w:szCs w:val="21"/>
                      <w:highlight w:val="none"/>
                    </w:rPr>
                    <w:t>非正常排放原因</w:t>
                  </w:r>
                </w:p>
              </w:tc>
              <w:tc>
                <w:tcPr>
                  <w:tcW w:w="432" w:type="pct"/>
                  <w:vAlign w:val="center"/>
                </w:tcPr>
                <w:p w14:paraId="2A6CD500">
                  <w:pPr>
                    <w:adjustRightInd w:val="0"/>
                    <w:snapToGrid w:val="0"/>
                    <w:spacing w:line="320" w:lineRule="exact"/>
                    <w:jc w:val="center"/>
                    <w:rPr>
                      <w:color w:val="auto"/>
                      <w:kern w:val="24"/>
                      <w:sz w:val="21"/>
                      <w:szCs w:val="21"/>
                      <w:highlight w:val="none"/>
                    </w:rPr>
                  </w:pPr>
                  <w:r>
                    <w:rPr>
                      <w:color w:val="auto"/>
                      <w:kern w:val="24"/>
                      <w:sz w:val="21"/>
                      <w:szCs w:val="21"/>
                      <w:highlight w:val="none"/>
                    </w:rPr>
                    <w:t>污染物</w:t>
                  </w:r>
                </w:p>
              </w:tc>
              <w:tc>
                <w:tcPr>
                  <w:tcW w:w="708" w:type="pct"/>
                  <w:vAlign w:val="center"/>
                </w:tcPr>
                <w:p w14:paraId="5B15A034">
                  <w:pPr>
                    <w:adjustRightInd w:val="0"/>
                    <w:snapToGrid w:val="0"/>
                    <w:spacing w:line="320" w:lineRule="exact"/>
                    <w:jc w:val="center"/>
                    <w:rPr>
                      <w:color w:val="auto"/>
                      <w:kern w:val="24"/>
                      <w:sz w:val="21"/>
                      <w:szCs w:val="21"/>
                      <w:highlight w:val="none"/>
                    </w:rPr>
                  </w:pPr>
                  <w:r>
                    <w:rPr>
                      <w:color w:val="auto"/>
                      <w:kern w:val="24"/>
                      <w:sz w:val="21"/>
                      <w:szCs w:val="21"/>
                      <w:highlight w:val="none"/>
                    </w:rPr>
                    <w:t>非正常排放浓度（mg/m</w:t>
                  </w:r>
                  <w:r>
                    <w:rPr>
                      <w:color w:val="auto"/>
                      <w:kern w:val="24"/>
                      <w:sz w:val="21"/>
                      <w:szCs w:val="21"/>
                      <w:highlight w:val="none"/>
                      <w:vertAlign w:val="superscript"/>
                    </w:rPr>
                    <w:t>3</w:t>
                  </w:r>
                  <w:r>
                    <w:rPr>
                      <w:color w:val="auto"/>
                      <w:kern w:val="24"/>
                      <w:sz w:val="21"/>
                      <w:szCs w:val="21"/>
                      <w:highlight w:val="none"/>
                    </w:rPr>
                    <w:t>）</w:t>
                  </w:r>
                </w:p>
              </w:tc>
              <w:tc>
                <w:tcPr>
                  <w:tcW w:w="598" w:type="pct"/>
                  <w:vAlign w:val="center"/>
                </w:tcPr>
                <w:p w14:paraId="2CEF3E80">
                  <w:pPr>
                    <w:adjustRightInd w:val="0"/>
                    <w:snapToGrid w:val="0"/>
                    <w:spacing w:line="320" w:lineRule="exact"/>
                    <w:jc w:val="center"/>
                    <w:rPr>
                      <w:color w:val="auto"/>
                      <w:kern w:val="24"/>
                      <w:szCs w:val="21"/>
                      <w:highlight w:val="none"/>
                    </w:rPr>
                  </w:pPr>
                  <w:r>
                    <w:rPr>
                      <w:color w:val="auto"/>
                      <w:kern w:val="24"/>
                      <w:szCs w:val="21"/>
                      <w:highlight w:val="none"/>
                    </w:rPr>
                    <w:t>非正常排放速率（kg/h）</w:t>
                  </w:r>
                </w:p>
              </w:tc>
              <w:tc>
                <w:tcPr>
                  <w:tcW w:w="708" w:type="pct"/>
                  <w:vAlign w:val="center"/>
                </w:tcPr>
                <w:p w14:paraId="0154F0B3">
                  <w:pPr>
                    <w:adjustRightInd w:val="0"/>
                    <w:snapToGrid w:val="0"/>
                    <w:spacing w:line="320" w:lineRule="exact"/>
                    <w:jc w:val="center"/>
                    <w:rPr>
                      <w:color w:val="auto"/>
                      <w:kern w:val="24"/>
                      <w:szCs w:val="21"/>
                      <w:highlight w:val="none"/>
                    </w:rPr>
                  </w:pPr>
                  <w:r>
                    <w:rPr>
                      <w:rFonts w:hint="eastAsia"/>
                      <w:color w:val="auto"/>
                      <w:kern w:val="24"/>
                      <w:szCs w:val="21"/>
                      <w:highlight w:val="none"/>
                    </w:rPr>
                    <w:t>标准限值（mg/m</w:t>
                  </w:r>
                  <w:r>
                    <w:rPr>
                      <w:rFonts w:hint="eastAsia"/>
                      <w:color w:val="auto"/>
                      <w:kern w:val="24"/>
                      <w:szCs w:val="21"/>
                      <w:highlight w:val="none"/>
                      <w:vertAlign w:val="superscript"/>
                    </w:rPr>
                    <w:t>3</w:t>
                  </w:r>
                  <w:r>
                    <w:rPr>
                      <w:rFonts w:hint="eastAsia"/>
                      <w:color w:val="auto"/>
                      <w:kern w:val="24"/>
                      <w:szCs w:val="21"/>
                      <w:highlight w:val="none"/>
                    </w:rPr>
                    <w:t>）</w:t>
                  </w:r>
                </w:p>
              </w:tc>
              <w:tc>
                <w:tcPr>
                  <w:tcW w:w="354" w:type="pct"/>
                  <w:vAlign w:val="center"/>
                </w:tcPr>
                <w:p w14:paraId="039A4A39">
                  <w:pPr>
                    <w:adjustRightInd w:val="0"/>
                    <w:snapToGrid w:val="0"/>
                    <w:spacing w:line="320" w:lineRule="exact"/>
                    <w:jc w:val="center"/>
                    <w:rPr>
                      <w:color w:val="auto"/>
                      <w:kern w:val="24"/>
                      <w:szCs w:val="21"/>
                      <w:highlight w:val="none"/>
                    </w:rPr>
                  </w:pPr>
                  <w:r>
                    <w:rPr>
                      <w:color w:val="auto"/>
                      <w:kern w:val="24"/>
                      <w:szCs w:val="21"/>
                      <w:highlight w:val="none"/>
                    </w:rPr>
                    <w:t>单次持续时间/h</w:t>
                  </w:r>
                </w:p>
              </w:tc>
              <w:tc>
                <w:tcPr>
                  <w:tcW w:w="293" w:type="pct"/>
                  <w:vAlign w:val="center"/>
                </w:tcPr>
                <w:p w14:paraId="048D9471">
                  <w:pPr>
                    <w:adjustRightInd w:val="0"/>
                    <w:snapToGrid w:val="0"/>
                    <w:spacing w:line="320" w:lineRule="exact"/>
                    <w:jc w:val="center"/>
                    <w:rPr>
                      <w:color w:val="auto"/>
                      <w:kern w:val="24"/>
                      <w:szCs w:val="21"/>
                      <w:highlight w:val="none"/>
                    </w:rPr>
                  </w:pPr>
                  <w:r>
                    <w:rPr>
                      <w:color w:val="auto"/>
                      <w:kern w:val="24"/>
                      <w:szCs w:val="21"/>
                      <w:highlight w:val="none"/>
                    </w:rPr>
                    <w:t>年发生频次/次</w:t>
                  </w:r>
                </w:p>
              </w:tc>
              <w:tc>
                <w:tcPr>
                  <w:tcW w:w="548" w:type="pct"/>
                  <w:vAlign w:val="center"/>
                </w:tcPr>
                <w:p w14:paraId="607895B0">
                  <w:pPr>
                    <w:adjustRightInd w:val="0"/>
                    <w:snapToGrid w:val="0"/>
                    <w:spacing w:line="320" w:lineRule="exact"/>
                    <w:jc w:val="center"/>
                    <w:rPr>
                      <w:color w:val="auto"/>
                      <w:kern w:val="24"/>
                      <w:szCs w:val="21"/>
                      <w:highlight w:val="none"/>
                    </w:rPr>
                  </w:pPr>
                  <w:r>
                    <w:rPr>
                      <w:color w:val="auto"/>
                      <w:kern w:val="24"/>
                      <w:szCs w:val="21"/>
                      <w:highlight w:val="none"/>
                    </w:rPr>
                    <w:t>应对措施</w:t>
                  </w:r>
                </w:p>
              </w:tc>
            </w:tr>
            <w:tr w14:paraId="19C1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1" w:type="pct"/>
                  <w:vMerge w:val="restart"/>
                  <w:vAlign w:val="center"/>
                </w:tcPr>
                <w:p w14:paraId="18ADE5CC">
                  <w:pPr>
                    <w:adjustRightInd w:val="0"/>
                    <w:snapToGrid w:val="0"/>
                    <w:spacing w:line="320" w:lineRule="exact"/>
                    <w:jc w:val="center"/>
                    <w:rPr>
                      <w:color w:val="auto"/>
                      <w:kern w:val="24"/>
                      <w:sz w:val="21"/>
                      <w:szCs w:val="21"/>
                      <w:highlight w:val="none"/>
                    </w:rPr>
                  </w:pPr>
                  <w:r>
                    <w:rPr>
                      <w:rFonts w:hint="eastAsia"/>
                      <w:color w:val="auto"/>
                      <w:kern w:val="24"/>
                      <w:sz w:val="21"/>
                      <w:szCs w:val="21"/>
                      <w:highlight w:val="none"/>
                      <w:lang w:eastAsia="zh-CN"/>
                    </w:rPr>
                    <w:t>蒸汽发生器</w:t>
                  </w:r>
                  <w:r>
                    <w:rPr>
                      <w:rFonts w:hint="eastAsia"/>
                      <w:color w:val="auto"/>
                      <w:kern w:val="24"/>
                      <w:sz w:val="21"/>
                      <w:szCs w:val="21"/>
                      <w:highlight w:val="none"/>
                    </w:rPr>
                    <w:t>排气筒</w:t>
                  </w:r>
                </w:p>
              </w:tc>
              <w:tc>
                <w:tcPr>
                  <w:tcW w:w="495" w:type="pct"/>
                  <w:vMerge w:val="restart"/>
                  <w:vAlign w:val="center"/>
                </w:tcPr>
                <w:p w14:paraId="797BEE09">
                  <w:pPr>
                    <w:adjustRightInd w:val="0"/>
                    <w:snapToGrid w:val="0"/>
                    <w:spacing w:line="320" w:lineRule="exact"/>
                    <w:jc w:val="center"/>
                    <w:rPr>
                      <w:color w:val="auto"/>
                      <w:kern w:val="24"/>
                      <w:sz w:val="21"/>
                      <w:szCs w:val="21"/>
                      <w:highlight w:val="none"/>
                    </w:rPr>
                  </w:pPr>
                  <w:r>
                    <w:rPr>
                      <w:rFonts w:hint="eastAsia"/>
                      <w:color w:val="auto"/>
                      <w:kern w:val="24"/>
                      <w:sz w:val="21"/>
                      <w:szCs w:val="21"/>
                      <w:highlight w:val="none"/>
                    </w:rPr>
                    <w:t>DA001</w:t>
                  </w:r>
                </w:p>
              </w:tc>
              <w:tc>
                <w:tcPr>
                  <w:tcW w:w="528" w:type="pct"/>
                  <w:vMerge w:val="restart"/>
                  <w:vAlign w:val="center"/>
                </w:tcPr>
                <w:p w14:paraId="24F52CBA">
                  <w:pPr>
                    <w:adjustRightInd w:val="0"/>
                    <w:snapToGrid w:val="0"/>
                    <w:spacing w:line="320" w:lineRule="exact"/>
                    <w:jc w:val="center"/>
                    <w:rPr>
                      <w:color w:val="auto"/>
                      <w:kern w:val="24"/>
                      <w:sz w:val="21"/>
                      <w:szCs w:val="21"/>
                      <w:highlight w:val="none"/>
                    </w:rPr>
                  </w:pPr>
                  <w:r>
                    <w:rPr>
                      <w:color w:val="auto"/>
                      <w:kern w:val="24"/>
                      <w:sz w:val="21"/>
                      <w:szCs w:val="21"/>
                      <w:highlight w:val="none"/>
                    </w:rPr>
                    <w:t>“</w:t>
                  </w:r>
                  <w:r>
                    <w:rPr>
                      <w:rFonts w:hint="eastAsia"/>
                      <w:color w:val="auto"/>
                      <w:kern w:val="24"/>
                      <w:sz w:val="21"/>
                      <w:szCs w:val="21"/>
                      <w:highlight w:val="none"/>
                    </w:rPr>
                    <w:t>低氮燃烧技术+旋风除尘+布袋除尘</w:t>
                  </w:r>
                  <w:r>
                    <w:rPr>
                      <w:color w:val="auto"/>
                      <w:kern w:val="24"/>
                      <w:sz w:val="21"/>
                      <w:szCs w:val="21"/>
                      <w:highlight w:val="none"/>
                    </w:rPr>
                    <w:t>”故障</w:t>
                  </w:r>
                  <w:r>
                    <w:rPr>
                      <w:rFonts w:hint="eastAsia"/>
                      <w:color w:val="auto"/>
                      <w:kern w:val="24"/>
                      <w:sz w:val="21"/>
                      <w:szCs w:val="21"/>
                      <w:highlight w:val="none"/>
                    </w:rPr>
                    <w:t>，处理效率降低至95%</w:t>
                  </w:r>
                </w:p>
              </w:tc>
              <w:tc>
                <w:tcPr>
                  <w:tcW w:w="432" w:type="pct"/>
                  <w:vAlign w:val="center"/>
                </w:tcPr>
                <w:p w14:paraId="2B11617B">
                  <w:pPr>
                    <w:adjustRightInd w:val="0"/>
                    <w:snapToGrid w:val="0"/>
                    <w:spacing w:line="320" w:lineRule="exact"/>
                    <w:jc w:val="center"/>
                    <w:rPr>
                      <w:color w:val="auto"/>
                      <w:kern w:val="24"/>
                      <w:sz w:val="21"/>
                      <w:szCs w:val="21"/>
                      <w:highlight w:val="none"/>
                    </w:rPr>
                  </w:pPr>
                  <w:r>
                    <w:rPr>
                      <w:rFonts w:hint="eastAsia"/>
                      <w:color w:val="auto"/>
                      <w:kern w:val="24"/>
                      <w:sz w:val="21"/>
                      <w:szCs w:val="21"/>
                      <w:highlight w:val="none"/>
                    </w:rPr>
                    <w:t>颗粒物</w:t>
                  </w:r>
                </w:p>
              </w:tc>
              <w:tc>
                <w:tcPr>
                  <w:tcW w:w="708" w:type="pct"/>
                  <w:vAlign w:val="center"/>
                </w:tcPr>
                <w:p w14:paraId="0DABA575">
                  <w:pPr>
                    <w:adjustRightInd w:val="0"/>
                    <w:snapToGrid w:val="0"/>
                    <w:spacing w:line="320" w:lineRule="exact"/>
                    <w:jc w:val="center"/>
                    <w:rPr>
                      <w:rFonts w:hint="default" w:eastAsia="宋体"/>
                      <w:color w:val="auto"/>
                      <w:kern w:val="24"/>
                      <w:sz w:val="21"/>
                      <w:szCs w:val="21"/>
                      <w:highlight w:val="none"/>
                      <w:lang w:val="en-US" w:eastAsia="zh-CN"/>
                    </w:rPr>
                  </w:pPr>
                  <w:r>
                    <w:rPr>
                      <w:rFonts w:hint="eastAsia"/>
                      <w:color w:val="auto"/>
                      <w:kern w:val="24"/>
                      <w:sz w:val="21"/>
                      <w:szCs w:val="21"/>
                      <w:highlight w:val="none"/>
                      <w:lang w:val="en-US" w:eastAsia="zh-CN"/>
                    </w:rPr>
                    <w:t>41</w:t>
                  </w:r>
                </w:p>
              </w:tc>
              <w:tc>
                <w:tcPr>
                  <w:tcW w:w="598" w:type="pct"/>
                  <w:vAlign w:val="center"/>
                </w:tcPr>
                <w:p w14:paraId="5B6E28CF">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0.145</w:t>
                  </w:r>
                </w:p>
              </w:tc>
              <w:tc>
                <w:tcPr>
                  <w:tcW w:w="708" w:type="pct"/>
                  <w:vAlign w:val="center"/>
                </w:tcPr>
                <w:p w14:paraId="2DE823EE">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50</w:t>
                  </w:r>
                </w:p>
              </w:tc>
              <w:tc>
                <w:tcPr>
                  <w:tcW w:w="354" w:type="pct"/>
                  <w:vMerge w:val="restart"/>
                  <w:vAlign w:val="center"/>
                </w:tcPr>
                <w:p w14:paraId="0DBE5BC2">
                  <w:pPr>
                    <w:adjustRightInd w:val="0"/>
                    <w:snapToGrid w:val="0"/>
                    <w:spacing w:line="320" w:lineRule="exact"/>
                    <w:jc w:val="center"/>
                    <w:rPr>
                      <w:color w:val="auto"/>
                      <w:kern w:val="24"/>
                      <w:szCs w:val="21"/>
                      <w:highlight w:val="none"/>
                    </w:rPr>
                  </w:pPr>
                  <w:r>
                    <w:rPr>
                      <w:rFonts w:hint="eastAsia"/>
                      <w:color w:val="auto"/>
                      <w:kern w:val="24"/>
                      <w:szCs w:val="21"/>
                      <w:highlight w:val="none"/>
                    </w:rPr>
                    <w:t>0.5</w:t>
                  </w:r>
                </w:p>
              </w:tc>
              <w:tc>
                <w:tcPr>
                  <w:tcW w:w="293" w:type="pct"/>
                  <w:vMerge w:val="restart"/>
                  <w:vAlign w:val="center"/>
                </w:tcPr>
                <w:p w14:paraId="79D0A80A">
                  <w:pPr>
                    <w:adjustRightInd w:val="0"/>
                    <w:snapToGrid w:val="0"/>
                    <w:spacing w:line="320" w:lineRule="exact"/>
                    <w:jc w:val="center"/>
                    <w:rPr>
                      <w:color w:val="auto"/>
                      <w:kern w:val="24"/>
                      <w:szCs w:val="21"/>
                      <w:highlight w:val="none"/>
                    </w:rPr>
                  </w:pPr>
                  <w:r>
                    <w:rPr>
                      <w:color w:val="auto"/>
                      <w:kern w:val="24"/>
                      <w:szCs w:val="21"/>
                      <w:highlight w:val="none"/>
                    </w:rPr>
                    <w:t>1</w:t>
                  </w:r>
                </w:p>
              </w:tc>
              <w:tc>
                <w:tcPr>
                  <w:tcW w:w="548" w:type="pct"/>
                  <w:vMerge w:val="restart"/>
                  <w:vAlign w:val="center"/>
                </w:tcPr>
                <w:p w14:paraId="26066A1A">
                  <w:pPr>
                    <w:adjustRightInd w:val="0"/>
                    <w:snapToGrid w:val="0"/>
                    <w:spacing w:line="320" w:lineRule="exact"/>
                    <w:jc w:val="center"/>
                    <w:rPr>
                      <w:color w:val="auto"/>
                      <w:kern w:val="24"/>
                      <w:szCs w:val="21"/>
                      <w:highlight w:val="none"/>
                    </w:rPr>
                  </w:pPr>
                  <w:r>
                    <w:rPr>
                      <w:color w:val="auto"/>
                      <w:kern w:val="24"/>
                      <w:szCs w:val="21"/>
                      <w:highlight w:val="none"/>
                    </w:rPr>
                    <w:t>暂时停止生产，停机检修；</w:t>
                  </w:r>
                  <w:r>
                    <w:rPr>
                      <w:rFonts w:hint="eastAsia"/>
                      <w:color w:val="auto"/>
                      <w:kern w:val="24"/>
                      <w:szCs w:val="21"/>
                      <w:highlight w:val="none"/>
                    </w:rPr>
                    <w:t>定期对废气处理设施进行检修和更换</w:t>
                  </w:r>
                </w:p>
              </w:tc>
            </w:tr>
            <w:tr w14:paraId="6A6C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31" w:type="pct"/>
                  <w:vMerge w:val="continue"/>
                  <w:vAlign w:val="center"/>
                </w:tcPr>
                <w:p w14:paraId="04F086B4">
                  <w:pPr>
                    <w:adjustRightInd w:val="0"/>
                    <w:snapToGrid w:val="0"/>
                    <w:spacing w:line="320" w:lineRule="exact"/>
                    <w:jc w:val="center"/>
                    <w:rPr>
                      <w:color w:val="auto"/>
                      <w:kern w:val="24"/>
                      <w:sz w:val="21"/>
                      <w:szCs w:val="21"/>
                      <w:highlight w:val="none"/>
                    </w:rPr>
                  </w:pPr>
                </w:p>
              </w:tc>
              <w:tc>
                <w:tcPr>
                  <w:tcW w:w="495" w:type="pct"/>
                  <w:vMerge w:val="continue"/>
                  <w:vAlign w:val="center"/>
                </w:tcPr>
                <w:p w14:paraId="3F4BFCBC">
                  <w:pPr>
                    <w:adjustRightInd w:val="0"/>
                    <w:snapToGrid w:val="0"/>
                    <w:spacing w:line="320" w:lineRule="exact"/>
                    <w:jc w:val="center"/>
                    <w:rPr>
                      <w:color w:val="auto"/>
                      <w:kern w:val="24"/>
                      <w:sz w:val="21"/>
                      <w:szCs w:val="21"/>
                      <w:highlight w:val="none"/>
                    </w:rPr>
                  </w:pPr>
                </w:p>
              </w:tc>
              <w:tc>
                <w:tcPr>
                  <w:tcW w:w="528" w:type="pct"/>
                  <w:vMerge w:val="continue"/>
                  <w:vAlign w:val="center"/>
                </w:tcPr>
                <w:p w14:paraId="1D1C38E1">
                  <w:pPr>
                    <w:adjustRightInd w:val="0"/>
                    <w:snapToGrid w:val="0"/>
                    <w:spacing w:line="320" w:lineRule="exact"/>
                    <w:jc w:val="center"/>
                    <w:rPr>
                      <w:color w:val="auto"/>
                      <w:kern w:val="24"/>
                      <w:sz w:val="21"/>
                      <w:szCs w:val="21"/>
                      <w:highlight w:val="none"/>
                    </w:rPr>
                  </w:pPr>
                </w:p>
              </w:tc>
              <w:tc>
                <w:tcPr>
                  <w:tcW w:w="432" w:type="pct"/>
                  <w:vAlign w:val="center"/>
                </w:tcPr>
                <w:p w14:paraId="08F18ED3">
                  <w:pPr>
                    <w:pStyle w:val="25"/>
                    <w:adjustRightInd w:val="0"/>
                    <w:snapToGrid w:val="0"/>
                    <w:ind w:left="105" w:leftChars="50" w:firstLine="0" w:firstLineChars="0"/>
                    <w:jc w:val="center"/>
                    <w:rPr>
                      <w:color w:val="auto"/>
                      <w:kern w:val="24"/>
                      <w:sz w:val="21"/>
                      <w:szCs w:val="21"/>
                      <w:highlight w:val="none"/>
                    </w:rPr>
                  </w:pPr>
                  <w:r>
                    <w:rPr>
                      <w:rFonts w:hint="eastAsia"/>
                      <w:color w:val="auto"/>
                      <w:sz w:val="21"/>
                      <w:szCs w:val="21"/>
                      <w:highlight w:val="none"/>
                    </w:rPr>
                    <w:t>SO</w:t>
                  </w:r>
                  <w:r>
                    <w:rPr>
                      <w:rFonts w:hint="eastAsia"/>
                      <w:color w:val="auto"/>
                      <w:sz w:val="21"/>
                      <w:szCs w:val="21"/>
                      <w:highlight w:val="none"/>
                      <w:vertAlign w:val="subscript"/>
                    </w:rPr>
                    <w:t>2</w:t>
                  </w:r>
                </w:p>
              </w:tc>
              <w:tc>
                <w:tcPr>
                  <w:tcW w:w="708" w:type="pct"/>
                  <w:vAlign w:val="center"/>
                </w:tcPr>
                <w:p w14:paraId="4B9AF315">
                  <w:pPr>
                    <w:adjustRightInd w:val="0"/>
                    <w:snapToGrid w:val="0"/>
                    <w:spacing w:line="320" w:lineRule="exact"/>
                    <w:jc w:val="center"/>
                    <w:rPr>
                      <w:rFonts w:hint="default" w:eastAsia="宋体"/>
                      <w:color w:val="auto"/>
                      <w:kern w:val="24"/>
                      <w:sz w:val="21"/>
                      <w:szCs w:val="21"/>
                      <w:highlight w:val="none"/>
                      <w:lang w:val="en-US" w:eastAsia="zh-CN"/>
                    </w:rPr>
                  </w:pPr>
                  <w:r>
                    <w:rPr>
                      <w:rFonts w:hint="eastAsia"/>
                      <w:color w:val="auto"/>
                      <w:kern w:val="24"/>
                      <w:sz w:val="21"/>
                      <w:szCs w:val="21"/>
                      <w:highlight w:val="none"/>
                      <w:lang w:val="en-US" w:eastAsia="zh-CN"/>
                    </w:rPr>
                    <w:t>6</w:t>
                  </w:r>
                </w:p>
              </w:tc>
              <w:tc>
                <w:tcPr>
                  <w:tcW w:w="598" w:type="pct"/>
                  <w:vAlign w:val="center"/>
                </w:tcPr>
                <w:p w14:paraId="0AE568ED">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0.1</w:t>
                  </w:r>
                </w:p>
              </w:tc>
              <w:tc>
                <w:tcPr>
                  <w:tcW w:w="708" w:type="pct"/>
                  <w:vAlign w:val="center"/>
                </w:tcPr>
                <w:p w14:paraId="7C10DF85">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300</w:t>
                  </w:r>
                </w:p>
              </w:tc>
              <w:tc>
                <w:tcPr>
                  <w:tcW w:w="354" w:type="pct"/>
                  <w:vMerge w:val="continue"/>
                  <w:vAlign w:val="center"/>
                </w:tcPr>
                <w:p w14:paraId="3073770C">
                  <w:pPr>
                    <w:adjustRightInd w:val="0"/>
                    <w:snapToGrid w:val="0"/>
                    <w:spacing w:line="320" w:lineRule="exact"/>
                    <w:jc w:val="center"/>
                    <w:rPr>
                      <w:color w:val="auto"/>
                      <w:kern w:val="24"/>
                      <w:szCs w:val="21"/>
                      <w:highlight w:val="none"/>
                    </w:rPr>
                  </w:pPr>
                </w:p>
              </w:tc>
              <w:tc>
                <w:tcPr>
                  <w:tcW w:w="293" w:type="pct"/>
                  <w:vMerge w:val="continue"/>
                  <w:vAlign w:val="center"/>
                </w:tcPr>
                <w:p w14:paraId="1071BDEA">
                  <w:pPr>
                    <w:adjustRightInd w:val="0"/>
                    <w:snapToGrid w:val="0"/>
                    <w:spacing w:line="320" w:lineRule="exact"/>
                    <w:jc w:val="center"/>
                    <w:rPr>
                      <w:color w:val="auto"/>
                      <w:kern w:val="24"/>
                      <w:szCs w:val="21"/>
                      <w:highlight w:val="none"/>
                    </w:rPr>
                  </w:pPr>
                </w:p>
              </w:tc>
              <w:tc>
                <w:tcPr>
                  <w:tcW w:w="548" w:type="pct"/>
                  <w:vMerge w:val="continue"/>
                  <w:vAlign w:val="center"/>
                </w:tcPr>
                <w:p w14:paraId="4F655851">
                  <w:pPr>
                    <w:adjustRightInd w:val="0"/>
                    <w:snapToGrid w:val="0"/>
                    <w:spacing w:line="320" w:lineRule="exact"/>
                    <w:jc w:val="center"/>
                    <w:rPr>
                      <w:color w:val="auto"/>
                      <w:kern w:val="24"/>
                      <w:szCs w:val="21"/>
                      <w:highlight w:val="none"/>
                    </w:rPr>
                  </w:pPr>
                </w:p>
              </w:tc>
            </w:tr>
            <w:tr w14:paraId="1714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1" w:type="pct"/>
                  <w:vMerge w:val="continue"/>
                  <w:vAlign w:val="center"/>
                </w:tcPr>
                <w:p w14:paraId="6A26F923">
                  <w:pPr>
                    <w:adjustRightInd w:val="0"/>
                    <w:snapToGrid w:val="0"/>
                    <w:spacing w:line="320" w:lineRule="exact"/>
                    <w:jc w:val="center"/>
                    <w:rPr>
                      <w:color w:val="auto"/>
                      <w:kern w:val="24"/>
                      <w:sz w:val="21"/>
                      <w:szCs w:val="21"/>
                      <w:highlight w:val="none"/>
                    </w:rPr>
                  </w:pPr>
                </w:p>
              </w:tc>
              <w:tc>
                <w:tcPr>
                  <w:tcW w:w="495" w:type="pct"/>
                  <w:vMerge w:val="continue"/>
                  <w:vAlign w:val="center"/>
                </w:tcPr>
                <w:p w14:paraId="628AE4F0">
                  <w:pPr>
                    <w:adjustRightInd w:val="0"/>
                    <w:snapToGrid w:val="0"/>
                    <w:spacing w:line="320" w:lineRule="exact"/>
                    <w:jc w:val="center"/>
                    <w:rPr>
                      <w:color w:val="auto"/>
                      <w:kern w:val="24"/>
                      <w:sz w:val="21"/>
                      <w:szCs w:val="21"/>
                      <w:highlight w:val="none"/>
                    </w:rPr>
                  </w:pPr>
                </w:p>
              </w:tc>
              <w:tc>
                <w:tcPr>
                  <w:tcW w:w="528" w:type="pct"/>
                  <w:vMerge w:val="continue"/>
                  <w:vAlign w:val="center"/>
                </w:tcPr>
                <w:p w14:paraId="2318561B">
                  <w:pPr>
                    <w:adjustRightInd w:val="0"/>
                    <w:snapToGrid w:val="0"/>
                    <w:spacing w:line="320" w:lineRule="exact"/>
                    <w:jc w:val="center"/>
                    <w:rPr>
                      <w:color w:val="auto"/>
                      <w:kern w:val="24"/>
                      <w:sz w:val="21"/>
                      <w:szCs w:val="21"/>
                      <w:highlight w:val="none"/>
                    </w:rPr>
                  </w:pPr>
                </w:p>
              </w:tc>
              <w:tc>
                <w:tcPr>
                  <w:tcW w:w="432" w:type="pct"/>
                  <w:vAlign w:val="center"/>
                </w:tcPr>
                <w:p w14:paraId="634E1825">
                  <w:pPr>
                    <w:pStyle w:val="25"/>
                    <w:adjustRightInd w:val="0"/>
                    <w:snapToGrid w:val="0"/>
                    <w:ind w:left="105" w:leftChars="50" w:firstLine="0" w:firstLineChars="0"/>
                    <w:jc w:val="center"/>
                    <w:rPr>
                      <w:color w:val="auto"/>
                      <w:kern w:val="24"/>
                      <w:sz w:val="21"/>
                      <w:szCs w:val="21"/>
                      <w:highlight w:val="none"/>
                    </w:rPr>
                  </w:pPr>
                  <w:r>
                    <w:rPr>
                      <w:rFonts w:hint="eastAsia"/>
                      <w:color w:val="auto"/>
                      <w:sz w:val="21"/>
                      <w:szCs w:val="21"/>
                      <w:highlight w:val="none"/>
                    </w:rPr>
                    <w:t>NOx</w:t>
                  </w:r>
                </w:p>
              </w:tc>
              <w:tc>
                <w:tcPr>
                  <w:tcW w:w="708" w:type="pct"/>
                  <w:vAlign w:val="center"/>
                </w:tcPr>
                <w:p w14:paraId="60A417E3">
                  <w:pPr>
                    <w:adjustRightInd w:val="0"/>
                    <w:snapToGrid w:val="0"/>
                    <w:spacing w:line="320" w:lineRule="exact"/>
                    <w:jc w:val="center"/>
                    <w:rPr>
                      <w:rFonts w:hint="default"/>
                      <w:color w:val="auto"/>
                      <w:kern w:val="24"/>
                      <w:sz w:val="21"/>
                      <w:szCs w:val="21"/>
                      <w:highlight w:val="none"/>
                      <w:lang w:val="en-US"/>
                    </w:rPr>
                  </w:pPr>
                  <w:r>
                    <w:rPr>
                      <w:rFonts w:hint="eastAsia"/>
                      <w:color w:val="auto"/>
                      <w:kern w:val="24"/>
                      <w:sz w:val="21"/>
                      <w:szCs w:val="21"/>
                      <w:highlight w:val="none"/>
                      <w:lang w:val="en-US" w:eastAsia="zh-CN"/>
                    </w:rPr>
                    <w:t>170</w:t>
                  </w:r>
                </w:p>
              </w:tc>
              <w:tc>
                <w:tcPr>
                  <w:tcW w:w="598" w:type="pct"/>
                  <w:vAlign w:val="center"/>
                </w:tcPr>
                <w:p w14:paraId="1A9777CA">
                  <w:pPr>
                    <w:adjustRightInd w:val="0"/>
                    <w:snapToGrid w:val="0"/>
                    <w:spacing w:line="320" w:lineRule="exact"/>
                    <w:jc w:val="center"/>
                    <w:rPr>
                      <w:rFonts w:hint="default"/>
                      <w:color w:val="auto"/>
                      <w:kern w:val="24"/>
                      <w:szCs w:val="21"/>
                      <w:highlight w:val="none"/>
                      <w:lang w:val="en-US"/>
                    </w:rPr>
                  </w:pPr>
                  <w:r>
                    <w:rPr>
                      <w:rFonts w:hint="eastAsia"/>
                      <w:color w:val="auto"/>
                      <w:kern w:val="24"/>
                      <w:szCs w:val="21"/>
                      <w:highlight w:val="none"/>
                      <w:lang w:val="en-US" w:eastAsia="zh-CN"/>
                    </w:rPr>
                    <w:t>2.89</w:t>
                  </w:r>
                </w:p>
              </w:tc>
              <w:tc>
                <w:tcPr>
                  <w:tcW w:w="708" w:type="pct"/>
                  <w:vAlign w:val="center"/>
                </w:tcPr>
                <w:p w14:paraId="4B609F0A">
                  <w:pPr>
                    <w:adjustRightInd w:val="0"/>
                    <w:snapToGrid w:val="0"/>
                    <w:spacing w:line="320" w:lineRule="exact"/>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300</w:t>
                  </w:r>
                </w:p>
              </w:tc>
              <w:tc>
                <w:tcPr>
                  <w:tcW w:w="354" w:type="pct"/>
                  <w:vMerge w:val="continue"/>
                  <w:vAlign w:val="center"/>
                </w:tcPr>
                <w:p w14:paraId="07AFF98A">
                  <w:pPr>
                    <w:adjustRightInd w:val="0"/>
                    <w:snapToGrid w:val="0"/>
                    <w:spacing w:line="320" w:lineRule="exact"/>
                    <w:jc w:val="center"/>
                    <w:rPr>
                      <w:color w:val="auto"/>
                      <w:kern w:val="24"/>
                      <w:szCs w:val="21"/>
                      <w:highlight w:val="none"/>
                    </w:rPr>
                  </w:pPr>
                </w:p>
              </w:tc>
              <w:tc>
                <w:tcPr>
                  <w:tcW w:w="293" w:type="pct"/>
                  <w:vMerge w:val="continue"/>
                  <w:vAlign w:val="center"/>
                </w:tcPr>
                <w:p w14:paraId="6E2AF3F5">
                  <w:pPr>
                    <w:adjustRightInd w:val="0"/>
                    <w:snapToGrid w:val="0"/>
                    <w:spacing w:line="320" w:lineRule="exact"/>
                    <w:jc w:val="center"/>
                    <w:rPr>
                      <w:color w:val="auto"/>
                      <w:kern w:val="24"/>
                      <w:szCs w:val="21"/>
                      <w:highlight w:val="none"/>
                    </w:rPr>
                  </w:pPr>
                </w:p>
              </w:tc>
              <w:tc>
                <w:tcPr>
                  <w:tcW w:w="548" w:type="pct"/>
                  <w:vMerge w:val="continue"/>
                  <w:vAlign w:val="center"/>
                </w:tcPr>
                <w:p w14:paraId="795067E1">
                  <w:pPr>
                    <w:adjustRightInd w:val="0"/>
                    <w:snapToGrid w:val="0"/>
                    <w:spacing w:line="320" w:lineRule="exact"/>
                    <w:jc w:val="center"/>
                    <w:rPr>
                      <w:color w:val="auto"/>
                      <w:kern w:val="24"/>
                      <w:szCs w:val="21"/>
                      <w:highlight w:val="none"/>
                    </w:rPr>
                  </w:pPr>
                </w:p>
              </w:tc>
            </w:tr>
          </w:tbl>
          <w:p w14:paraId="05AB9185">
            <w:pPr>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由上表可知，项目废气处理设施出现故障时，</w:t>
            </w:r>
            <w:r>
              <w:rPr>
                <w:rFonts w:hint="eastAsia"/>
                <w:color w:val="auto"/>
                <w:sz w:val="24"/>
                <w:highlight w:val="none"/>
                <w:lang w:val="en-US" w:eastAsia="zh-CN"/>
              </w:rPr>
              <w:t>污染物的</w:t>
            </w:r>
            <w:r>
              <w:rPr>
                <w:rFonts w:hint="eastAsia"/>
                <w:color w:val="auto"/>
                <w:sz w:val="24"/>
                <w:highlight w:val="none"/>
              </w:rPr>
              <w:t>排放速率及排放浓度均有所增加，排放浓度</w:t>
            </w:r>
            <w:r>
              <w:rPr>
                <w:rFonts w:hint="eastAsia"/>
                <w:color w:val="auto"/>
                <w:sz w:val="24"/>
                <w:highlight w:val="none"/>
                <w:lang w:val="en-US" w:eastAsia="zh-CN"/>
              </w:rPr>
              <w:t>仍能达</w:t>
            </w:r>
            <w:r>
              <w:rPr>
                <w:rFonts w:hint="eastAsia"/>
                <w:color w:val="auto"/>
                <w:sz w:val="24"/>
                <w:highlight w:val="none"/>
              </w:rPr>
              <w:t>到</w:t>
            </w:r>
            <w:r>
              <w:rPr>
                <w:rFonts w:hint="eastAsia" w:ascii="宋体" w:hAnsi="宋体" w:cs="宋体"/>
                <w:color w:val="auto"/>
                <w:sz w:val="24"/>
                <w:highlight w:val="none"/>
              </w:rPr>
              <w:t>《</w:t>
            </w:r>
            <w:r>
              <w:rPr>
                <w:rFonts w:hint="eastAsia" w:ascii="宋体" w:hAnsi="宋体" w:cs="宋体"/>
                <w:color w:val="auto"/>
                <w:sz w:val="24"/>
                <w:highlight w:val="none"/>
                <w:lang w:eastAsia="zh-CN"/>
              </w:rPr>
              <w:t>锅炉大气污染物排放标准</w:t>
            </w:r>
            <w:r>
              <w:rPr>
                <w:color w:val="auto"/>
                <w:sz w:val="24"/>
                <w:highlight w:val="none"/>
              </w:rPr>
              <w:t>》（GB13271-2014）表2中新</w:t>
            </w:r>
            <w:r>
              <w:rPr>
                <w:rFonts w:hint="eastAsia"/>
                <w:color w:val="auto"/>
                <w:sz w:val="24"/>
                <w:highlight w:val="none"/>
                <w:lang w:eastAsia="zh-CN"/>
              </w:rPr>
              <w:t>建燃</w:t>
            </w:r>
            <w:r>
              <w:rPr>
                <w:rFonts w:hint="eastAsia"/>
                <w:color w:val="auto"/>
                <w:sz w:val="24"/>
                <w:highlight w:val="none"/>
                <w:lang w:val="en-US" w:eastAsia="zh-CN"/>
              </w:rPr>
              <w:t>煤</w:t>
            </w:r>
            <w:r>
              <w:rPr>
                <w:rFonts w:hint="eastAsia"/>
                <w:color w:val="auto"/>
                <w:sz w:val="24"/>
                <w:highlight w:val="none"/>
                <w:lang w:eastAsia="zh-CN"/>
              </w:rPr>
              <w:t>锅炉大气污染物排放限值</w:t>
            </w:r>
            <w:r>
              <w:rPr>
                <w:color w:val="auto"/>
                <w:sz w:val="24"/>
                <w:highlight w:val="none"/>
              </w:rPr>
              <w:t>，建设单位</w:t>
            </w:r>
            <w:r>
              <w:rPr>
                <w:rFonts w:hint="eastAsia"/>
                <w:color w:val="auto"/>
                <w:sz w:val="24"/>
                <w:highlight w:val="none"/>
                <w:lang w:val="en-US" w:eastAsia="zh-CN"/>
              </w:rPr>
              <w:t>仍</w:t>
            </w:r>
            <w:r>
              <w:rPr>
                <w:color w:val="auto"/>
                <w:sz w:val="24"/>
                <w:highlight w:val="none"/>
              </w:rPr>
              <w:t>应定期对环保设施</w:t>
            </w:r>
            <w:r>
              <w:rPr>
                <w:rFonts w:hint="eastAsia"/>
                <w:color w:val="auto"/>
                <w:sz w:val="24"/>
                <w:highlight w:val="none"/>
              </w:rPr>
              <w:t>进行检修，并建立台账管理制度，保证去除效果，当出现设备故障时，应及时停止生产，并对废气治理设备进行检修。</w:t>
            </w:r>
          </w:p>
          <w:p w14:paraId="03F76457">
            <w:pPr>
              <w:adjustRightInd w:val="0"/>
              <w:snapToGrid w:val="0"/>
              <w:spacing w:line="360" w:lineRule="auto"/>
              <w:ind w:firstLine="482" w:firstLineChars="200"/>
              <w:jc w:val="left"/>
              <w:rPr>
                <w:rFonts w:hint="eastAsia"/>
                <w:b/>
                <w:bCs/>
                <w:color w:val="auto"/>
                <w:sz w:val="24"/>
                <w:highlight w:val="none"/>
              </w:rPr>
            </w:pPr>
            <w:r>
              <w:rPr>
                <w:rFonts w:hint="eastAsia"/>
                <w:b/>
                <w:bCs/>
                <w:color w:val="auto"/>
                <w:sz w:val="24"/>
                <w:highlight w:val="none"/>
                <w:lang w:val="en-US" w:eastAsia="zh-CN"/>
              </w:rPr>
              <w:t>三</w:t>
            </w:r>
            <w:r>
              <w:rPr>
                <w:rFonts w:hint="eastAsia"/>
                <w:b/>
                <w:bCs/>
                <w:color w:val="auto"/>
                <w:sz w:val="24"/>
                <w:highlight w:val="none"/>
              </w:rPr>
              <w:t>、</w:t>
            </w:r>
            <w:r>
              <w:rPr>
                <w:rFonts w:hint="eastAsia"/>
                <w:b/>
                <w:bCs/>
                <w:color w:val="auto"/>
                <w:sz w:val="24"/>
                <w:highlight w:val="none"/>
                <w:lang w:val="en-US" w:eastAsia="zh-CN"/>
              </w:rPr>
              <w:t>废气产排情况</w:t>
            </w:r>
          </w:p>
          <w:p w14:paraId="00D53A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根据项目运营期产污环节分析，项目大气污染物主要为</w:t>
            </w:r>
            <w:r>
              <w:rPr>
                <w:rFonts w:hint="eastAsia" w:ascii="宋体" w:hAnsi="宋体" w:eastAsia="宋体" w:cs="宋体"/>
                <w:color w:val="auto"/>
                <w:sz w:val="24"/>
                <w:szCs w:val="24"/>
                <w:lang w:eastAsia="zh-CN"/>
              </w:rPr>
              <w:t>蒸发器燃烧产生的颗粒物、</w:t>
            </w:r>
            <w:r>
              <w:rPr>
                <w:rFonts w:hint="eastAsia" w:ascii="宋体" w:hAnsi="宋体" w:eastAsia="宋体" w:cs="宋体"/>
                <w:color w:val="auto"/>
                <w:sz w:val="24"/>
                <w:szCs w:val="24"/>
                <w:lang w:val="en-US" w:eastAsia="zh-CN"/>
              </w:rPr>
              <w:t>SO</w:t>
            </w:r>
            <w:r>
              <w:rPr>
                <w:rFonts w:hint="eastAsia" w:ascii="宋体" w:hAnsi="宋体" w:eastAsia="宋体" w:cs="宋体"/>
                <w:color w:val="auto"/>
                <w:sz w:val="24"/>
                <w:szCs w:val="24"/>
                <w:vertAlign w:val="subscript"/>
                <w:lang w:val="en-US" w:eastAsia="zh-CN"/>
              </w:rPr>
              <w:t>2</w:t>
            </w:r>
            <w:r>
              <w:rPr>
                <w:rFonts w:hint="eastAsia" w:ascii="宋体" w:hAnsi="宋体" w:eastAsia="宋体" w:cs="宋体"/>
                <w:color w:val="auto"/>
                <w:sz w:val="24"/>
                <w:szCs w:val="24"/>
                <w:vertAlign w:val="baseline"/>
                <w:lang w:val="en-US" w:eastAsia="zh-CN"/>
              </w:rPr>
              <w:t>、NO</w:t>
            </w:r>
            <w:r>
              <w:rPr>
                <w:rFonts w:hint="eastAsia" w:ascii="宋体" w:hAnsi="宋体" w:eastAsia="宋体" w:cs="宋体"/>
                <w:color w:val="auto"/>
                <w:sz w:val="24"/>
                <w:szCs w:val="24"/>
                <w:vertAlign w:val="subscript"/>
                <w:lang w:val="en-US" w:eastAsia="zh-CN"/>
              </w:rPr>
              <w:t>X</w:t>
            </w:r>
            <w:r>
              <w:rPr>
                <w:rFonts w:hint="eastAsia" w:ascii="宋体" w:hAnsi="宋体" w:eastAsia="宋体" w:cs="宋体"/>
                <w:color w:val="auto"/>
                <w:sz w:val="24"/>
                <w:szCs w:val="24"/>
              </w:rPr>
              <w:t>。项目运营大气污染物产生及排放情况详见下表：</w:t>
            </w:r>
          </w:p>
          <w:p w14:paraId="100C17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表4</w:t>
            </w:r>
            <w:r>
              <w:rPr>
                <w:rFonts w:hint="eastAsia" w:ascii="宋体" w:hAnsi="宋体" w:cs="宋体"/>
                <w:b/>
                <w:bCs/>
                <w:color w:val="auto"/>
                <w:kern w:val="0"/>
                <w:sz w:val="24"/>
                <w:szCs w:val="24"/>
                <w:highlight w:val="none"/>
                <w:lang w:val="en-US" w:eastAsia="zh-CN" w:bidi="ar"/>
              </w:rPr>
              <w:t>-6</w:t>
            </w:r>
            <w:r>
              <w:rPr>
                <w:rFonts w:hint="eastAsia" w:ascii="宋体" w:hAnsi="宋体" w:eastAsia="宋体" w:cs="宋体"/>
                <w:b/>
                <w:bCs/>
                <w:color w:val="auto"/>
                <w:kern w:val="0"/>
                <w:sz w:val="24"/>
                <w:szCs w:val="24"/>
                <w:highlight w:val="none"/>
                <w:lang w:val="en-US" w:eastAsia="zh-CN" w:bidi="ar"/>
              </w:rPr>
              <w:t xml:space="preserve"> </w:t>
            </w:r>
            <w:r>
              <w:rPr>
                <w:rFonts w:hint="eastAsia" w:ascii="宋体" w:hAnsi="宋体" w:cs="宋体"/>
                <w:b/>
                <w:bCs/>
                <w:color w:val="auto"/>
                <w:kern w:val="0"/>
                <w:sz w:val="24"/>
                <w:szCs w:val="24"/>
                <w:highlight w:val="none"/>
                <w:lang w:val="en-US" w:eastAsia="zh-CN" w:bidi="ar"/>
              </w:rPr>
              <w:t xml:space="preserve"> </w:t>
            </w:r>
            <w:r>
              <w:rPr>
                <w:rFonts w:hint="eastAsia" w:ascii="宋体" w:hAnsi="宋体" w:eastAsia="宋体" w:cs="宋体"/>
                <w:b/>
                <w:bCs/>
                <w:color w:val="auto"/>
                <w:kern w:val="0"/>
                <w:sz w:val="24"/>
                <w:szCs w:val="24"/>
                <w:highlight w:val="none"/>
                <w:lang w:val="en-US" w:eastAsia="zh-CN" w:bidi="ar"/>
              </w:rPr>
              <w:t>废气产排情况一览表</w:t>
            </w:r>
          </w:p>
          <w:tbl>
            <w:tblPr>
              <w:tblStyle w:val="27"/>
              <w:tblW w:w="499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543"/>
              <w:gridCol w:w="1585"/>
              <w:gridCol w:w="1301"/>
              <w:gridCol w:w="2062"/>
            </w:tblGrid>
            <w:tr w14:paraId="6823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0" w:type="pct"/>
                  <w:noWrap w:val="0"/>
                  <w:vAlign w:val="center"/>
                </w:tcPr>
                <w:p w14:paraId="602F1DC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排放</w:t>
                  </w:r>
                </w:p>
                <w:p w14:paraId="25073CE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方式</w:t>
                  </w:r>
                </w:p>
              </w:tc>
              <w:tc>
                <w:tcPr>
                  <w:tcW w:w="1507" w:type="pct"/>
                  <w:noWrap w:val="0"/>
                  <w:vAlign w:val="center"/>
                </w:tcPr>
                <w:p w14:paraId="4DF8608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污染源名称</w:t>
                  </w:r>
                </w:p>
              </w:tc>
              <w:tc>
                <w:tcPr>
                  <w:tcW w:w="2932" w:type="pct"/>
                  <w:gridSpan w:val="3"/>
                  <w:noWrap w:val="0"/>
                  <w:vAlign w:val="center"/>
                </w:tcPr>
                <w:p w14:paraId="22D6D986">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燃烧废气</w:t>
                  </w:r>
                </w:p>
              </w:tc>
            </w:tr>
            <w:tr w14:paraId="6AA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60" w:type="pct"/>
                  <w:vMerge w:val="restart"/>
                  <w:noWrap w:val="0"/>
                  <w:vAlign w:val="center"/>
                </w:tcPr>
                <w:p w14:paraId="1C10AC1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有组织废气</w:t>
                  </w:r>
                </w:p>
              </w:tc>
              <w:tc>
                <w:tcPr>
                  <w:tcW w:w="1507" w:type="pct"/>
                  <w:noWrap w:val="0"/>
                  <w:vAlign w:val="center"/>
                </w:tcPr>
                <w:p w14:paraId="2CF3A35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污染源量(万m³</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a)</w:t>
                  </w:r>
                </w:p>
              </w:tc>
              <w:tc>
                <w:tcPr>
                  <w:tcW w:w="2932" w:type="pct"/>
                  <w:gridSpan w:val="3"/>
                  <w:noWrap w:val="0"/>
                  <w:vAlign w:val="center"/>
                </w:tcPr>
                <w:p w14:paraId="0305AFE6">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796.68万m</w:t>
                  </w:r>
                  <w:r>
                    <w:rPr>
                      <w:rFonts w:hint="eastAsia" w:ascii="宋体" w:hAnsi="宋体" w:cs="宋体"/>
                      <w:color w:val="auto"/>
                      <w:sz w:val="21"/>
                      <w:szCs w:val="21"/>
                      <w:highlight w:val="none"/>
                      <w:vertAlign w:val="superscript"/>
                      <w:lang w:val="en-US" w:eastAsia="zh-CN"/>
                    </w:rPr>
                    <w:t>3</w:t>
                  </w:r>
                  <w:r>
                    <w:rPr>
                      <w:rFonts w:hint="eastAsia" w:ascii="宋体" w:hAnsi="宋体" w:cs="宋体"/>
                      <w:color w:val="auto"/>
                      <w:sz w:val="21"/>
                      <w:szCs w:val="21"/>
                      <w:highlight w:val="none"/>
                      <w:lang w:val="en-US" w:eastAsia="zh-CN"/>
                    </w:rPr>
                    <w:t>/a</w:t>
                  </w:r>
                </w:p>
              </w:tc>
            </w:tr>
            <w:tr w14:paraId="2973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60" w:type="pct"/>
                  <w:vMerge w:val="continue"/>
                  <w:noWrap w:val="0"/>
                  <w:vAlign w:val="center"/>
                </w:tcPr>
                <w:p w14:paraId="7BE23F7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5ADA02A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污染源量(m³/h)</w:t>
                  </w:r>
                </w:p>
              </w:tc>
              <w:tc>
                <w:tcPr>
                  <w:tcW w:w="2932" w:type="pct"/>
                  <w:gridSpan w:val="3"/>
                  <w:noWrap w:val="0"/>
                  <w:vAlign w:val="center"/>
                </w:tcPr>
                <w:p w14:paraId="3EB7368C">
                  <w:pPr>
                    <w:keepNext w:val="0"/>
                    <w:keepLines w:val="0"/>
                    <w:suppressLineNumbers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6639</w:t>
                  </w:r>
                </w:p>
              </w:tc>
            </w:tr>
            <w:tr w14:paraId="4A0E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0" w:type="pct"/>
                  <w:vMerge w:val="continue"/>
                  <w:noWrap w:val="0"/>
                  <w:vAlign w:val="center"/>
                </w:tcPr>
                <w:p w14:paraId="18EFB46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761ADDE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污染物种类</w:t>
                  </w:r>
                </w:p>
              </w:tc>
              <w:tc>
                <w:tcPr>
                  <w:tcW w:w="939" w:type="pct"/>
                  <w:noWrap w:val="0"/>
                  <w:vAlign w:val="center"/>
                </w:tcPr>
                <w:p w14:paraId="5AA5C6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二氧化硫</w:t>
                  </w:r>
                </w:p>
              </w:tc>
              <w:tc>
                <w:tcPr>
                  <w:tcW w:w="771" w:type="pct"/>
                  <w:noWrap w:val="0"/>
                  <w:vAlign w:val="center"/>
                </w:tcPr>
                <w:p w14:paraId="1BEE5B3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颗粒物</w:t>
                  </w:r>
                </w:p>
              </w:tc>
              <w:tc>
                <w:tcPr>
                  <w:tcW w:w="1222" w:type="pct"/>
                  <w:noWrap w:val="0"/>
                  <w:vAlign w:val="center"/>
                </w:tcPr>
                <w:p w14:paraId="0D3B325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氮氧化物</w:t>
                  </w:r>
                </w:p>
              </w:tc>
            </w:tr>
            <w:tr w14:paraId="2F4F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60" w:type="pct"/>
                  <w:vMerge w:val="continue"/>
                  <w:noWrap w:val="0"/>
                  <w:vAlign w:val="center"/>
                </w:tcPr>
                <w:p w14:paraId="5C83786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vMerge w:val="restart"/>
                  <w:noWrap w:val="0"/>
                  <w:vAlign w:val="center"/>
                </w:tcPr>
                <w:p w14:paraId="1987997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治理措施</w:t>
                  </w:r>
                </w:p>
              </w:tc>
              <w:tc>
                <w:tcPr>
                  <w:tcW w:w="2932" w:type="pct"/>
                  <w:gridSpan w:val="3"/>
                  <w:noWrap w:val="0"/>
                  <w:vAlign w:val="center"/>
                </w:tcPr>
                <w:p w14:paraId="33A9842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套“旋风除尘器+布袋除尘器”（TA001、TA002、TA003），综合除尘效率99%；</w:t>
                  </w:r>
                </w:p>
                <w:p w14:paraId="1AADF79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②1根35m排气筒（DA001）</w:t>
                  </w:r>
                </w:p>
              </w:tc>
            </w:tr>
            <w:tr w14:paraId="28C1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60" w:type="pct"/>
                  <w:vMerge w:val="continue"/>
                  <w:noWrap w:val="0"/>
                  <w:vAlign w:val="center"/>
                </w:tcPr>
                <w:p w14:paraId="36232A6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vMerge w:val="continue"/>
                  <w:noWrap w:val="0"/>
                  <w:vAlign w:val="center"/>
                </w:tcPr>
                <w:p w14:paraId="2776054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2932" w:type="pct"/>
                  <w:gridSpan w:val="3"/>
                  <w:noWrap w:val="0"/>
                  <w:vAlign w:val="center"/>
                </w:tcPr>
                <w:p w14:paraId="731D06F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lang w:val="en-US" w:eastAsia="zh-CN"/>
                    </w:rPr>
                    <w:t>每组</w:t>
                  </w:r>
                  <w:r>
                    <w:rPr>
                      <w:rFonts w:hint="eastAsia" w:ascii="宋体" w:hAnsi="宋体" w:eastAsia="宋体" w:cs="宋体"/>
                      <w:color w:val="auto"/>
                      <w:sz w:val="21"/>
                      <w:szCs w:val="21"/>
                      <w:lang w:val="en-US" w:eastAsia="zh-CN"/>
                    </w:rPr>
                    <w:t>风机量</w:t>
                  </w:r>
                  <w:r>
                    <w:rPr>
                      <w:rFonts w:hint="eastAsia" w:ascii="宋体" w:hAnsi="宋体" w:cs="宋体"/>
                      <w:color w:val="auto"/>
                      <w:sz w:val="21"/>
                      <w:szCs w:val="21"/>
                      <w:lang w:val="en-US" w:eastAsia="zh-CN"/>
                    </w:rPr>
                    <w:t>20580</w:t>
                  </w:r>
                  <w:r>
                    <w:rPr>
                      <w:rFonts w:hint="eastAsia" w:ascii="宋体" w:hAnsi="宋体" w:eastAsia="宋体" w:cs="宋体"/>
                      <w:color w:val="auto"/>
                      <w:sz w:val="21"/>
                      <w:szCs w:val="21"/>
                      <w:lang w:val="en-US" w:eastAsia="zh-CN"/>
                    </w:rPr>
                    <w:t>Nm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vertAlign w:val="baseline"/>
                      <w:lang w:val="en-US" w:eastAsia="zh-CN"/>
                    </w:rPr>
                    <w:t>/h</w:t>
                  </w:r>
                </w:p>
              </w:tc>
            </w:tr>
            <w:tr w14:paraId="4547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560" w:type="pct"/>
                  <w:vMerge w:val="continue"/>
                  <w:noWrap w:val="0"/>
                  <w:vAlign w:val="center"/>
                </w:tcPr>
                <w:p w14:paraId="1936326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24BBFE9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t/a</w:t>
                  </w:r>
                  <w:r>
                    <w:rPr>
                      <w:rFonts w:hint="eastAsia" w:ascii="宋体" w:hAnsi="宋体" w:eastAsia="宋体" w:cs="宋体"/>
                      <w:color w:val="auto"/>
                      <w:sz w:val="21"/>
                      <w:szCs w:val="21"/>
                      <w:lang w:eastAsia="zh-CN"/>
                    </w:rPr>
                    <w:t>）</w:t>
                  </w:r>
                </w:p>
              </w:tc>
              <w:tc>
                <w:tcPr>
                  <w:tcW w:w="939" w:type="pct"/>
                  <w:noWrap w:val="0"/>
                  <w:vAlign w:val="center"/>
                </w:tcPr>
                <w:p w14:paraId="590A8C78">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0.024</w:t>
                  </w:r>
                </w:p>
              </w:tc>
              <w:tc>
                <w:tcPr>
                  <w:tcW w:w="771" w:type="pct"/>
                  <w:noWrap w:val="0"/>
                  <w:vAlign w:val="center"/>
                </w:tcPr>
                <w:p w14:paraId="36B1A494">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0.0348</w:t>
                  </w:r>
                </w:p>
              </w:tc>
              <w:tc>
                <w:tcPr>
                  <w:tcW w:w="1222" w:type="pct"/>
                  <w:noWrap w:val="0"/>
                  <w:vAlign w:val="center"/>
                </w:tcPr>
                <w:p w14:paraId="15143614">
                  <w:pPr>
                    <w:keepNext w:val="0"/>
                    <w:keepLines w:val="0"/>
                    <w:suppressLineNumbers w:val="0"/>
                    <w:spacing w:before="0" w:beforeAutospacing="0" w:after="0" w:afterAutospacing="0" w:line="240" w:lineRule="auto"/>
                    <w:ind w:left="0" w:leftChars="0"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0.6936</w:t>
                  </w:r>
                </w:p>
              </w:tc>
            </w:tr>
            <w:tr w14:paraId="72F3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60" w:type="pct"/>
                  <w:vMerge w:val="continue"/>
                  <w:noWrap w:val="0"/>
                  <w:vAlign w:val="center"/>
                </w:tcPr>
                <w:p w14:paraId="0B8A155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2A9DDA89">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排放速率(kg/h)</w:t>
                  </w:r>
                </w:p>
              </w:tc>
              <w:tc>
                <w:tcPr>
                  <w:tcW w:w="939" w:type="pct"/>
                  <w:noWrap w:val="0"/>
                  <w:vAlign w:val="center"/>
                </w:tcPr>
                <w:p w14:paraId="7A586720">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0.020</w:t>
                  </w:r>
                </w:p>
              </w:tc>
              <w:tc>
                <w:tcPr>
                  <w:tcW w:w="771" w:type="pct"/>
                  <w:noWrap w:val="0"/>
                  <w:vAlign w:val="center"/>
                </w:tcPr>
                <w:p w14:paraId="52C47121">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0.029</w:t>
                  </w:r>
                </w:p>
              </w:tc>
              <w:tc>
                <w:tcPr>
                  <w:tcW w:w="1222" w:type="pct"/>
                  <w:noWrap w:val="0"/>
                  <w:vAlign w:val="center"/>
                </w:tcPr>
                <w:p w14:paraId="7B433702">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0.578</w:t>
                  </w:r>
                </w:p>
              </w:tc>
            </w:tr>
            <w:tr w14:paraId="375C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60" w:type="pct"/>
                  <w:vMerge w:val="continue"/>
                  <w:noWrap w:val="0"/>
                  <w:vAlign w:val="center"/>
                </w:tcPr>
                <w:p w14:paraId="4E92FBC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p>
              </w:tc>
              <w:tc>
                <w:tcPr>
                  <w:tcW w:w="1507" w:type="pct"/>
                  <w:noWrap w:val="0"/>
                  <w:vAlign w:val="center"/>
                </w:tcPr>
                <w:p w14:paraId="2557FBA6">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排放浓度(mg/Nm³)</w:t>
                  </w:r>
                </w:p>
              </w:tc>
              <w:tc>
                <w:tcPr>
                  <w:tcW w:w="939" w:type="pct"/>
                  <w:noWrap w:val="0"/>
                  <w:vAlign w:val="center"/>
                </w:tcPr>
                <w:p w14:paraId="359468F0">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771" w:type="pct"/>
                  <w:noWrap w:val="0"/>
                  <w:vAlign w:val="center"/>
                </w:tcPr>
                <w:p w14:paraId="010E56E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8.2</w:t>
                  </w:r>
                </w:p>
              </w:tc>
              <w:tc>
                <w:tcPr>
                  <w:tcW w:w="1222" w:type="pct"/>
                  <w:noWrap w:val="0"/>
                  <w:vAlign w:val="center"/>
                </w:tcPr>
                <w:p w14:paraId="31DA67F4">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170</w:t>
                  </w:r>
                </w:p>
              </w:tc>
            </w:tr>
          </w:tbl>
          <w:p w14:paraId="185A00C3">
            <w:pPr>
              <w:pStyle w:val="25"/>
              <w:spacing w:line="360" w:lineRule="auto"/>
              <w:ind w:left="0" w:leftChars="0" w:firstLine="0" w:firstLineChars="0"/>
              <w:rPr>
                <w:b/>
                <w:bCs/>
                <w:color w:val="auto"/>
                <w:spacing w:val="-10"/>
                <w:sz w:val="24"/>
              </w:rPr>
            </w:pPr>
            <w:r>
              <w:rPr>
                <w:rFonts w:hint="eastAsia"/>
                <w:b/>
                <w:bCs/>
                <w:color w:val="auto"/>
                <w:spacing w:val="-10"/>
                <w:sz w:val="24"/>
                <w:lang w:val="en-US" w:eastAsia="zh-CN"/>
              </w:rPr>
              <w:t>四</w:t>
            </w:r>
            <w:r>
              <w:rPr>
                <w:b/>
                <w:bCs/>
                <w:color w:val="auto"/>
                <w:spacing w:val="-10"/>
                <w:sz w:val="24"/>
              </w:rPr>
              <w:t>、大气环境影响分析</w:t>
            </w:r>
          </w:p>
          <w:p w14:paraId="7194A479">
            <w:pPr>
              <w:pStyle w:val="25"/>
              <w:spacing w:line="360" w:lineRule="auto"/>
              <w:ind w:left="0" w:leftChars="0" w:firstLine="0" w:firstLineChars="0"/>
              <w:rPr>
                <w:b/>
                <w:bCs/>
                <w:color w:val="auto"/>
                <w:spacing w:val="-10"/>
                <w:sz w:val="24"/>
              </w:rPr>
            </w:pPr>
            <w:r>
              <w:rPr>
                <w:b/>
                <w:bCs/>
                <w:color w:val="auto"/>
                <w:spacing w:val="-10"/>
                <w:sz w:val="24"/>
              </w:rPr>
              <w:t>1、废气达标情况分析</w:t>
            </w:r>
          </w:p>
          <w:p w14:paraId="70B4896E">
            <w:pPr>
              <w:spacing w:line="360" w:lineRule="auto"/>
              <w:ind w:firstLine="420"/>
              <w:jc w:val="center"/>
              <w:rPr>
                <w:b/>
                <w:color w:val="auto"/>
                <w:kern w:val="0"/>
                <w:sz w:val="24"/>
              </w:rPr>
            </w:pPr>
            <w:r>
              <w:rPr>
                <w:b/>
                <w:color w:val="auto"/>
                <w:kern w:val="0"/>
                <w:sz w:val="24"/>
              </w:rPr>
              <w:t>表4-</w:t>
            </w:r>
            <w:r>
              <w:rPr>
                <w:rFonts w:hint="eastAsia"/>
                <w:b/>
                <w:color w:val="auto"/>
                <w:kern w:val="0"/>
                <w:sz w:val="24"/>
                <w:lang w:val="en-US" w:eastAsia="zh-CN"/>
              </w:rPr>
              <w:t xml:space="preserve">7  </w:t>
            </w:r>
            <w:r>
              <w:rPr>
                <w:b/>
                <w:color w:val="auto"/>
                <w:kern w:val="0"/>
                <w:sz w:val="24"/>
              </w:rPr>
              <w:t>废气排放达标分析表</w:t>
            </w:r>
          </w:p>
          <w:tbl>
            <w:tblPr>
              <w:tblStyle w:val="26"/>
              <w:tblW w:w="8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8"/>
              <w:gridCol w:w="858"/>
              <w:gridCol w:w="3823"/>
              <w:gridCol w:w="998"/>
              <w:gridCol w:w="1077"/>
              <w:gridCol w:w="705"/>
            </w:tblGrid>
            <w:tr w14:paraId="4BA1E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78" w:type="dxa"/>
                  <w:shd w:val="clear" w:color="000000" w:fill="FFFFFF"/>
                  <w:noWrap w:val="0"/>
                  <w:vAlign w:val="center"/>
                </w:tcPr>
                <w:p w14:paraId="3B09DF70">
                  <w:pPr>
                    <w:widowControl/>
                    <w:jc w:val="center"/>
                    <w:rPr>
                      <w:b/>
                      <w:color w:val="auto"/>
                      <w:kern w:val="0"/>
                    </w:rPr>
                  </w:pPr>
                  <w:r>
                    <w:rPr>
                      <w:b/>
                      <w:color w:val="auto"/>
                      <w:kern w:val="0"/>
                    </w:rPr>
                    <w:t>污染源</w:t>
                  </w:r>
                </w:p>
              </w:tc>
              <w:tc>
                <w:tcPr>
                  <w:tcW w:w="858" w:type="dxa"/>
                  <w:shd w:val="clear" w:color="000000" w:fill="FFFFFF"/>
                  <w:noWrap w:val="0"/>
                  <w:vAlign w:val="center"/>
                </w:tcPr>
                <w:p w14:paraId="4D1567A3">
                  <w:pPr>
                    <w:widowControl/>
                    <w:jc w:val="center"/>
                    <w:rPr>
                      <w:b/>
                      <w:color w:val="auto"/>
                      <w:kern w:val="0"/>
                    </w:rPr>
                  </w:pPr>
                  <w:r>
                    <w:rPr>
                      <w:b/>
                      <w:color w:val="auto"/>
                      <w:kern w:val="0"/>
                    </w:rPr>
                    <w:t>污染物</w:t>
                  </w:r>
                </w:p>
              </w:tc>
              <w:tc>
                <w:tcPr>
                  <w:tcW w:w="3823" w:type="dxa"/>
                  <w:shd w:val="clear" w:color="000000" w:fill="FFFFFF"/>
                  <w:noWrap w:val="0"/>
                  <w:vAlign w:val="center"/>
                </w:tcPr>
                <w:p w14:paraId="641F92D5">
                  <w:pPr>
                    <w:jc w:val="center"/>
                    <w:rPr>
                      <w:b/>
                      <w:color w:val="auto"/>
                    </w:rPr>
                  </w:pPr>
                  <w:r>
                    <w:rPr>
                      <w:b/>
                      <w:bCs/>
                      <w:color w:val="auto"/>
                    </w:rPr>
                    <w:t>治理措施及治理效率</w:t>
                  </w:r>
                </w:p>
              </w:tc>
              <w:tc>
                <w:tcPr>
                  <w:tcW w:w="998" w:type="dxa"/>
                  <w:shd w:val="clear" w:color="000000" w:fill="FFFFFF"/>
                  <w:noWrap w:val="0"/>
                  <w:vAlign w:val="center"/>
                </w:tcPr>
                <w:p w14:paraId="024D209D">
                  <w:pPr>
                    <w:jc w:val="center"/>
                    <w:rPr>
                      <w:b/>
                      <w:bCs/>
                      <w:color w:val="auto"/>
                    </w:rPr>
                  </w:pPr>
                  <w:r>
                    <w:rPr>
                      <w:b/>
                      <w:color w:val="auto"/>
                    </w:rPr>
                    <w:t>排放浓度</w:t>
                  </w:r>
                  <w:r>
                    <w:rPr>
                      <w:rFonts w:eastAsia="TimesNewRomanPSMT"/>
                      <w:b/>
                      <w:color w:val="auto"/>
                    </w:rPr>
                    <w:t>mg/m</w:t>
                  </w:r>
                  <w:r>
                    <w:rPr>
                      <w:rFonts w:eastAsia="TimesNewRomanPSMT"/>
                      <w:b/>
                      <w:color w:val="auto"/>
                      <w:vertAlign w:val="superscript"/>
                    </w:rPr>
                    <w:t>3</w:t>
                  </w:r>
                </w:p>
              </w:tc>
              <w:tc>
                <w:tcPr>
                  <w:tcW w:w="1077" w:type="dxa"/>
                  <w:shd w:val="clear" w:color="000000" w:fill="FFFFFF"/>
                  <w:noWrap w:val="0"/>
                  <w:vAlign w:val="center"/>
                </w:tcPr>
                <w:p w14:paraId="43F912A8">
                  <w:pPr>
                    <w:jc w:val="center"/>
                    <w:rPr>
                      <w:b/>
                      <w:bCs/>
                      <w:color w:val="auto"/>
                    </w:rPr>
                  </w:pPr>
                  <w:r>
                    <w:rPr>
                      <w:b/>
                      <w:bCs/>
                      <w:color w:val="auto"/>
                    </w:rPr>
                    <w:t>标准限值</w:t>
                  </w:r>
                  <w:r>
                    <w:rPr>
                      <w:rFonts w:eastAsia="TimesNewRomanPSMT"/>
                      <w:b/>
                      <w:color w:val="auto"/>
                    </w:rPr>
                    <w:t>mg/m</w:t>
                  </w:r>
                  <w:r>
                    <w:rPr>
                      <w:rFonts w:eastAsia="TimesNewRomanPSMT"/>
                      <w:b/>
                      <w:color w:val="auto"/>
                      <w:vertAlign w:val="superscript"/>
                    </w:rPr>
                    <w:t>3</w:t>
                  </w:r>
                </w:p>
              </w:tc>
              <w:tc>
                <w:tcPr>
                  <w:tcW w:w="705" w:type="dxa"/>
                  <w:shd w:val="clear" w:color="000000" w:fill="FFFFFF"/>
                  <w:noWrap w:val="0"/>
                  <w:vAlign w:val="center"/>
                </w:tcPr>
                <w:p w14:paraId="419CDB05">
                  <w:pPr>
                    <w:jc w:val="center"/>
                    <w:rPr>
                      <w:b/>
                      <w:color w:val="auto"/>
                      <w:kern w:val="0"/>
                    </w:rPr>
                  </w:pPr>
                  <w:r>
                    <w:rPr>
                      <w:b/>
                      <w:bCs/>
                      <w:color w:val="auto"/>
                    </w:rPr>
                    <w:t>达标情况</w:t>
                  </w:r>
                </w:p>
              </w:tc>
            </w:tr>
            <w:tr w14:paraId="2C338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78" w:type="dxa"/>
                  <w:vMerge w:val="restart"/>
                  <w:shd w:val="clear" w:color="000000" w:fill="FFFFFF"/>
                  <w:noWrap w:val="0"/>
                  <w:vAlign w:val="center"/>
                </w:tcPr>
                <w:p w14:paraId="44D8F380">
                  <w:pPr>
                    <w:widowControl/>
                    <w:jc w:val="center"/>
                    <w:rPr>
                      <w:bCs/>
                      <w:color w:val="auto"/>
                      <w:kern w:val="0"/>
                    </w:rPr>
                  </w:pPr>
                  <w:r>
                    <w:rPr>
                      <w:rFonts w:hint="default"/>
                      <w:bCs/>
                      <w:color w:val="auto"/>
                      <w:kern w:val="0"/>
                      <w:lang w:val="en-US" w:eastAsia="zh-CN"/>
                    </w:rPr>
                    <w:t>蒸汽发生器废气</w:t>
                  </w:r>
                </w:p>
              </w:tc>
              <w:tc>
                <w:tcPr>
                  <w:tcW w:w="858" w:type="dxa"/>
                  <w:shd w:val="clear" w:color="000000" w:fill="FFFFFF"/>
                  <w:noWrap w:val="0"/>
                  <w:vAlign w:val="center"/>
                </w:tcPr>
                <w:p w14:paraId="7433BB73">
                  <w:pPr>
                    <w:widowControl/>
                    <w:jc w:val="center"/>
                    <w:rPr>
                      <w:bCs/>
                      <w:color w:val="auto"/>
                      <w:kern w:val="0"/>
                    </w:rPr>
                  </w:pPr>
                  <w:r>
                    <w:rPr>
                      <w:rFonts w:hint="eastAsia"/>
                      <w:bCs/>
                      <w:color w:val="auto"/>
                      <w:kern w:val="0"/>
                      <w:lang w:val="en-US" w:eastAsia="zh-CN"/>
                    </w:rPr>
                    <w:t>颗粒物</w:t>
                  </w:r>
                </w:p>
              </w:tc>
              <w:tc>
                <w:tcPr>
                  <w:tcW w:w="3823" w:type="dxa"/>
                  <w:shd w:val="clear" w:color="000000" w:fill="FFFFFF"/>
                  <w:noWrap w:val="0"/>
                  <w:vAlign w:val="center"/>
                </w:tcPr>
                <w:p w14:paraId="704661F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套“旋风除尘器+布袋除尘器”（TA001、TA002、TA003），综合除尘效率99%；</w:t>
                  </w:r>
                </w:p>
                <w:p w14:paraId="22CCFF3B">
                  <w:pPr>
                    <w:jc w:val="center"/>
                    <w:rPr>
                      <w:color w:val="auto"/>
                    </w:rPr>
                  </w:pPr>
                  <w:r>
                    <w:rPr>
                      <w:rFonts w:hint="eastAsia" w:ascii="宋体" w:hAnsi="宋体" w:eastAsia="宋体" w:cs="宋体"/>
                      <w:color w:val="auto"/>
                      <w:sz w:val="21"/>
                      <w:szCs w:val="21"/>
                      <w:lang w:val="en-US" w:eastAsia="zh-CN"/>
                    </w:rPr>
                    <w:t>②1根35m排气筒（DA001）</w:t>
                  </w:r>
                </w:p>
              </w:tc>
              <w:tc>
                <w:tcPr>
                  <w:tcW w:w="998" w:type="dxa"/>
                  <w:shd w:val="clear" w:color="000000" w:fill="FFFFFF"/>
                  <w:noWrap w:val="0"/>
                  <w:vAlign w:val="center"/>
                </w:tcPr>
                <w:p w14:paraId="2168B5FC">
                  <w:pPr>
                    <w:jc w:val="center"/>
                    <w:rPr>
                      <w:rFonts w:hint="default" w:eastAsia="宋体"/>
                      <w:color w:val="auto"/>
                      <w:lang w:val="en-US" w:eastAsia="zh-CN"/>
                    </w:rPr>
                  </w:pPr>
                  <w:r>
                    <w:rPr>
                      <w:rFonts w:hint="eastAsia"/>
                      <w:color w:val="auto"/>
                      <w:lang w:val="en-US" w:eastAsia="zh-CN"/>
                    </w:rPr>
                    <w:t>8.2</w:t>
                  </w:r>
                </w:p>
              </w:tc>
              <w:tc>
                <w:tcPr>
                  <w:tcW w:w="1077" w:type="dxa"/>
                  <w:shd w:val="clear" w:color="000000" w:fill="FFFFFF"/>
                  <w:noWrap w:val="0"/>
                  <w:vAlign w:val="center"/>
                </w:tcPr>
                <w:p w14:paraId="06FF4993">
                  <w:pPr>
                    <w:jc w:val="center"/>
                    <w:rPr>
                      <w:rFonts w:hint="default" w:eastAsia="宋体"/>
                      <w:color w:val="auto"/>
                      <w:lang w:val="en-US" w:eastAsia="zh-CN"/>
                    </w:rPr>
                  </w:pPr>
                  <w:r>
                    <w:rPr>
                      <w:rFonts w:hint="eastAsia"/>
                      <w:color w:val="auto"/>
                      <w:lang w:val="en-US" w:eastAsia="zh-CN"/>
                    </w:rPr>
                    <w:t>50</w:t>
                  </w:r>
                </w:p>
              </w:tc>
              <w:tc>
                <w:tcPr>
                  <w:tcW w:w="705" w:type="dxa"/>
                  <w:shd w:val="clear" w:color="000000" w:fill="FFFFFF"/>
                  <w:noWrap w:val="0"/>
                  <w:vAlign w:val="center"/>
                </w:tcPr>
                <w:p w14:paraId="7FE656A4">
                  <w:pPr>
                    <w:jc w:val="center"/>
                    <w:rPr>
                      <w:b/>
                      <w:bCs/>
                      <w:color w:val="auto"/>
                      <w:kern w:val="0"/>
                    </w:rPr>
                  </w:pPr>
                  <w:r>
                    <w:rPr>
                      <w:b/>
                      <w:bCs/>
                      <w:color w:val="auto"/>
                    </w:rPr>
                    <w:t>达标</w:t>
                  </w:r>
                </w:p>
              </w:tc>
            </w:tr>
            <w:tr w14:paraId="1970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78" w:type="dxa"/>
                  <w:vMerge w:val="continue"/>
                  <w:shd w:val="clear" w:color="000000" w:fill="FFFFFF"/>
                  <w:noWrap w:val="0"/>
                  <w:vAlign w:val="center"/>
                </w:tcPr>
                <w:p w14:paraId="5DF8D2C8">
                  <w:pPr>
                    <w:widowControl/>
                    <w:jc w:val="center"/>
                    <w:rPr>
                      <w:rFonts w:hint="default"/>
                      <w:bCs/>
                      <w:color w:val="auto"/>
                      <w:kern w:val="0"/>
                      <w:lang w:val="en-US" w:eastAsia="zh-CN"/>
                    </w:rPr>
                  </w:pPr>
                </w:p>
              </w:tc>
              <w:tc>
                <w:tcPr>
                  <w:tcW w:w="858" w:type="dxa"/>
                  <w:shd w:val="clear" w:color="000000" w:fill="FFFFFF"/>
                  <w:noWrap w:val="0"/>
                  <w:vAlign w:val="center"/>
                </w:tcPr>
                <w:p w14:paraId="7B52A0A3">
                  <w:pPr>
                    <w:widowControl/>
                    <w:jc w:val="center"/>
                    <w:rPr>
                      <w:rFonts w:hint="eastAsia"/>
                      <w:bCs/>
                      <w:color w:val="auto"/>
                      <w:kern w:val="0"/>
                      <w:lang w:val="en-US" w:eastAsia="zh-CN"/>
                    </w:rPr>
                  </w:pPr>
                  <w:r>
                    <w:rPr>
                      <w:rFonts w:hint="eastAsia" w:ascii="宋体" w:hAnsi="宋体" w:eastAsia="宋体" w:cs="宋体"/>
                      <w:color w:val="auto"/>
                      <w:sz w:val="21"/>
                      <w:szCs w:val="21"/>
                      <w:highlight w:val="none"/>
                    </w:rPr>
                    <w:t>二氧化硫</w:t>
                  </w:r>
                </w:p>
              </w:tc>
              <w:tc>
                <w:tcPr>
                  <w:tcW w:w="3823" w:type="dxa"/>
                  <w:shd w:val="clear" w:color="000000" w:fill="FFFFFF"/>
                  <w:noWrap w:val="0"/>
                  <w:vAlign w:val="center"/>
                </w:tcPr>
                <w:p w14:paraId="334A0EE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98" w:type="dxa"/>
                  <w:shd w:val="clear" w:color="000000" w:fill="FFFFFF"/>
                  <w:noWrap w:val="0"/>
                  <w:vAlign w:val="center"/>
                </w:tcPr>
                <w:p w14:paraId="24BC2412">
                  <w:pPr>
                    <w:jc w:val="center"/>
                    <w:rPr>
                      <w:rFonts w:hint="default"/>
                      <w:color w:val="auto"/>
                      <w:lang w:val="en-US" w:eastAsia="zh-CN"/>
                    </w:rPr>
                  </w:pPr>
                  <w:r>
                    <w:rPr>
                      <w:rFonts w:hint="eastAsia"/>
                      <w:color w:val="auto"/>
                      <w:lang w:val="en-US" w:eastAsia="zh-CN"/>
                    </w:rPr>
                    <w:t>6</w:t>
                  </w:r>
                </w:p>
              </w:tc>
              <w:tc>
                <w:tcPr>
                  <w:tcW w:w="1077" w:type="dxa"/>
                  <w:shd w:val="clear" w:color="000000" w:fill="FFFFFF"/>
                  <w:noWrap w:val="0"/>
                  <w:vAlign w:val="center"/>
                </w:tcPr>
                <w:p w14:paraId="4A702009">
                  <w:pPr>
                    <w:jc w:val="center"/>
                    <w:rPr>
                      <w:rFonts w:hint="default"/>
                      <w:color w:val="auto"/>
                      <w:lang w:val="en-US" w:eastAsia="zh-CN"/>
                    </w:rPr>
                  </w:pPr>
                  <w:r>
                    <w:rPr>
                      <w:rFonts w:hint="eastAsia"/>
                      <w:color w:val="auto"/>
                      <w:lang w:val="en-US" w:eastAsia="zh-CN"/>
                    </w:rPr>
                    <w:t>300</w:t>
                  </w:r>
                </w:p>
              </w:tc>
              <w:tc>
                <w:tcPr>
                  <w:tcW w:w="705" w:type="dxa"/>
                  <w:shd w:val="clear" w:color="000000" w:fill="FFFFFF"/>
                  <w:noWrap w:val="0"/>
                  <w:vAlign w:val="center"/>
                </w:tcPr>
                <w:p w14:paraId="6D30AB1D">
                  <w:pPr>
                    <w:jc w:val="center"/>
                    <w:rPr>
                      <w:b/>
                      <w:bCs/>
                      <w:color w:val="auto"/>
                    </w:rPr>
                  </w:pPr>
                  <w:r>
                    <w:rPr>
                      <w:b/>
                      <w:bCs/>
                      <w:color w:val="auto"/>
                    </w:rPr>
                    <w:t>达标</w:t>
                  </w:r>
                </w:p>
              </w:tc>
            </w:tr>
            <w:tr w14:paraId="3029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78" w:type="dxa"/>
                  <w:vMerge w:val="continue"/>
                  <w:shd w:val="clear" w:color="000000" w:fill="FFFFFF"/>
                  <w:noWrap w:val="0"/>
                  <w:vAlign w:val="center"/>
                </w:tcPr>
                <w:p w14:paraId="4D00AF1D">
                  <w:pPr>
                    <w:widowControl/>
                    <w:jc w:val="center"/>
                    <w:rPr>
                      <w:rFonts w:hint="default"/>
                      <w:bCs/>
                      <w:color w:val="auto"/>
                      <w:kern w:val="0"/>
                      <w:lang w:val="en-US" w:eastAsia="zh-CN"/>
                    </w:rPr>
                  </w:pPr>
                </w:p>
              </w:tc>
              <w:tc>
                <w:tcPr>
                  <w:tcW w:w="858" w:type="dxa"/>
                  <w:shd w:val="clear" w:color="000000" w:fill="FFFFFF"/>
                  <w:noWrap w:val="0"/>
                  <w:vAlign w:val="center"/>
                </w:tcPr>
                <w:p w14:paraId="71C9E402">
                  <w:pPr>
                    <w:widowControl/>
                    <w:jc w:val="center"/>
                    <w:rPr>
                      <w:rFonts w:hint="eastAsia"/>
                      <w:bCs/>
                      <w:color w:val="auto"/>
                      <w:kern w:val="0"/>
                      <w:lang w:val="en-US" w:eastAsia="zh-CN"/>
                    </w:rPr>
                  </w:pPr>
                  <w:r>
                    <w:rPr>
                      <w:rFonts w:hint="eastAsia" w:ascii="宋体" w:hAnsi="宋体" w:eastAsia="宋体" w:cs="宋体"/>
                      <w:color w:val="auto"/>
                      <w:sz w:val="21"/>
                      <w:szCs w:val="21"/>
                      <w:highlight w:val="none"/>
                      <w:lang w:eastAsia="zh-CN"/>
                    </w:rPr>
                    <w:t>氮氧化物</w:t>
                  </w:r>
                </w:p>
              </w:tc>
              <w:tc>
                <w:tcPr>
                  <w:tcW w:w="3823" w:type="dxa"/>
                  <w:shd w:val="clear" w:color="000000" w:fill="FFFFFF"/>
                  <w:noWrap w:val="0"/>
                  <w:vAlign w:val="center"/>
                </w:tcPr>
                <w:p w14:paraId="3EBA3D8F">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998" w:type="dxa"/>
                  <w:shd w:val="clear" w:color="000000" w:fill="FFFFFF"/>
                  <w:noWrap w:val="0"/>
                  <w:vAlign w:val="center"/>
                </w:tcPr>
                <w:p w14:paraId="3417B1A7">
                  <w:pPr>
                    <w:jc w:val="center"/>
                    <w:rPr>
                      <w:rFonts w:hint="default"/>
                      <w:color w:val="auto"/>
                      <w:lang w:val="en-US" w:eastAsia="zh-CN"/>
                    </w:rPr>
                  </w:pPr>
                  <w:r>
                    <w:rPr>
                      <w:rFonts w:hint="eastAsia"/>
                      <w:color w:val="auto"/>
                      <w:lang w:val="en-US" w:eastAsia="zh-CN"/>
                    </w:rPr>
                    <w:t>170</w:t>
                  </w:r>
                </w:p>
              </w:tc>
              <w:tc>
                <w:tcPr>
                  <w:tcW w:w="1077" w:type="dxa"/>
                  <w:shd w:val="clear" w:color="000000" w:fill="FFFFFF"/>
                  <w:noWrap w:val="0"/>
                  <w:vAlign w:val="center"/>
                </w:tcPr>
                <w:p w14:paraId="3019D6DB">
                  <w:pPr>
                    <w:jc w:val="center"/>
                    <w:rPr>
                      <w:rFonts w:hint="default"/>
                      <w:color w:val="auto"/>
                      <w:lang w:val="en-US" w:eastAsia="zh-CN"/>
                    </w:rPr>
                  </w:pPr>
                  <w:r>
                    <w:rPr>
                      <w:rFonts w:hint="eastAsia"/>
                      <w:color w:val="auto"/>
                      <w:lang w:val="en-US" w:eastAsia="zh-CN"/>
                    </w:rPr>
                    <w:t>300</w:t>
                  </w:r>
                </w:p>
              </w:tc>
              <w:tc>
                <w:tcPr>
                  <w:tcW w:w="705" w:type="dxa"/>
                  <w:shd w:val="clear" w:color="000000" w:fill="FFFFFF"/>
                  <w:noWrap w:val="0"/>
                  <w:vAlign w:val="center"/>
                </w:tcPr>
                <w:p w14:paraId="5E188900">
                  <w:pPr>
                    <w:jc w:val="center"/>
                    <w:rPr>
                      <w:b/>
                      <w:bCs/>
                      <w:color w:val="auto"/>
                    </w:rPr>
                  </w:pPr>
                  <w:r>
                    <w:rPr>
                      <w:b/>
                      <w:bCs/>
                      <w:color w:val="auto"/>
                    </w:rPr>
                    <w:t>达标</w:t>
                  </w:r>
                </w:p>
              </w:tc>
            </w:tr>
          </w:tbl>
          <w:p w14:paraId="02910D66">
            <w:pPr>
              <w:adjustRightInd w:val="0"/>
              <w:snapToGrid w:val="0"/>
              <w:spacing w:line="360" w:lineRule="auto"/>
              <w:ind w:firstLine="440" w:firstLineChars="200"/>
              <w:jc w:val="left"/>
              <w:rPr>
                <w:color w:val="auto"/>
                <w:sz w:val="24"/>
              </w:rPr>
            </w:pPr>
            <w:r>
              <w:rPr>
                <w:rFonts w:hint="eastAsia"/>
                <w:color w:val="auto"/>
                <w:spacing w:val="-10"/>
                <w:sz w:val="24"/>
                <w:lang w:val="en-US" w:eastAsia="zh-CN"/>
              </w:rPr>
              <w:t>综上</w:t>
            </w:r>
            <w:r>
              <w:rPr>
                <w:color w:val="auto"/>
                <w:spacing w:val="-10"/>
                <w:sz w:val="24"/>
              </w:rPr>
              <w:t>分析可知，</w:t>
            </w:r>
            <w:r>
              <w:rPr>
                <w:rFonts w:hint="eastAsia"/>
                <w:color w:val="auto"/>
                <w:spacing w:val="-10"/>
                <w:sz w:val="24"/>
                <w:lang w:val="en-US" w:eastAsia="zh-CN"/>
              </w:rPr>
              <w:t>蒸汽发生器废气颗粒物最大</w:t>
            </w:r>
            <w:r>
              <w:rPr>
                <w:rFonts w:hint="eastAsia"/>
                <w:color w:val="auto"/>
                <w:kern w:val="24"/>
                <w:sz w:val="24"/>
                <w:highlight w:val="none"/>
              </w:rPr>
              <w:t>排放浓度为</w:t>
            </w:r>
            <w:r>
              <w:rPr>
                <w:rFonts w:hint="eastAsia"/>
                <w:color w:val="auto"/>
                <w:kern w:val="24"/>
                <w:sz w:val="24"/>
                <w:highlight w:val="none"/>
                <w:lang w:val="en-US" w:eastAsia="zh-CN"/>
              </w:rPr>
              <w:t>8.2</w:t>
            </w:r>
            <w:r>
              <w:rPr>
                <w:rFonts w:hint="eastAsia"/>
                <w:color w:val="auto"/>
                <w:kern w:val="24"/>
                <w:sz w:val="24"/>
                <w:highlight w:val="none"/>
              </w:rPr>
              <w:t>mg/m</w:t>
            </w:r>
            <w:r>
              <w:rPr>
                <w:rFonts w:hint="eastAsia"/>
                <w:color w:val="auto"/>
                <w:kern w:val="24"/>
                <w:sz w:val="24"/>
                <w:highlight w:val="none"/>
                <w:vertAlign w:val="superscript"/>
              </w:rPr>
              <w:t>3</w:t>
            </w:r>
            <w:r>
              <w:rPr>
                <w:rFonts w:hint="eastAsia"/>
                <w:color w:val="auto"/>
                <w:kern w:val="24"/>
                <w:sz w:val="24"/>
                <w:highlight w:val="none"/>
                <w:vertAlign w:val="baseline"/>
                <w:lang w:eastAsia="zh-CN"/>
              </w:rPr>
              <w:t>，</w:t>
            </w:r>
            <w:r>
              <w:rPr>
                <w:rFonts w:hint="eastAsia" w:ascii="Times New Roman" w:hAnsi="Times New Roman" w:eastAsia="宋体" w:cs="Times New Roman"/>
                <w:color w:val="auto"/>
                <w:kern w:val="24"/>
                <w:sz w:val="24"/>
                <w:highlight w:val="none"/>
              </w:rPr>
              <w:t>二氧化硫</w:t>
            </w:r>
            <w:r>
              <w:rPr>
                <w:rFonts w:hint="eastAsia" w:cs="Times New Roman"/>
                <w:color w:val="auto"/>
                <w:kern w:val="24"/>
                <w:sz w:val="24"/>
                <w:highlight w:val="none"/>
                <w:lang w:val="en-US" w:eastAsia="zh-CN"/>
              </w:rPr>
              <w:t>最大</w:t>
            </w:r>
            <w:r>
              <w:rPr>
                <w:rFonts w:hint="eastAsia" w:ascii="Times New Roman" w:hAnsi="Times New Roman" w:eastAsia="宋体" w:cs="Times New Roman"/>
                <w:color w:val="auto"/>
                <w:kern w:val="24"/>
                <w:sz w:val="24"/>
                <w:highlight w:val="none"/>
                <w:lang w:val="en-US" w:eastAsia="zh-CN"/>
              </w:rPr>
              <w:t>排放浓度</w:t>
            </w:r>
            <w:r>
              <w:rPr>
                <w:rFonts w:hint="eastAsia" w:cs="Times New Roman"/>
                <w:color w:val="auto"/>
                <w:kern w:val="24"/>
                <w:sz w:val="24"/>
                <w:highlight w:val="none"/>
                <w:lang w:val="en-US" w:eastAsia="zh-CN"/>
              </w:rPr>
              <w:t>6</w:t>
            </w:r>
            <w:r>
              <w:rPr>
                <w:rFonts w:hint="eastAsia"/>
                <w:color w:val="auto"/>
                <w:kern w:val="24"/>
                <w:sz w:val="24"/>
                <w:highlight w:val="none"/>
              </w:rPr>
              <w:t>mg/m</w:t>
            </w:r>
            <w:r>
              <w:rPr>
                <w:rFonts w:hint="eastAsia"/>
                <w:color w:val="auto"/>
                <w:kern w:val="24"/>
                <w:sz w:val="24"/>
                <w:highlight w:val="none"/>
                <w:vertAlign w:val="superscript"/>
              </w:rPr>
              <w:t>3</w:t>
            </w:r>
            <w:r>
              <w:rPr>
                <w:rFonts w:hint="eastAsia"/>
                <w:color w:val="auto"/>
                <w:kern w:val="24"/>
                <w:sz w:val="24"/>
                <w:highlight w:val="none"/>
                <w:vertAlign w:val="baseline"/>
                <w:lang w:eastAsia="zh-CN"/>
              </w:rPr>
              <w:t>，氮氧化物</w:t>
            </w:r>
            <w:r>
              <w:rPr>
                <w:rFonts w:hint="eastAsia"/>
                <w:color w:val="auto"/>
                <w:kern w:val="24"/>
                <w:sz w:val="24"/>
                <w:highlight w:val="none"/>
                <w:vertAlign w:val="baseline"/>
                <w:lang w:val="en-US" w:eastAsia="zh-CN"/>
              </w:rPr>
              <w:t>最大排放浓度170mg/m</w:t>
            </w:r>
            <w:r>
              <w:rPr>
                <w:rFonts w:hint="eastAsia"/>
                <w:color w:val="auto"/>
                <w:kern w:val="24"/>
                <w:sz w:val="24"/>
                <w:highlight w:val="none"/>
                <w:vertAlign w:val="superscript"/>
                <w:lang w:val="en-US" w:eastAsia="zh-CN"/>
              </w:rPr>
              <w:t>3</w:t>
            </w:r>
            <w:r>
              <w:rPr>
                <w:rFonts w:hint="eastAsia"/>
                <w:color w:val="auto"/>
                <w:kern w:val="24"/>
                <w:sz w:val="24"/>
                <w:highlight w:val="none"/>
              </w:rPr>
              <w:t>，能够满足《</w:t>
            </w:r>
            <w:r>
              <w:rPr>
                <w:rFonts w:hint="eastAsia"/>
                <w:color w:val="auto"/>
                <w:kern w:val="24"/>
                <w:sz w:val="24"/>
                <w:highlight w:val="none"/>
                <w:lang w:val="en-US" w:eastAsia="zh-CN"/>
              </w:rPr>
              <w:t>锅炉</w:t>
            </w:r>
            <w:r>
              <w:rPr>
                <w:rFonts w:hint="eastAsia"/>
                <w:color w:val="auto"/>
                <w:kern w:val="24"/>
                <w:sz w:val="24"/>
                <w:highlight w:val="none"/>
              </w:rPr>
              <w:t>大气污染物排放标准》（GB13271-2014）中新建燃煤</w:t>
            </w:r>
            <w:r>
              <w:rPr>
                <w:rFonts w:hint="eastAsia"/>
                <w:color w:val="auto"/>
                <w:kern w:val="24"/>
                <w:sz w:val="24"/>
                <w:highlight w:val="none"/>
                <w:lang w:val="en-US" w:eastAsia="zh-CN"/>
              </w:rPr>
              <w:t>锅炉</w:t>
            </w:r>
            <w:r>
              <w:rPr>
                <w:rFonts w:hint="eastAsia"/>
                <w:color w:val="auto"/>
                <w:kern w:val="24"/>
                <w:sz w:val="24"/>
                <w:highlight w:val="none"/>
              </w:rPr>
              <w:t>大气污染物排放限值</w:t>
            </w:r>
            <w:r>
              <w:rPr>
                <w:color w:val="auto"/>
                <w:spacing w:val="-10"/>
                <w:sz w:val="24"/>
              </w:rPr>
              <w:t>。</w:t>
            </w:r>
            <w:r>
              <w:rPr>
                <w:rFonts w:hint="eastAsia"/>
                <w:color w:val="auto"/>
                <w:spacing w:val="-10"/>
                <w:sz w:val="24"/>
                <w:lang w:val="en-US" w:eastAsia="zh-CN"/>
              </w:rPr>
              <w:t>项目产生的有组织废气</w:t>
            </w:r>
            <w:r>
              <w:rPr>
                <w:color w:val="auto"/>
                <w:spacing w:val="-10"/>
                <w:sz w:val="24"/>
              </w:rPr>
              <w:t>对周围环境影响较小</w:t>
            </w:r>
            <w:r>
              <w:rPr>
                <w:color w:val="auto"/>
                <w:sz w:val="24"/>
              </w:rPr>
              <w:t>。</w:t>
            </w:r>
          </w:p>
          <w:p w14:paraId="66A54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w:t>
            </w:r>
            <w:r>
              <w:rPr>
                <w:rFonts w:hint="eastAsia" w:ascii="宋体" w:hAnsi="宋体" w:eastAsia="宋体" w:cs="宋体"/>
                <w:b/>
                <w:bCs/>
                <w:color w:val="auto"/>
                <w:sz w:val="24"/>
                <w:szCs w:val="24"/>
              </w:rPr>
              <w:t>废气污染防治措施</w:t>
            </w:r>
            <w:r>
              <w:rPr>
                <w:rFonts w:hint="eastAsia" w:ascii="宋体" w:hAnsi="宋体" w:eastAsia="宋体" w:cs="宋体"/>
                <w:b/>
                <w:bCs/>
                <w:color w:val="auto"/>
                <w:sz w:val="24"/>
                <w:szCs w:val="24"/>
                <w:lang w:eastAsia="zh-CN"/>
              </w:rPr>
              <w:t>可行性</w:t>
            </w:r>
            <w:r>
              <w:rPr>
                <w:rFonts w:hint="eastAsia" w:ascii="宋体" w:hAnsi="宋体" w:eastAsia="宋体" w:cs="宋体"/>
                <w:b/>
                <w:bCs/>
                <w:color w:val="auto"/>
                <w:sz w:val="24"/>
                <w:szCs w:val="24"/>
              </w:rPr>
              <w:t>分析</w:t>
            </w:r>
          </w:p>
          <w:p w14:paraId="787F9591">
            <w:pPr>
              <w:keepNext w:val="0"/>
              <w:keepLines w:val="0"/>
              <w:suppressLineNumbers w:val="0"/>
              <w:spacing w:before="0" w:beforeAutospacing="0" w:after="0" w:afterAutospacing="0" w:line="360" w:lineRule="auto"/>
              <w:ind w:left="0" w:right="0" w:firstLine="480"/>
              <w:rPr>
                <w:rFonts w:hint="eastAsia" w:ascii="宋体" w:hAnsi="宋体" w:eastAsia="宋体" w:cs="宋体"/>
                <w:b/>
                <w:color w:val="auto"/>
                <w:kern w:val="0"/>
                <w:sz w:val="24"/>
                <w:szCs w:val="24"/>
                <w:lang w:eastAsia="zh-CN"/>
              </w:rPr>
            </w:pPr>
            <w:r>
              <w:rPr>
                <w:rFonts w:hint="eastAsia" w:ascii="宋体" w:hAnsi="宋体" w:eastAsia="宋体" w:cs="宋体"/>
                <w:bCs/>
                <w:color w:val="auto"/>
                <w:sz w:val="24"/>
                <w:szCs w:val="24"/>
                <w:highlight w:val="none"/>
                <w:lang w:val="en-US" w:eastAsia="zh-CN"/>
              </w:rPr>
              <w:t>根据《排污许可证申请与核发技术规范 锅炉》（HJ953-2018）“6.2.1可行技术表7”中推荐</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锅炉烟气污染防治</w:t>
            </w:r>
            <w:r>
              <w:rPr>
                <w:rFonts w:hint="eastAsia" w:ascii="宋体" w:hAnsi="宋体" w:eastAsia="宋体" w:cs="宋体"/>
                <w:bCs/>
                <w:color w:val="auto"/>
                <w:sz w:val="24"/>
                <w:szCs w:val="24"/>
                <w:highlight w:val="none"/>
              </w:rPr>
              <w:t>可行技术”</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详见</w:t>
            </w:r>
            <w:r>
              <w:rPr>
                <w:rFonts w:hint="eastAsia" w:ascii="宋体" w:hAnsi="宋体" w:eastAsia="宋体" w:cs="宋体"/>
                <w:bCs/>
                <w:color w:val="auto"/>
                <w:sz w:val="24"/>
                <w:szCs w:val="24"/>
                <w:highlight w:val="none"/>
                <w:lang w:eastAsia="zh-CN"/>
              </w:rPr>
              <w:t>下表</w:t>
            </w:r>
            <w:r>
              <w:rPr>
                <w:rFonts w:hint="eastAsia" w:ascii="宋体" w:hAnsi="宋体" w:eastAsia="宋体" w:cs="宋体"/>
                <w:bCs/>
                <w:color w:val="auto"/>
                <w:sz w:val="24"/>
                <w:szCs w:val="24"/>
                <w:highlight w:val="none"/>
              </w:rPr>
              <w:t>。</w:t>
            </w:r>
          </w:p>
          <w:p w14:paraId="26482417">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
                <w:color w:val="auto"/>
                <w:kern w:val="0"/>
                <w:sz w:val="24"/>
                <w:szCs w:val="24"/>
                <w:lang w:eastAsia="zh-CN"/>
              </w:rPr>
              <w:t>表</w:t>
            </w:r>
            <w:r>
              <w:rPr>
                <w:rFonts w:hint="eastAsia" w:ascii="宋体" w:hAnsi="宋体" w:eastAsia="宋体" w:cs="宋体"/>
                <w:b/>
                <w:color w:val="auto"/>
                <w:kern w:val="0"/>
                <w:sz w:val="24"/>
                <w:szCs w:val="24"/>
                <w:lang w:val="en-US" w:eastAsia="zh-CN"/>
              </w:rPr>
              <w:t>4</w:t>
            </w:r>
            <w:r>
              <w:rPr>
                <w:rFonts w:hint="eastAsia" w:ascii="宋体" w:hAnsi="宋体" w:cs="宋体"/>
                <w:b/>
                <w:color w:val="auto"/>
                <w:kern w:val="0"/>
                <w:sz w:val="24"/>
                <w:szCs w:val="24"/>
                <w:lang w:val="en-US" w:eastAsia="zh-CN"/>
              </w:rPr>
              <w:t>-8</w:t>
            </w:r>
            <w:r>
              <w:rPr>
                <w:rFonts w:hint="eastAsia" w:ascii="宋体" w:hAnsi="宋体" w:eastAsia="宋体" w:cs="宋体"/>
                <w:b/>
                <w:color w:val="auto"/>
                <w:kern w:val="0"/>
                <w:sz w:val="24"/>
                <w:szCs w:val="24"/>
                <w:lang w:val="en-US" w:eastAsia="zh-CN"/>
              </w:rPr>
              <w:t xml:space="preserve"> </w:t>
            </w:r>
            <w:r>
              <w:rPr>
                <w:rFonts w:hint="eastAsia" w:ascii="宋体" w:hAnsi="宋体" w:cs="宋体"/>
                <w:b/>
                <w:color w:val="auto"/>
                <w:kern w:val="0"/>
                <w:sz w:val="24"/>
                <w:szCs w:val="24"/>
                <w:lang w:val="en-US" w:eastAsia="zh-CN"/>
              </w:rPr>
              <w:t xml:space="preserve"> </w:t>
            </w:r>
            <w:r>
              <w:rPr>
                <w:rFonts w:hint="eastAsia" w:ascii="宋体" w:hAnsi="宋体" w:eastAsia="宋体" w:cs="宋体"/>
                <w:b/>
                <w:color w:val="auto"/>
                <w:kern w:val="0"/>
                <w:sz w:val="24"/>
                <w:szCs w:val="24"/>
                <w:lang w:eastAsia="zh-CN"/>
              </w:rPr>
              <w:t>锅炉烟气污染防治可行技术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3384"/>
              <w:gridCol w:w="1814"/>
              <w:gridCol w:w="1904"/>
            </w:tblGrid>
            <w:tr w14:paraId="66B8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exact"/>
                <w:jc w:val="center"/>
              </w:trPr>
              <w:tc>
                <w:tcPr>
                  <w:tcW w:w="791" w:type="pct"/>
                  <w:noWrap w:val="0"/>
                  <w:vAlign w:val="center"/>
                </w:tcPr>
                <w:p w14:paraId="72E389C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炉型</w:t>
                  </w:r>
                </w:p>
              </w:tc>
              <w:tc>
                <w:tcPr>
                  <w:tcW w:w="4208" w:type="pct"/>
                  <w:gridSpan w:val="3"/>
                  <w:noWrap w:val="0"/>
                  <w:vAlign w:val="center"/>
                </w:tcPr>
                <w:p w14:paraId="3F1EC64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层燃炉</w:t>
                  </w:r>
                </w:p>
              </w:tc>
            </w:tr>
            <w:tr w14:paraId="40AC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791" w:type="pct"/>
                  <w:noWrap w:val="0"/>
                  <w:vAlign w:val="center"/>
                </w:tcPr>
                <w:p w14:paraId="4C61F0B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燃料类型</w:t>
                  </w:r>
                </w:p>
              </w:tc>
              <w:tc>
                <w:tcPr>
                  <w:tcW w:w="4208" w:type="pct"/>
                  <w:gridSpan w:val="3"/>
                  <w:noWrap w:val="0"/>
                  <w:vAlign w:val="center"/>
                </w:tcPr>
                <w:p w14:paraId="10DDA7F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生物质</w:t>
                  </w:r>
                </w:p>
              </w:tc>
            </w:tr>
            <w:tr w14:paraId="6933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791" w:type="pct"/>
                  <w:noWrap w:val="0"/>
                  <w:vAlign w:val="center"/>
                </w:tcPr>
                <w:p w14:paraId="0C99B33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大气污染物</w:t>
                  </w:r>
                </w:p>
              </w:tc>
              <w:tc>
                <w:tcPr>
                  <w:tcW w:w="2005" w:type="pct"/>
                  <w:noWrap w:val="0"/>
                  <w:vAlign w:val="center"/>
                </w:tcPr>
                <w:p w14:paraId="6F66DC6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推荐可行性技术</w:t>
                  </w:r>
                </w:p>
              </w:tc>
              <w:tc>
                <w:tcPr>
                  <w:tcW w:w="1075" w:type="pct"/>
                  <w:noWrap w:val="0"/>
                  <w:vAlign w:val="center"/>
                </w:tcPr>
                <w:p w14:paraId="6A5A6C7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本项目处理技术</w:t>
                  </w:r>
                </w:p>
              </w:tc>
              <w:tc>
                <w:tcPr>
                  <w:tcW w:w="1127" w:type="pct"/>
                  <w:noWrap w:val="0"/>
                  <w:vAlign w:val="center"/>
                </w:tcPr>
                <w:p w14:paraId="0B005DB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对比说明</w:t>
                  </w:r>
                </w:p>
              </w:tc>
            </w:tr>
            <w:tr w14:paraId="22F9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1" w:type="pct"/>
                  <w:noWrap w:val="0"/>
                  <w:vAlign w:val="center"/>
                </w:tcPr>
                <w:p w14:paraId="1B9A848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二氧化硫</w:t>
                  </w:r>
                </w:p>
              </w:tc>
              <w:tc>
                <w:tcPr>
                  <w:tcW w:w="2005" w:type="pct"/>
                  <w:noWrap w:val="0"/>
                  <w:vAlign w:val="center"/>
                </w:tcPr>
                <w:p w14:paraId="06EE0C2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无</w:t>
                  </w:r>
                </w:p>
              </w:tc>
              <w:tc>
                <w:tcPr>
                  <w:tcW w:w="1075" w:type="pct"/>
                  <w:noWrap w:val="0"/>
                  <w:vAlign w:val="center"/>
                </w:tcPr>
                <w:p w14:paraId="7C435DA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无</w:t>
                  </w:r>
                </w:p>
              </w:tc>
              <w:tc>
                <w:tcPr>
                  <w:tcW w:w="1127" w:type="pct"/>
                  <w:noWrap w:val="0"/>
                  <w:vAlign w:val="center"/>
                </w:tcPr>
                <w:p w14:paraId="2FC0D3B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无</w:t>
                  </w:r>
                </w:p>
              </w:tc>
            </w:tr>
            <w:tr w14:paraId="0BCC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noWrap w:val="0"/>
                  <w:vAlign w:val="center"/>
                </w:tcPr>
                <w:p w14:paraId="77F97C1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氮氧化物</w:t>
                  </w:r>
                </w:p>
              </w:tc>
              <w:tc>
                <w:tcPr>
                  <w:tcW w:w="2005" w:type="pct"/>
                  <w:noWrap w:val="0"/>
                  <w:vAlign w:val="center"/>
                </w:tcPr>
                <w:p w14:paraId="3EB9A70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低氮燃烧技术、低氮燃烧+SNCR脱硝技术、低氮燃烧+SCR脱硝技术、低氮燃烧+(SNCR-SCR联合)脱硝技术、SNCR脱硝技术、SCR脱硝技术、SNCR-SCR联合脱硝技术</w:t>
                  </w:r>
                </w:p>
              </w:tc>
              <w:tc>
                <w:tcPr>
                  <w:tcW w:w="1075" w:type="pct"/>
                  <w:noWrap w:val="0"/>
                  <w:vAlign w:val="center"/>
                </w:tcPr>
                <w:p w14:paraId="0E1751F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color w:val="auto"/>
                      <w:szCs w:val="21"/>
                      <w:highlight w:val="none"/>
                    </w:rPr>
                    <w:t>低氮燃烧技术</w:t>
                  </w:r>
                </w:p>
              </w:tc>
              <w:tc>
                <w:tcPr>
                  <w:tcW w:w="1127" w:type="pct"/>
                  <w:noWrap w:val="0"/>
                  <w:vAlign w:val="center"/>
                </w:tcPr>
                <w:p w14:paraId="1C7671D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一致</w:t>
                  </w:r>
                </w:p>
              </w:tc>
            </w:tr>
            <w:tr w14:paraId="4986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noWrap w:val="0"/>
                  <w:vAlign w:val="center"/>
                </w:tcPr>
                <w:p w14:paraId="7AB6F6F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颗粒物</w:t>
                  </w:r>
                </w:p>
              </w:tc>
              <w:tc>
                <w:tcPr>
                  <w:tcW w:w="2005" w:type="pct"/>
                  <w:noWrap w:val="0"/>
                  <w:vAlign w:val="center"/>
                </w:tcPr>
                <w:p w14:paraId="52D4D62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旋风除尘和袋式除尘组合</w:t>
                  </w:r>
                </w:p>
                <w:p w14:paraId="357C35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技术</w:t>
                  </w:r>
                </w:p>
              </w:tc>
              <w:tc>
                <w:tcPr>
                  <w:tcW w:w="1075" w:type="pct"/>
                  <w:noWrap w:val="0"/>
                  <w:vAlign w:val="center"/>
                </w:tcPr>
                <w:p w14:paraId="1793E07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套“</w:t>
                  </w:r>
                  <w:r>
                    <w:rPr>
                      <w:rFonts w:hint="eastAsia" w:ascii="宋体" w:hAnsi="宋体" w:eastAsia="宋体" w:cs="宋体"/>
                      <w:color w:val="auto"/>
                      <w:sz w:val="21"/>
                      <w:szCs w:val="21"/>
                      <w:vertAlign w:val="baseline"/>
                      <w:lang w:val="en-US" w:eastAsia="zh-CN"/>
                    </w:rPr>
                    <w:t>旋风除尘+布袋除尘</w:t>
                  </w:r>
                  <w:r>
                    <w:rPr>
                      <w:rFonts w:hint="eastAsia" w:ascii="宋体" w:hAnsi="宋体" w:eastAsia="宋体" w:cs="宋体"/>
                      <w:color w:val="auto"/>
                      <w:sz w:val="21"/>
                      <w:szCs w:val="21"/>
                      <w:lang w:val="en-US" w:eastAsia="zh-CN"/>
                    </w:rPr>
                    <w:t>”</w:t>
                  </w:r>
                </w:p>
              </w:tc>
              <w:tc>
                <w:tcPr>
                  <w:tcW w:w="1127" w:type="pct"/>
                  <w:noWrap w:val="0"/>
                  <w:vAlign w:val="center"/>
                </w:tcPr>
                <w:p w14:paraId="07A45B4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一致</w:t>
                  </w:r>
                </w:p>
              </w:tc>
            </w:tr>
          </w:tbl>
          <w:p w14:paraId="2D4A5188">
            <w:pPr>
              <w:tabs>
                <w:tab w:val="left" w:pos="2978"/>
              </w:tabs>
              <w:spacing w:line="360" w:lineRule="auto"/>
              <w:ind w:firstLine="480" w:firstLineChars="200"/>
              <w:rPr>
                <w:rFonts w:hint="eastAsia" w:ascii="宋体" w:hAnsi="宋体" w:cs="宋体"/>
                <w:color w:val="auto"/>
                <w:sz w:val="24"/>
              </w:rPr>
            </w:pPr>
            <w:r>
              <w:rPr>
                <w:rFonts w:hint="eastAsia" w:ascii="宋体" w:hAnsi="宋体" w:cs="宋体"/>
                <w:color w:val="auto"/>
                <w:sz w:val="24"/>
              </w:rPr>
              <w:t>根据上表，本项目“氮氧化物</w:t>
            </w:r>
            <w:r>
              <w:rPr>
                <w:rFonts w:hint="eastAsia" w:ascii="宋体" w:hAnsi="宋体" w:cs="宋体"/>
                <w:color w:val="auto"/>
                <w:sz w:val="24"/>
                <w:lang w:eastAsia="zh-CN"/>
              </w:rPr>
              <w:t>、</w:t>
            </w:r>
            <w:r>
              <w:rPr>
                <w:rFonts w:hint="eastAsia" w:ascii="宋体" w:hAnsi="宋体" w:cs="宋体"/>
                <w:color w:val="auto"/>
                <w:sz w:val="24"/>
              </w:rPr>
              <w:t>颗粒物、二氧化硫”治理技术与排污许可证要求一致，所采用技术有效可行。根据废气</w:t>
            </w:r>
            <w:r>
              <w:rPr>
                <w:rFonts w:hint="eastAsia" w:ascii="宋体" w:hAnsi="宋体" w:cs="宋体"/>
                <w:color w:val="auto"/>
                <w:sz w:val="24"/>
                <w:lang w:val="en-US" w:eastAsia="zh-CN"/>
              </w:rPr>
              <w:t>监测</w:t>
            </w:r>
            <w:r>
              <w:rPr>
                <w:rFonts w:hint="eastAsia" w:ascii="宋体" w:hAnsi="宋体" w:cs="宋体"/>
                <w:color w:val="auto"/>
                <w:sz w:val="24"/>
              </w:rPr>
              <w:t>排放达标分析，</w:t>
            </w:r>
            <w:r>
              <w:rPr>
                <w:rFonts w:hint="eastAsia" w:ascii="宋体" w:hAnsi="宋体" w:cs="宋体"/>
                <w:color w:val="auto"/>
                <w:sz w:val="24"/>
                <w:lang w:eastAsia="zh-CN"/>
              </w:rPr>
              <w:t>项目</w:t>
            </w:r>
            <w:r>
              <w:rPr>
                <w:rFonts w:hint="eastAsia" w:ascii="宋体" w:hAnsi="宋体" w:cs="宋体"/>
                <w:color w:val="auto"/>
                <w:sz w:val="24"/>
              </w:rPr>
              <w:t>有组织废气能够达标排放。因此，项目所采用废气治理技术有效可行。</w:t>
            </w:r>
          </w:p>
          <w:p w14:paraId="3CC5B59B">
            <w:pPr>
              <w:adjustRightInd w:val="0"/>
              <w:snapToGrid w:val="0"/>
              <w:spacing w:line="360" w:lineRule="auto"/>
              <w:rPr>
                <w:b/>
                <w:bCs/>
                <w:color w:val="auto"/>
                <w:sz w:val="24"/>
                <w:highlight w:val="none"/>
              </w:rPr>
            </w:pPr>
            <w:r>
              <w:rPr>
                <w:rFonts w:hint="eastAsia"/>
                <w:b/>
                <w:bCs/>
                <w:color w:val="auto"/>
                <w:sz w:val="24"/>
                <w:highlight w:val="none"/>
                <w:lang w:val="en-US" w:eastAsia="zh-CN"/>
              </w:rPr>
              <w:t>3</w:t>
            </w:r>
            <w:r>
              <w:rPr>
                <w:rFonts w:hint="eastAsia"/>
                <w:b/>
                <w:bCs/>
                <w:color w:val="auto"/>
                <w:sz w:val="24"/>
                <w:highlight w:val="none"/>
              </w:rPr>
              <w:t>、</w:t>
            </w:r>
            <w:r>
              <w:rPr>
                <w:rFonts w:hint="eastAsia"/>
                <w:b/>
                <w:bCs/>
                <w:color w:val="auto"/>
                <w:sz w:val="24"/>
                <w:highlight w:val="none"/>
                <w:lang w:val="en-US" w:eastAsia="zh-CN"/>
              </w:rPr>
              <w:t>项目废气对敏感点影响分析</w:t>
            </w:r>
            <w:r>
              <w:rPr>
                <w:rFonts w:hint="eastAsia"/>
                <w:b/>
                <w:bCs/>
                <w:color w:val="auto"/>
                <w:sz w:val="24"/>
                <w:highlight w:val="none"/>
              </w:rPr>
              <w:t xml:space="preserve"> </w:t>
            </w:r>
          </w:p>
          <w:p w14:paraId="306F1588">
            <w:pPr>
              <w:pStyle w:val="25"/>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zh-CN"/>
              </w:rPr>
              <w:t>项目最近敏感点为</w:t>
            </w:r>
            <w:r>
              <w:rPr>
                <w:rFonts w:hint="eastAsia" w:ascii="宋体" w:hAnsi="宋体" w:cs="宋体"/>
                <w:color w:val="auto"/>
                <w:sz w:val="24"/>
                <w:lang w:val="en-US" w:eastAsia="zh-CN"/>
              </w:rPr>
              <w:t>北面234</w:t>
            </w:r>
            <w:r>
              <w:rPr>
                <w:rFonts w:hint="eastAsia" w:ascii="宋体" w:hAnsi="宋体" w:eastAsia="宋体" w:cs="宋体"/>
                <w:color w:val="auto"/>
                <w:sz w:val="24"/>
                <w:lang w:val="en-US" w:eastAsia="zh-CN"/>
              </w:rPr>
              <w:t>m处的</w:t>
            </w:r>
            <w:r>
              <w:rPr>
                <w:rFonts w:hint="eastAsia"/>
                <w:color w:val="auto"/>
                <w:sz w:val="24"/>
                <w:lang w:val="en-US" w:eastAsia="zh-CN"/>
              </w:rPr>
              <w:t>北城社区19组</w:t>
            </w:r>
            <w:r>
              <w:rPr>
                <w:rFonts w:hint="eastAsia" w:ascii="宋体" w:hAnsi="宋体" w:eastAsia="宋体" w:cs="宋体"/>
                <w:color w:val="auto"/>
                <w:sz w:val="24"/>
                <w:lang w:val="en-US" w:eastAsia="zh-CN"/>
              </w:rPr>
              <w:t>。根据废气达标分析，本项目废气能够实现达标排放，故本项目废气排放对敏感点影响较小。</w:t>
            </w:r>
          </w:p>
          <w:p w14:paraId="56133E36">
            <w:pPr>
              <w:pStyle w:val="25"/>
              <w:spacing w:line="360" w:lineRule="auto"/>
              <w:ind w:left="0" w:leftChars="0" w:firstLine="0" w:firstLineChars="0"/>
              <w:rPr>
                <w:b/>
                <w:bCs/>
                <w:color w:val="auto"/>
                <w:spacing w:val="-10"/>
                <w:sz w:val="24"/>
              </w:rPr>
            </w:pPr>
            <w:r>
              <w:rPr>
                <w:rFonts w:hint="eastAsia"/>
                <w:b/>
                <w:bCs/>
                <w:color w:val="auto"/>
                <w:spacing w:val="-10"/>
                <w:sz w:val="24"/>
                <w:lang w:val="en-US" w:eastAsia="zh-CN"/>
              </w:rPr>
              <w:t>4</w:t>
            </w:r>
            <w:r>
              <w:rPr>
                <w:b/>
                <w:bCs/>
                <w:color w:val="auto"/>
                <w:spacing w:val="-10"/>
                <w:sz w:val="24"/>
              </w:rPr>
              <w:t>、</w:t>
            </w:r>
            <w:r>
              <w:rPr>
                <w:b/>
                <w:color w:val="auto"/>
                <w:sz w:val="24"/>
              </w:rPr>
              <w:t>大气污染物排放统计</w:t>
            </w:r>
          </w:p>
          <w:p w14:paraId="69B08E69">
            <w:pPr>
              <w:pStyle w:val="25"/>
              <w:spacing w:line="360" w:lineRule="auto"/>
              <w:ind w:firstLine="0" w:firstLineChars="0"/>
              <w:jc w:val="center"/>
              <w:rPr>
                <w:b/>
                <w:bCs/>
                <w:color w:val="auto"/>
                <w:spacing w:val="-10"/>
                <w:sz w:val="24"/>
              </w:rPr>
            </w:pPr>
            <w:r>
              <w:rPr>
                <w:b/>
                <w:color w:val="auto"/>
                <w:kern w:val="0"/>
                <w:sz w:val="24"/>
              </w:rPr>
              <w:t>表4-</w:t>
            </w:r>
            <w:r>
              <w:rPr>
                <w:rFonts w:hint="eastAsia"/>
                <w:b/>
                <w:color w:val="auto"/>
                <w:kern w:val="0"/>
                <w:sz w:val="24"/>
                <w:lang w:val="en-US" w:eastAsia="zh-CN"/>
              </w:rPr>
              <w:t>9</w:t>
            </w:r>
            <w:r>
              <w:rPr>
                <w:b/>
                <w:color w:val="auto"/>
                <w:kern w:val="0"/>
                <w:sz w:val="24"/>
              </w:rPr>
              <w:t>项目排放口基本情况一览表</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223"/>
              <w:gridCol w:w="1424"/>
              <w:gridCol w:w="857"/>
              <w:gridCol w:w="1198"/>
              <w:gridCol w:w="2094"/>
            </w:tblGrid>
            <w:tr w14:paraId="09CB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noWrap w:val="0"/>
                  <w:vAlign w:val="top"/>
                </w:tcPr>
                <w:p w14:paraId="4CF09AB8">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编号及名称</w:t>
                  </w:r>
                </w:p>
              </w:tc>
              <w:tc>
                <w:tcPr>
                  <w:tcW w:w="725" w:type="pct"/>
                  <w:noWrap w:val="0"/>
                  <w:vAlign w:val="top"/>
                </w:tcPr>
                <w:p w14:paraId="21E3FBFB">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排放高度</w:t>
                  </w:r>
                  <w:r>
                    <w:rPr>
                      <w:b/>
                      <w:bCs/>
                      <w:color w:val="auto"/>
                      <w:lang w:val="en-US" w:eastAsia="zh-CN"/>
                    </w:rPr>
                    <w:t>/m</w:t>
                  </w:r>
                </w:p>
              </w:tc>
              <w:tc>
                <w:tcPr>
                  <w:tcW w:w="844" w:type="pct"/>
                  <w:noWrap w:val="0"/>
                  <w:vAlign w:val="top"/>
                </w:tcPr>
                <w:p w14:paraId="5C54173C">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排气筒内径</w:t>
                  </w:r>
                  <w:r>
                    <w:rPr>
                      <w:b/>
                      <w:bCs/>
                      <w:color w:val="auto"/>
                      <w:lang w:val="en-US" w:eastAsia="zh-CN"/>
                    </w:rPr>
                    <w:t>/m</w:t>
                  </w:r>
                </w:p>
              </w:tc>
              <w:tc>
                <w:tcPr>
                  <w:tcW w:w="508" w:type="pct"/>
                  <w:noWrap w:val="0"/>
                  <w:vAlign w:val="top"/>
                </w:tcPr>
                <w:p w14:paraId="5ED4C81B">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温度/℃</w:t>
                  </w:r>
                </w:p>
              </w:tc>
              <w:tc>
                <w:tcPr>
                  <w:tcW w:w="710" w:type="pct"/>
                  <w:noWrap w:val="0"/>
                  <w:vAlign w:val="top"/>
                </w:tcPr>
                <w:p w14:paraId="6E458607">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类型</w:t>
                  </w:r>
                </w:p>
              </w:tc>
              <w:tc>
                <w:tcPr>
                  <w:tcW w:w="1241" w:type="pct"/>
                  <w:noWrap w:val="0"/>
                  <w:vAlign w:val="top"/>
                </w:tcPr>
                <w:p w14:paraId="5A449379">
                  <w:pPr>
                    <w:pStyle w:val="24"/>
                    <w:snapToGrid/>
                    <w:spacing w:before="0" w:after="0" w:line="360" w:lineRule="auto"/>
                    <w:ind w:right="0" w:firstLine="0" w:firstLineChars="0"/>
                    <w:jc w:val="center"/>
                    <w:rPr>
                      <w:b/>
                      <w:bCs/>
                      <w:color w:val="auto"/>
                      <w:szCs w:val="21"/>
                      <w:lang w:val="en-US" w:eastAsia="zh-CN"/>
                    </w:rPr>
                  </w:pPr>
                  <w:r>
                    <w:rPr>
                      <w:b/>
                      <w:bCs/>
                      <w:color w:val="auto"/>
                      <w:szCs w:val="21"/>
                      <w:lang w:val="en-US" w:eastAsia="zh-CN"/>
                    </w:rPr>
                    <w:t>地理坐标</w:t>
                  </w:r>
                </w:p>
              </w:tc>
            </w:tr>
            <w:tr w14:paraId="6967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noWrap w:val="0"/>
                  <w:vAlign w:val="center"/>
                </w:tcPr>
                <w:p w14:paraId="03EE7340">
                  <w:pPr>
                    <w:pStyle w:val="24"/>
                    <w:snapToGrid/>
                    <w:spacing w:before="0" w:after="0" w:line="360" w:lineRule="auto"/>
                    <w:ind w:right="0" w:firstLine="0" w:firstLineChars="0"/>
                    <w:jc w:val="center"/>
                    <w:rPr>
                      <w:color w:val="auto"/>
                      <w:szCs w:val="21"/>
                      <w:lang w:val="en-US" w:eastAsia="zh-CN"/>
                    </w:rPr>
                  </w:pPr>
                  <w:r>
                    <w:rPr>
                      <w:color w:val="auto"/>
                      <w:szCs w:val="21"/>
                      <w:lang w:val="en-US" w:eastAsia="zh-CN"/>
                    </w:rPr>
                    <w:t>DA00</w:t>
                  </w:r>
                  <w:r>
                    <w:rPr>
                      <w:rFonts w:hint="eastAsia"/>
                      <w:color w:val="auto"/>
                      <w:szCs w:val="21"/>
                      <w:lang w:val="en-US" w:eastAsia="zh-CN"/>
                    </w:rPr>
                    <w:t>1蒸汽发生器排气筒</w:t>
                  </w:r>
                </w:p>
              </w:tc>
              <w:tc>
                <w:tcPr>
                  <w:tcW w:w="725" w:type="pct"/>
                  <w:noWrap w:val="0"/>
                  <w:vAlign w:val="center"/>
                </w:tcPr>
                <w:p w14:paraId="37D0B443">
                  <w:pPr>
                    <w:pStyle w:val="24"/>
                    <w:snapToGrid/>
                    <w:spacing w:before="0" w:after="0" w:line="360" w:lineRule="auto"/>
                    <w:ind w:right="0" w:firstLine="0" w:firstLineChars="0"/>
                    <w:jc w:val="center"/>
                    <w:rPr>
                      <w:color w:val="auto"/>
                      <w:szCs w:val="21"/>
                      <w:lang w:val="en-US" w:eastAsia="zh-CN"/>
                    </w:rPr>
                  </w:pPr>
                  <w:r>
                    <w:rPr>
                      <w:rFonts w:hint="eastAsia"/>
                      <w:color w:val="auto"/>
                      <w:szCs w:val="21"/>
                      <w:lang w:val="en-US" w:eastAsia="zh-CN"/>
                    </w:rPr>
                    <w:t>3</w:t>
                  </w:r>
                  <w:r>
                    <w:rPr>
                      <w:color w:val="auto"/>
                      <w:szCs w:val="21"/>
                      <w:lang w:val="en-US" w:eastAsia="zh-CN"/>
                    </w:rPr>
                    <w:t>5</w:t>
                  </w:r>
                </w:p>
              </w:tc>
              <w:tc>
                <w:tcPr>
                  <w:tcW w:w="844" w:type="pct"/>
                  <w:noWrap w:val="0"/>
                  <w:vAlign w:val="center"/>
                </w:tcPr>
                <w:p w14:paraId="1ACDB4E8">
                  <w:pPr>
                    <w:pStyle w:val="24"/>
                    <w:snapToGrid/>
                    <w:spacing w:before="0" w:after="0" w:line="360" w:lineRule="auto"/>
                    <w:ind w:right="0" w:firstLine="0" w:firstLineChars="0"/>
                    <w:jc w:val="center"/>
                    <w:rPr>
                      <w:rFonts w:hint="default"/>
                      <w:color w:val="auto"/>
                      <w:szCs w:val="21"/>
                      <w:lang w:val="en-US" w:eastAsia="zh-CN"/>
                    </w:rPr>
                  </w:pPr>
                  <w:r>
                    <w:rPr>
                      <w:rFonts w:hint="eastAsia"/>
                      <w:color w:val="auto"/>
                      <w:szCs w:val="21"/>
                      <w:lang w:val="en-US" w:eastAsia="zh-CN"/>
                    </w:rPr>
                    <w:t>0.8</w:t>
                  </w:r>
                </w:p>
              </w:tc>
              <w:tc>
                <w:tcPr>
                  <w:tcW w:w="508" w:type="pct"/>
                  <w:noWrap w:val="0"/>
                  <w:vAlign w:val="center"/>
                </w:tcPr>
                <w:p w14:paraId="70F03C30">
                  <w:pPr>
                    <w:pStyle w:val="24"/>
                    <w:snapToGrid/>
                    <w:spacing w:before="0" w:after="0" w:line="360" w:lineRule="auto"/>
                    <w:ind w:right="0" w:firstLine="0" w:firstLineChars="0"/>
                    <w:jc w:val="center"/>
                    <w:rPr>
                      <w:rFonts w:hint="default"/>
                      <w:color w:val="auto"/>
                      <w:szCs w:val="21"/>
                      <w:lang w:val="en-US" w:eastAsia="zh-CN"/>
                    </w:rPr>
                  </w:pPr>
                  <w:r>
                    <w:rPr>
                      <w:rFonts w:hint="eastAsia"/>
                      <w:color w:val="auto"/>
                      <w:szCs w:val="21"/>
                      <w:lang w:val="en-US" w:eastAsia="zh-CN"/>
                    </w:rPr>
                    <w:t>82</w:t>
                  </w:r>
                </w:p>
              </w:tc>
              <w:tc>
                <w:tcPr>
                  <w:tcW w:w="710" w:type="pct"/>
                  <w:noWrap w:val="0"/>
                  <w:vAlign w:val="center"/>
                </w:tcPr>
                <w:p w14:paraId="25AA540F">
                  <w:pPr>
                    <w:pStyle w:val="24"/>
                    <w:snapToGrid/>
                    <w:spacing w:before="0" w:after="0" w:line="360" w:lineRule="auto"/>
                    <w:ind w:right="0" w:firstLine="0" w:firstLineChars="0"/>
                    <w:jc w:val="center"/>
                    <w:rPr>
                      <w:color w:val="auto"/>
                      <w:szCs w:val="21"/>
                      <w:lang w:val="en-US" w:eastAsia="zh-CN"/>
                    </w:rPr>
                  </w:pPr>
                  <w:r>
                    <w:rPr>
                      <w:color w:val="auto"/>
                      <w:szCs w:val="21"/>
                      <w:lang w:val="en-US" w:eastAsia="zh-CN"/>
                    </w:rPr>
                    <w:t>一般排放口</w:t>
                  </w:r>
                </w:p>
              </w:tc>
              <w:tc>
                <w:tcPr>
                  <w:tcW w:w="1241" w:type="pct"/>
                  <w:noWrap w:val="0"/>
                  <w:vAlign w:val="center"/>
                </w:tcPr>
                <w:p w14:paraId="41A802E2">
                  <w:pPr>
                    <w:pStyle w:val="24"/>
                    <w:snapToGrid/>
                    <w:spacing w:before="0" w:after="0" w:line="360" w:lineRule="auto"/>
                    <w:ind w:right="0" w:firstLine="0" w:firstLineChars="0"/>
                    <w:jc w:val="center"/>
                    <w:rPr>
                      <w:color w:val="auto"/>
                      <w:szCs w:val="21"/>
                      <w:lang w:val="en-US" w:eastAsia="zh-CN"/>
                    </w:rPr>
                  </w:pPr>
                  <w:r>
                    <w:rPr>
                      <w:color w:val="auto"/>
                      <w:szCs w:val="21"/>
                      <w:lang w:val="en-US" w:eastAsia="zh-CN"/>
                    </w:rPr>
                    <w:t>东经</w:t>
                  </w:r>
                  <w:r>
                    <w:rPr>
                      <w:rFonts w:hint="eastAsia"/>
                      <w:color w:val="auto"/>
                      <w:szCs w:val="21"/>
                      <w:lang w:val="en-US" w:eastAsia="zh-CN"/>
                    </w:rPr>
                    <w:t>102.550922756,</w:t>
                  </w:r>
                  <w:r>
                    <w:rPr>
                      <w:color w:val="auto"/>
                      <w:szCs w:val="21"/>
                      <w:lang w:val="en-US" w:eastAsia="zh-CN"/>
                    </w:rPr>
                    <w:t>北纬</w:t>
                  </w:r>
                  <w:r>
                    <w:rPr>
                      <w:rFonts w:hint="eastAsia"/>
                      <w:color w:val="auto"/>
                      <w:szCs w:val="21"/>
                      <w:lang w:val="en-US" w:eastAsia="zh-CN"/>
                    </w:rPr>
                    <w:t>24.423562870</w:t>
                  </w:r>
                </w:p>
              </w:tc>
            </w:tr>
          </w:tbl>
          <w:p w14:paraId="7D5E796B">
            <w:pPr>
              <w:adjustRightInd w:val="0"/>
              <w:snapToGrid w:val="0"/>
              <w:spacing w:before="240" w:beforeLines="100" w:line="360" w:lineRule="auto"/>
              <w:jc w:val="center"/>
              <w:rPr>
                <w:color w:val="auto"/>
                <w:sz w:val="24"/>
              </w:rPr>
            </w:pPr>
            <w:r>
              <w:rPr>
                <w:b/>
                <w:bCs/>
                <w:color w:val="auto"/>
                <w:sz w:val="24"/>
              </w:rPr>
              <w:t>表4-</w:t>
            </w:r>
            <w:r>
              <w:rPr>
                <w:rFonts w:hint="eastAsia"/>
                <w:b/>
                <w:bCs/>
                <w:color w:val="auto"/>
                <w:sz w:val="24"/>
                <w:lang w:val="en-US" w:eastAsia="zh-CN"/>
              </w:rPr>
              <w:t>10</w:t>
            </w:r>
            <w:r>
              <w:rPr>
                <w:b/>
                <w:bCs/>
                <w:color w:val="auto"/>
                <w:sz w:val="24"/>
              </w:rPr>
              <w:t>大气污染物有组织排放量核算表</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390"/>
              <w:gridCol w:w="1165"/>
              <w:gridCol w:w="1820"/>
              <w:gridCol w:w="1627"/>
              <w:gridCol w:w="1444"/>
            </w:tblGrid>
            <w:tr w14:paraId="2669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5" w:type="pct"/>
                  <w:noWrap w:val="0"/>
                  <w:vAlign w:val="center"/>
                </w:tcPr>
                <w:p w14:paraId="4CAE00C9">
                  <w:pPr>
                    <w:adjustRightInd w:val="0"/>
                    <w:snapToGrid w:val="0"/>
                    <w:spacing w:line="360" w:lineRule="auto"/>
                    <w:jc w:val="center"/>
                    <w:rPr>
                      <w:b/>
                      <w:bCs/>
                      <w:color w:val="auto"/>
                      <w:szCs w:val="21"/>
                    </w:rPr>
                  </w:pPr>
                  <w:r>
                    <w:rPr>
                      <w:b/>
                      <w:bCs/>
                      <w:color w:val="auto"/>
                      <w:szCs w:val="21"/>
                    </w:rPr>
                    <w:t>编号及名称</w:t>
                  </w:r>
                </w:p>
              </w:tc>
              <w:tc>
                <w:tcPr>
                  <w:tcW w:w="824" w:type="pct"/>
                  <w:noWrap w:val="0"/>
                  <w:vAlign w:val="center"/>
                </w:tcPr>
                <w:p w14:paraId="0758EF76">
                  <w:pPr>
                    <w:adjustRightInd w:val="0"/>
                    <w:snapToGrid w:val="0"/>
                    <w:spacing w:line="360" w:lineRule="auto"/>
                    <w:jc w:val="center"/>
                    <w:rPr>
                      <w:b/>
                      <w:bCs/>
                      <w:color w:val="auto"/>
                      <w:szCs w:val="21"/>
                    </w:rPr>
                  </w:pPr>
                  <w:r>
                    <w:rPr>
                      <w:b/>
                      <w:bCs/>
                      <w:color w:val="auto"/>
                      <w:szCs w:val="21"/>
                    </w:rPr>
                    <w:t>排口类型</w:t>
                  </w:r>
                </w:p>
              </w:tc>
              <w:tc>
                <w:tcPr>
                  <w:tcW w:w="691" w:type="pct"/>
                  <w:noWrap w:val="0"/>
                  <w:vAlign w:val="center"/>
                </w:tcPr>
                <w:p w14:paraId="405E6799">
                  <w:pPr>
                    <w:adjustRightInd w:val="0"/>
                    <w:snapToGrid w:val="0"/>
                    <w:spacing w:line="360" w:lineRule="auto"/>
                    <w:jc w:val="center"/>
                    <w:rPr>
                      <w:b/>
                      <w:bCs/>
                      <w:color w:val="auto"/>
                      <w:szCs w:val="21"/>
                    </w:rPr>
                  </w:pPr>
                  <w:r>
                    <w:rPr>
                      <w:b/>
                      <w:bCs/>
                      <w:color w:val="auto"/>
                      <w:szCs w:val="21"/>
                    </w:rPr>
                    <w:t>污染物</w:t>
                  </w:r>
                </w:p>
              </w:tc>
              <w:tc>
                <w:tcPr>
                  <w:tcW w:w="1079" w:type="pct"/>
                  <w:noWrap w:val="0"/>
                  <w:vAlign w:val="center"/>
                </w:tcPr>
                <w:p w14:paraId="343BAA20">
                  <w:pPr>
                    <w:adjustRightInd w:val="0"/>
                    <w:snapToGrid w:val="0"/>
                    <w:spacing w:line="360" w:lineRule="auto"/>
                    <w:jc w:val="center"/>
                    <w:rPr>
                      <w:b/>
                      <w:bCs/>
                      <w:color w:val="auto"/>
                      <w:szCs w:val="21"/>
                    </w:rPr>
                  </w:pPr>
                  <w:r>
                    <w:rPr>
                      <w:b/>
                      <w:bCs/>
                      <w:color w:val="auto"/>
                      <w:szCs w:val="21"/>
                    </w:rPr>
                    <w:t>核算排放浓度（</w:t>
                  </w:r>
                  <w:r>
                    <w:rPr>
                      <w:b/>
                      <w:bCs/>
                      <w:snapToGrid w:val="0"/>
                      <w:color w:val="auto"/>
                      <w:kern w:val="0"/>
                      <w:szCs w:val="21"/>
                    </w:rPr>
                    <w:t>mg/m</w:t>
                  </w:r>
                  <w:r>
                    <w:rPr>
                      <w:b/>
                      <w:bCs/>
                      <w:snapToGrid w:val="0"/>
                      <w:color w:val="auto"/>
                      <w:kern w:val="0"/>
                      <w:szCs w:val="21"/>
                      <w:vertAlign w:val="superscript"/>
                    </w:rPr>
                    <w:t>3</w:t>
                  </w:r>
                  <w:r>
                    <w:rPr>
                      <w:b/>
                      <w:bCs/>
                      <w:color w:val="auto"/>
                      <w:szCs w:val="21"/>
                    </w:rPr>
                    <w:t>）</w:t>
                  </w:r>
                </w:p>
              </w:tc>
              <w:tc>
                <w:tcPr>
                  <w:tcW w:w="965" w:type="pct"/>
                  <w:noWrap w:val="0"/>
                  <w:vAlign w:val="center"/>
                </w:tcPr>
                <w:p w14:paraId="1CA229A0">
                  <w:pPr>
                    <w:adjustRightInd w:val="0"/>
                    <w:snapToGrid w:val="0"/>
                    <w:spacing w:line="360" w:lineRule="auto"/>
                    <w:jc w:val="center"/>
                    <w:rPr>
                      <w:b/>
                      <w:bCs/>
                      <w:color w:val="auto"/>
                      <w:szCs w:val="21"/>
                    </w:rPr>
                  </w:pPr>
                  <w:r>
                    <w:rPr>
                      <w:b/>
                      <w:bCs/>
                      <w:color w:val="auto"/>
                      <w:szCs w:val="21"/>
                    </w:rPr>
                    <w:t>核算排放速率（kg/h）</w:t>
                  </w:r>
                </w:p>
              </w:tc>
              <w:tc>
                <w:tcPr>
                  <w:tcW w:w="853" w:type="pct"/>
                  <w:noWrap w:val="0"/>
                  <w:vAlign w:val="center"/>
                </w:tcPr>
                <w:p w14:paraId="778AEA10">
                  <w:pPr>
                    <w:adjustRightInd w:val="0"/>
                    <w:snapToGrid w:val="0"/>
                    <w:spacing w:line="360" w:lineRule="auto"/>
                    <w:jc w:val="center"/>
                    <w:rPr>
                      <w:b/>
                      <w:bCs/>
                      <w:color w:val="auto"/>
                      <w:szCs w:val="21"/>
                    </w:rPr>
                  </w:pPr>
                  <w:r>
                    <w:rPr>
                      <w:b/>
                      <w:bCs/>
                      <w:color w:val="auto"/>
                      <w:szCs w:val="21"/>
                    </w:rPr>
                    <w:t>核算年排放量（t/a）</w:t>
                  </w:r>
                </w:p>
              </w:tc>
            </w:tr>
            <w:tr w14:paraId="45E3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85" w:type="pct"/>
                  <w:vMerge w:val="restart"/>
                  <w:noWrap w:val="0"/>
                  <w:vAlign w:val="center"/>
                </w:tcPr>
                <w:p w14:paraId="26F7339E">
                  <w:pPr>
                    <w:adjustRightInd w:val="0"/>
                    <w:snapToGrid w:val="0"/>
                    <w:spacing w:line="360" w:lineRule="auto"/>
                    <w:jc w:val="center"/>
                    <w:rPr>
                      <w:rFonts w:hint="eastAsia" w:eastAsia="宋体"/>
                      <w:color w:val="auto"/>
                      <w:szCs w:val="21"/>
                      <w:lang w:eastAsia="zh-CN"/>
                    </w:rPr>
                  </w:pPr>
                  <w:r>
                    <w:rPr>
                      <w:color w:val="auto"/>
                      <w:szCs w:val="21"/>
                    </w:rPr>
                    <w:t>DA00</w:t>
                  </w:r>
                  <w:r>
                    <w:rPr>
                      <w:rFonts w:hint="eastAsia"/>
                      <w:color w:val="auto"/>
                      <w:szCs w:val="21"/>
                      <w:lang w:val="en-US" w:eastAsia="zh-CN"/>
                    </w:rPr>
                    <w:t>1</w:t>
                  </w:r>
                </w:p>
              </w:tc>
              <w:tc>
                <w:tcPr>
                  <w:tcW w:w="824" w:type="pct"/>
                  <w:vMerge w:val="restart"/>
                  <w:noWrap w:val="0"/>
                  <w:vAlign w:val="center"/>
                </w:tcPr>
                <w:p w14:paraId="1CA35858">
                  <w:pPr>
                    <w:adjustRightInd w:val="0"/>
                    <w:snapToGrid w:val="0"/>
                    <w:spacing w:line="360" w:lineRule="auto"/>
                    <w:jc w:val="center"/>
                    <w:rPr>
                      <w:color w:val="auto"/>
                      <w:szCs w:val="21"/>
                    </w:rPr>
                  </w:pPr>
                  <w:r>
                    <w:rPr>
                      <w:color w:val="auto"/>
                      <w:szCs w:val="21"/>
                    </w:rPr>
                    <w:t>一般排放口</w:t>
                  </w:r>
                </w:p>
              </w:tc>
              <w:tc>
                <w:tcPr>
                  <w:tcW w:w="691" w:type="pct"/>
                  <w:noWrap w:val="0"/>
                  <w:vAlign w:val="center"/>
                </w:tcPr>
                <w:p w14:paraId="01137FBA">
                  <w:pPr>
                    <w:adjustRightInd w:val="0"/>
                    <w:snapToGrid w:val="0"/>
                    <w:spacing w:line="360" w:lineRule="auto"/>
                    <w:jc w:val="center"/>
                    <w:rPr>
                      <w:rFonts w:hint="eastAsia" w:eastAsia="宋体"/>
                      <w:color w:val="auto"/>
                      <w:szCs w:val="21"/>
                      <w:lang w:eastAsia="zh-CN"/>
                    </w:rPr>
                  </w:pPr>
                  <w:r>
                    <w:rPr>
                      <w:color w:val="auto"/>
                      <w:szCs w:val="21"/>
                    </w:rPr>
                    <w:t>颗粒物</w:t>
                  </w:r>
                </w:p>
              </w:tc>
              <w:tc>
                <w:tcPr>
                  <w:tcW w:w="1079" w:type="pct"/>
                  <w:noWrap w:val="0"/>
                  <w:vAlign w:val="center"/>
                </w:tcPr>
                <w:p w14:paraId="1D7831AF">
                  <w:pPr>
                    <w:adjustRightInd w:val="0"/>
                    <w:snapToGrid w:val="0"/>
                    <w:spacing w:line="360" w:lineRule="auto"/>
                    <w:jc w:val="center"/>
                    <w:rPr>
                      <w:rFonts w:hint="default" w:eastAsia="宋体"/>
                      <w:color w:val="auto"/>
                      <w:szCs w:val="21"/>
                      <w:lang w:val="en-US" w:eastAsia="zh-CN"/>
                    </w:rPr>
                  </w:pPr>
                  <w:r>
                    <w:rPr>
                      <w:rFonts w:hint="eastAsia"/>
                      <w:color w:val="auto"/>
                      <w:szCs w:val="21"/>
                      <w:lang w:val="en-US" w:eastAsia="zh-CN"/>
                    </w:rPr>
                    <w:t>8.2</w:t>
                  </w:r>
                </w:p>
              </w:tc>
              <w:tc>
                <w:tcPr>
                  <w:tcW w:w="965" w:type="pct"/>
                  <w:noWrap w:val="0"/>
                  <w:vAlign w:val="center"/>
                </w:tcPr>
                <w:p w14:paraId="376ECD05">
                  <w:pPr>
                    <w:adjustRightInd w:val="0"/>
                    <w:snapToGrid w:val="0"/>
                    <w:spacing w:line="360" w:lineRule="auto"/>
                    <w:jc w:val="center"/>
                    <w:rPr>
                      <w:rFonts w:hint="default" w:eastAsia="宋体"/>
                      <w:color w:val="auto"/>
                      <w:szCs w:val="21"/>
                      <w:lang w:val="en-US" w:eastAsia="zh-CN"/>
                    </w:rPr>
                  </w:pPr>
                  <w:r>
                    <w:rPr>
                      <w:rFonts w:hint="eastAsia"/>
                      <w:color w:val="auto"/>
                      <w:szCs w:val="21"/>
                      <w:lang w:val="en-US" w:eastAsia="zh-CN"/>
                    </w:rPr>
                    <w:t>0.029</w:t>
                  </w:r>
                </w:p>
              </w:tc>
              <w:tc>
                <w:tcPr>
                  <w:tcW w:w="853" w:type="pct"/>
                  <w:noWrap w:val="0"/>
                  <w:vAlign w:val="center"/>
                </w:tcPr>
                <w:p w14:paraId="49C3F5D2">
                  <w:pPr>
                    <w:adjustRightInd w:val="0"/>
                    <w:snapToGrid w:val="0"/>
                    <w:spacing w:line="360" w:lineRule="auto"/>
                    <w:jc w:val="center"/>
                    <w:rPr>
                      <w:rFonts w:hint="default"/>
                      <w:color w:val="auto"/>
                      <w:lang w:val="en-US" w:eastAsia="zh-CN"/>
                    </w:rPr>
                  </w:pPr>
                  <w:r>
                    <w:rPr>
                      <w:rFonts w:hint="eastAsia"/>
                      <w:color w:val="auto"/>
                      <w:szCs w:val="21"/>
                      <w:lang w:val="en-US" w:eastAsia="zh-CN"/>
                    </w:rPr>
                    <w:t>0.0348</w:t>
                  </w:r>
                </w:p>
              </w:tc>
            </w:tr>
            <w:tr w14:paraId="1656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85" w:type="pct"/>
                  <w:vMerge w:val="continue"/>
                  <w:noWrap w:val="0"/>
                  <w:vAlign w:val="center"/>
                </w:tcPr>
                <w:p w14:paraId="675E6521">
                  <w:pPr>
                    <w:adjustRightInd w:val="0"/>
                    <w:snapToGrid w:val="0"/>
                    <w:spacing w:line="360" w:lineRule="auto"/>
                    <w:jc w:val="center"/>
                    <w:rPr>
                      <w:color w:val="auto"/>
                      <w:szCs w:val="21"/>
                    </w:rPr>
                  </w:pPr>
                </w:p>
              </w:tc>
              <w:tc>
                <w:tcPr>
                  <w:tcW w:w="824" w:type="pct"/>
                  <w:vMerge w:val="continue"/>
                  <w:noWrap w:val="0"/>
                  <w:vAlign w:val="center"/>
                </w:tcPr>
                <w:p w14:paraId="5E30835A">
                  <w:pPr>
                    <w:adjustRightInd w:val="0"/>
                    <w:snapToGrid w:val="0"/>
                    <w:spacing w:line="360" w:lineRule="auto"/>
                    <w:jc w:val="center"/>
                    <w:rPr>
                      <w:color w:val="auto"/>
                      <w:szCs w:val="21"/>
                    </w:rPr>
                  </w:pPr>
                </w:p>
              </w:tc>
              <w:tc>
                <w:tcPr>
                  <w:tcW w:w="691" w:type="pct"/>
                  <w:noWrap w:val="0"/>
                  <w:vAlign w:val="center"/>
                </w:tcPr>
                <w:p w14:paraId="2DDD6059">
                  <w:pPr>
                    <w:adjustRightInd w:val="0"/>
                    <w:snapToGrid w:val="0"/>
                    <w:spacing w:line="360" w:lineRule="auto"/>
                    <w:jc w:val="center"/>
                    <w:rPr>
                      <w:color w:val="auto"/>
                      <w:szCs w:val="21"/>
                    </w:rPr>
                  </w:pPr>
                  <w:r>
                    <w:rPr>
                      <w:rFonts w:hint="eastAsia"/>
                      <w:color w:val="auto"/>
                      <w:szCs w:val="21"/>
                      <w:lang w:eastAsia="zh-CN"/>
                    </w:rPr>
                    <w:t>二氧化硫</w:t>
                  </w:r>
                </w:p>
              </w:tc>
              <w:tc>
                <w:tcPr>
                  <w:tcW w:w="1079" w:type="pct"/>
                  <w:noWrap w:val="0"/>
                  <w:vAlign w:val="center"/>
                </w:tcPr>
                <w:p w14:paraId="1758D466">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6</w:t>
                  </w:r>
                </w:p>
              </w:tc>
              <w:tc>
                <w:tcPr>
                  <w:tcW w:w="965" w:type="pct"/>
                  <w:noWrap w:val="0"/>
                  <w:vAlign w:val="center"/>
                </w:tcPr>
                <w:p w14:paraId="24541982">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0.020</w:t>
                  </w:r>
                </w:p>
              </w:tc>
              <w:tc>
                <w:tcPr>
                  <w:tcW w:w="853" w:type="pct"/>
                  <w:noWrap w:val="0"/>
                  <w:vAlign w:val="center"/>
                </w:tcPr>
                <w:p w14:paraId="5B605B2B">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0.024</w:t>
                  </w:r>
                </w:p>
              </w:tc>
            </w:tr>
            <w:tr w14:paraId="6A4A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85" w:type="pct"/>
                  <w:vMerge w:val="continue"/>
                  <w:noWrap w:val="0"/>
                  <w:vAlign w:val="center"/>
                </w:tcPr>
                <w:p w14:paraId="39064BBA">
                  <w:pPr>
                    <w:adjustRightInd w:val="0"/>
                    <w:snapToGrid w:val="0"/>
                    <w:spacing w:line="360" w:lineRule="auto"/>
                    <w:jc w:val="center"/>
                    <w:rPr>
                      <w:color w:val="auto"/>
                      <w:szCs w:val="21"/>
                    </w:rPr>
                  </w:pPr>
                </w:p>
              </w:tc>
              <w:tc>
                <w:tcPr>
                  <w:tcW w:w="824" w:type="pct"/>
                  <w:vMerge w:val="continue"/>
                  <w:noWrap w:val="0"/>
                  <w:vAlign w:val="center"/>
                </w:tcPr>
                <w:p w14:paraId="1ADDFB0B">
                  <w:pPr>
                    <w:adjustRightInd w:val="0"/>
                    <w:snapToGrid w:val="0"/>
                    <w:spacing w:line="360" w:lineRule="auto"/>
                    <w:jc w:val="center"/>
                    <w:rPr>
                      <w:color w:val="auto"/>
                      <w:szCs w:val="21"/>
                    </w:rPr>
                  </w:pPr>
                </w:p>
              </w:tc>
              <w:tc>
                <w:tcPr>
                  <w:tcW w:w="691" w:type="pct"/>
                  <w:noWrap w:val="0"/>
                  <w:vAlign w:val="center"/>
                </w:tcPr>
                <w:p w14:paraId="6D64DED2">
                  <w:pPr>
                    <w:adjustRightInd w:val="0"/>
                    <w:snapToGrid w:val="0"/>
                    <w:spacing w:line="360" w:lineRule="auto"/>
                    <w:jc w:val="center"/>
                    <w:rPr>
                      <w:color w:val="auto"/>
                      <w:szCs w:val="21"/>
                    </w:rPr>
                  </w:pPr>
                  <w:r>
                    <w:rPr>
                      <w:rFonts w:hint="eastAsia"/>
                      <w:color w:val="auto"/>
                      <w:szCs w:val="21"/>
                      <w:lang w:eastAsia="zh-CN"/>
                    </w:rPr>
                    <w:t>氮氧化物</w:t>
                  </w:r>
                </w:p>
              </w:tc>
              <w:tc>
                <w:tcPr>
                  <w:tcW w:w="1079" w:type="pct"/>
                  <w:noWrap w:val="0"/>
                  <w:vAlign w:val="center"/>
                </w:tcPr>
                <w:p w14:paraId="3C238C14">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170</w:t>
                  </w:r>
                </w:p>
              </w:tc>
              <w:tc>
                <w:tcPr>
                  <w:tcW w:w="965" w:type="pct"/>
                  <w:noWrap w:val="0"/>
                  <w:vAlign w:val="center"/>
                </w:tcPr>
                <w:p w14:paraId="57DF3CC6">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0.578</w:t>
                  </w:r>
                </w:p>
              </w:tc>
              <w:tc>
                <w:tcPr>
                  <w:tcW w:w="853" w:type="pct"/>
                  <w:noWrap w:val="0"/>
                  <w:vAlign w:val="center"/>
                </w:tcPr>
                <w:p w14:paraId="7223DA53">
                  <w:pPr>
                    <w:adjustRightInd w:val="0"/>
                    <w:snapToGrid w:val="0"/>
                    <w:spacing w:line="360" w:lineRule="auto"/>
                    <w:jc w:val="center"/>
                    <w:rPr>
                      <w:rFonts w:hint="default"/>
                      <w:color w:val="auto"/>
                      <w:szCs w:val="21"/>
                      <w:lang w:val="en-US" w:eastAsia="zh-CN"/>
                    </w:rPr>
                  </w:pPr>
                  <w:r>
                    <w:rPr>
                      <w:rFonts w:hint="eastAsia"/>
                      <w:color w:val="auto"/>
                      <w:szCs w:val="21"/>
                      <w:lang w:val="en-US" w:eastAsia="zh-CN"/>
                    </w:rPr>
                    <w:t>0.6936</w:t>
                  </w:r>
                </w:p>
              </w:tc>
            </w:tr>
            <w:tr w14:paraId="0E12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top"/>
                </w:tcPr>
                <w:p w14:paraId="01B3D418">
                  <w:pPr>
                    <w:adjustRightInd w:val="0"/>
                    <w:snapToGrid w:val="0"/>
                    <w:spacing w:line="360" w:lineRule="auto"/>
                    <w:jc w:val="center"/>
                    <w:rPr>
                      <w:color w:val="auto"/>
                      <w:szCs w:val="21"/>
                    </w:rPr>
                  </w:pPr>
                  <w:r>
                    <w:rPr>
                      <w:color w:val="auto"/>
                      <w:szCs w:val="21"/>
                    </w:rPr>
                    <w:t>排放口为项目排气筒，编号按照《固定污染源编码规则》进行编码</w:t>
                  </w:r>
                </w:p>
              </w:tc>
            </w:tr>
          </w:tbl>
          <w:p w14:paraId="351B33CB">
            <w:pPr>
              <w:snapToGrid w:val="0"/>
              <w:spacing w:line="360" w:lineRule="auto"/>
              <w:rPr>
                <w:b/>
                <w:bCs/>
                <w:color w:val="auto"/>
                <w:sz w:val="24"/>
                <w:highlight w:val="none"/>
              </w:rPr>
            </w:pPr>
            <w:r>
              <w:rPr>
                <w:rFonts w:hint="eastAsia"/>
                <w:b/>
                <w:bCs/>
                <w:color w:val="auto"/>
                <w:sz w:val="24"/>
                <w:highlight w:val="none"/>
              </w:rPr>
              <w:t>5、监测要求</w:t>
            </w:r>
          </w:p>
          <w:p w14:paraId="7423FEB0">
            <w:pPr>
              <w:widowControl/>
              <w:spacing w:line="360" w:lineRule="auto"/>
              <w:ind w:firstLine="480" w:firstLineChars="200"/>
              <w:rPr>
                <w:color w:val="auto"/>
                <w:sz w:val="24"/>
                <w:highlight w:val="none"/>
              </w:rPr>
            </w:pPr>
            <w:r>
              <w:rPr>
                <w:rFonts w:hint="eastAsia" w:ascii="宋体" w:hAnsi="宋体" w:cs="宋体"/>
                <w:color w:val="auto"/>
                <w:sz w:val="24"/>
                <w:highlight w:val="none"/>
              </w:rPr>
              <w:t>根据《排污单位自行监测</w:t>
            </w:r>
            <w:r>
              <w:rPr>
                <w:color w:val="auto"/>
                <w:sz w:val="24"/>
                <w:highlight w:val="none"/>
              </w:rPr>
              <w:t xml:space="preserve">技术指南 </w:t>
            </w:r>
            <w:r>
              <w:rPr>
                <w:rFonts w:hint="eastAsia"/>
                <w:color w:val="auto"/>
                <w:sz w:val="24"/>
                <w:highlight w:val="none"/>
                <w:lang w:eastAsia="zh-CN"/>
              </w:rPr>
              <w:t>火力发电及锅炉</w:t>
            </w:r>
            <w:r>
              <w:rPr>
                <w:color w:val="auto"/>
                <w:sz w:val="24"/>
                <w:highlight w:val="none"/>
              </w:rPr>
              <w:t>》（HJ820-2017）中表1</w:t>
            </w:r>
            <w:r>
              <w:rPr>
                <w:rFonts w:hint="eastAsia"/>
                <w:color w:val="auto"/>
                <w:sz w:val="24"/>
                <w:highlight w:val="none"/>
              </w:rPr>
              <w:t>有组织废气监测指标最低监测频次要求</w:t>
            </w:r>
            <w:r>
              <w:rPr>
                <w:color w:val="auto"/>
                <w:sz w:val="24"/>
                <w:highlight w:val="none"/>
              </w:rPr>
              <w:t>、表2</w:t>
            </w:r>
            <w:r>
              <w:rPr>
                <w:rFonts w:hint="eastAsia"/>
                <w:color w:val="auto"/>
                <w:sz w:val="24"/>
                <w:highlight w:val="none"/>
              </w:rPr>
              <w:t>无组织废气监测指标最低监测频次</w:t>
            </w:r>
            <w:r>
              <w:rPr>
                <w:color w:val="auto"/>
                <w:sz w:val="24"/>
                <w:highlight w:val="none"/>
              </w:rPr>
              <w:t>要求，</w:t>
            </w:r>
            <w:r>
              <w:rPr>
                <w:rFonts w:hint="eastAsia"/>
                <w:color w:val="auto"/>
                <w:sz w:val="24"/>
                <w:highlight w:val="none"/>
              </w:rPr>
              <w:t>本项目燃生物质</w:t>
            </w:r>
            <w:r>
              <w:rPr>
                <w:rFonts w:hint="eastAsia"/>
                <w:color w:val="auto"/>
                <w:sz w:val="24"/>
                <w:highlight w:val="none"/>
                <w:lang w:eastAsia="zh-CN"/>
              </w:rPr>
              <w:t>蒸汽发生器</w:t>
            </w:r>
            <w:r>
              <w:rPr>
                <w:rFonts w:hint="eastAsia"/>
                <w:color w:val="auto"/>
                <w:sz w:val="24"/>
                <w:highlight w:val="none"/>
              </w:rPr>
              <w:t>参照以燃油为燃料或燃气轮机组执行最低监测频次，</w:t>
            </w:r>
            <w:r>
              <w:rPr>
                <w:color w:val="auto"/>
                <w:kern w:val="0"/>
                <w:sz w:val="24"/>
                <w:highlight w:val="none"/>
                <w:lang w:bidi="ar"/>
              </w:rPr>
              <w:t>本项目废气污染源监测计划见下表。</w:t>
            </w:r>
          </w:p>
          <w:p w14:paraId="058F36B5">
            <w:pPr>
              <w:adjustRightInd w:val="0"/>
              <w:snapToGrid w:val="0"/>
              <w:spacing w:line="360" w:lineRule="auto"/>
              <w:ind w:firstLine="482" w:firstLineChars="200"/>
              <w:jc w:val="center"/>
              <w:rPr>
                <w:b/>
                <w:bCs/>
                <w:color w:val="auto"/>
                <w:kern w:val="24"/>
                <w:sz w:val="24"/>
                <w:highlight w:val="none"/>
                <w:lang w:val="zh-CN"/>
              </w:rPr>
            </w:pPr>
          </w:p>
          <w:p w14:paraId="24793550">
            <w:pPr>
              <w:adjustRightInd w:val="0"/>
              <w:snapToGrid w:val="0"/>
              <w:spacing w:line="360" w:lineRule="auto"/>
              <w:ind w:firstLine="482" w:firstLineChars="200"/>
              <w:jc w:val="center"/>
              <w:rPr>
                <w:b/>
                <w:bCs/>
                <w:color w:val="auto"/>
                <w:kern w:val="24"/>
                <w:sz w:val="24"/>
                <w:highlight w:val="none"/>
              </w:rPr>
            </w:pPr>
            <w:r>
              <w:rPr>
                <w:b/>
                <w:bCs/>
                <w:color w:val="auto"/>
                <w:kern w:val="24"/>
                <w:sz w:val="24"/>
                <w:highlight w:val="none"/>
                <w:lang w:val="zh-CN"/>
              </w:rPr>
              <w:t>表</w:t>
            </w:r>
            <w:r>
              <w:rPr>
                <w:b/>
                <w:bCs/>
                <w:color w:val="auto"/>
                <w:kern w:val="24"/>
                <w:sz w:val="24"/>
                <w:highlight w:val="none"/>
              </w:rPr>
              <w:t>4-</w:t>
            </w:r>
            <w:r>
              <w:rPr>
                <w:rFonts w:hint="eastAsia"/>
                <w:b/>
                <w:bCs/>
                <w:color w:val="auto"/>
                <w:kern w:val="24"/>
                <w:sz w:val="24"/>
                <w:highlight w:val="none"/>
                <w:lang w:val="en-US" w:eastAsia="zh-CN"/>
              </w:rPr>
              <w:t xml:space="preserve">11 </w:t>
            </w:r>
            <w:r>
              <w:rPr>
                <w:b/>
                <w:bCs/>
                <w:color w:val="auto"/>
                <w:kern w:val="24"/>
                <w:sz w:val="24"/>
                <w:highlight w:val="none"/>
              </w:rPr>
              <w:t xml:space="preserve"> </w:t>
            </w:r>
            <w:r>
              <w:rPr>
                <w:rFonts w:hint="eastAsia"/>
                <w:b/>
                <w:bCs/>
                <w:color w:val="auto"/>
                <w:kern w:val="24"/>
                <w:sz w:val="24"/>
                <w:highlight w:val="none"/>
              </w:rPr>
              <w:t>项目运营期废气</w:t>
            </w:r>
            <w:r>
              <w:rPr>
                <w:b/>
                <w:bCs/>
                <w:color w:val="auto"/>
                <w:kern w:val="24"/>
                <w:sz w:val="24"/>
                <w:highlight w:val="none"/>
              </w:rPr>
              <w:t>监测</w:t>
            </w:r>
            <w:r>
              <w:rPr>
                <w:rFonts w:hint="eastAsia"/>
                <w:b/>
                <w:bCs/>
                <w:color w:val="auto"/>
                <w:kern w:val="24"/>
                <w:sz w:val="24"/>
                <w:highlight w:val="none"/>
              </w:rPr>
              <w:t>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428"/>
              <w:gridCol w:w="1657"/>
              <w:gridCol w:w="1113"/>
              <w:gridCol w:w="3520"/>
            </w:tblGrid>
            <w:tr w14:paraId="5AFB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6DDEC634">
                  <w:pPr>
                    <w:jc w:val="center"/>
                    <w:rPr>
                      <w:color w:val="auto"/>
                      <w:szCs w:val="21"/>
                      <w:highlight w:val="none"/>
                    </w:rPr>
                  </w:pPr>
                  <w:r>
                    <w:rPr>
                      <w:rFonts w:hint="eastAsia"/>
                      <w:color w:val="auto"/>
                      <w:szCs w:val="21"/>
                      <w:highlight w:val="none"/>
                    </w:rPr>
                    <w:t>项目</w:t>
                  </w:r>
                </w:p>
              </w:tc>
              <w:tc>
                <w:tcPr>
                  <w:tcW w:w="1424" w:type="dxa"/>
                  <w:vAlign w:val="center"/>
                </w:tcPr>
                <w:p w14:paraId="07C2E753">
                  <w:pPr>
                    <w:jc w:val="center"/>
                    <w:rPr>
                      <w:color w:val="auto"/>
                      <w:szCs w:val="21"/>
                      <w:highlight w:val="none"/>
                    </w:rPr>
                  </w:pPr>
                  <w:r>
                    <w:rPr>
                      <w:rFonts w:hint="eastAsia"/>
                      <w:color w:val="auto"/>
                      <w:szCs w:val="21"/>
                      <w:highlight w:val="none"/>
                    </w:rPr>
                    <w:t>监测点位</w:t>
                  </w:r>
                </w:p>
              </w:tc>
              <w:tc>
                <w:tcPr>
                  <w:tcW w:w="1652" w:type="dxa"/>
                  <w:vAlign w:val="center"/>
                </w:tcPr>
                <w:p w14:paraId="5E4EE1FB">
                  <w:pPr>
                    <w:jc w:val="center"/>
                    <w:rPr>
                      <w:color w:val="auto"/>
                      <w:szCs w:val="21"/>
                      <w:highlight w:val="none"/>
                    </w:rPr>
                  </w:pPr>
                  <w:r>
                    <w:rPr>
                      <w:rFonts w:hint="eastAsia"/>
                      <w:color w:val="auto"/>
                      <w:szCs w:val="21"/>
                      <w:highlight w:val="none"/>
                    </w:rPr>
                    <w:t>监测因子</w:t>
                  </w:r>
                </w:p>
              </w:tc>
              <w:tc>
                <w:tcPr>
                  <w:tcW w:w="1110" w:type="dxa"/>
                  <w:vAlign w:val="center"/>
                </w:tcPr>
                <w:p w14:paraId="3624D954">
                  <w:pPr>
                    <w:jc w:val="center"/>
                    <w:rPr>
                      <w:color w:val="auto"/>
                      <w:szCs w:val="21"/>
                      <w:highlight w:val="none"/>
                    </w:rPr>
                  </w:pPr>
                  <w:r>
                    <w:rPr>
                      <w:rFonts w:hint="eastAsia"/>
                      <w:color w:val="auto"/>
                      <w:szCs w:val="21"/>
                      <w:highlight w:val="none"/>
                    </w:rPr>
                    <w:t>监测频次</w:t>
                  </w:r>
                </w:p>
              </w:tc>
              <w:tc>
                <w:tcPr>
                  <w:tcW w:w="3509" w:type="dxa"/>
                  <w:vAlign w:val="center"/>
                </w:tcPr>
                <w:p w14:paraId="14FD4FA7">
                  <w:pPr>
                    <w:jc w:val="center"/>
                    <w:rPr>
                      <w:color w:val="auto"/>
                      <w:szCs w:val="21"/>
                      <w:highlight w:val="none"/>
                    </w:rPr>
                  </w:pPr>
                  <w:r>
                    <w:rPr>
                      <w:rFonts w:hint="eastAsia"/>
                      <w:color w:val="auto"/>
                      <w:szCs w:val="21"/>
                      <w:highlight w:val="none"/>
                    </w:rPr>
                    <w:t>执行标准</w:t>
                  </w:r>
                </w:p>
              </w:tc>
            </w:tr>
            <w:tr w14:paraId="475F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30AA34E3">
                  <w:pPr>
                    <w:jc w:val="center"/>
                    <w:rPr>
                      <w:color w:val="auto"/>
                      <w:szCs w:val="21"/>
                      <w:highlight w:val="none"/>
                    </w:rPr>
                  </w:pPr>
                  <w:r>
                    <w:rPr>
                      <w:rFonts w:hint="eastAsia"/>
                      <w:color w:val="auto"/>
                      <w:szCs w:val="21"/>
                      <w:highlight w:val="none"/>
                    </w:rPr>
                    <w:t>有组织废气</w:t>
                  </w:r>
                </w:p>
              </w:tc>
              <w:tc>
                <w:tcPr>
                  <w:tcW w:w="1424" w:type="dxa"/>
                  <w:vAlign w:val="center"/>
                </w:tcPr>
                <w:p w14:paraId="427AA50A">
                  <w:pPr>
                    <w:jc w:val="center"/>
                    <w:rPr>
                      <w:color w:val="auto"/>
                      <w:szCs w:val="21"/>
                      <w:highlight w:val="none"/>
                    </w:rPr>
                  </w:pPr>
                  <w:r>
                    <w:rPr>
                      <w:rFonts w:hint="eastAsia"/>
                      <w:color w:val="auto"/>
                      <w:kern w:val="24"/>
                      <w:szCs w:val="21"/>
                      <w:highlight w:val="none"/>
                      <w:lang w:eastAsia="zh-CN"/>
                    </w:rPr>
                    <w:t>蒸汽发生器</w:t>
                  </w:r>
                  <w:r>
                    <w:rPr>
                      <w:rFonts w:hint="eastAsia"/>
                      <w:color w:val="auto"/>
                      <w:kern w:val="24"/>
                      <w:szCs w:val="21"/>
                      <w:highlight w:val="none"/>
                    </w:rPr>
                    <w:t>废气排放口（DA001）</w:t>
                  </w:r>
                </w:p>
              </w:tc>
              <w:tc>
                <w:tcPr>
                  <w:tcW w:w="1652" w:type="dxa"/>
                  <w:vAlign w:val="center"/>
                </w:tcPr>
                <w:p w14:paraId="09379579">
                  <w:pPr>
                    <w:jc w:val="center"/>
                    <w:rPr>
                      <w:color w:val="auto"/>
                      <w:szCs w:val="21"/>
                      <w:highlight w:val="none"/>
                    </w:rPr>
                  </w:pPr>
                  <w:r>
                    <w:rPr>
                      <w:color w:val="auto"/>
                      <w:kern w:val="0"/>
                      <w:szCs w:val="21"/>
                      <w:highlight w:val="none"/>
                      <w:lang w:bidi="ar"/>
                    </w:rPr>
                    <w:t>颗粒物、SO</w:t>
                  </w:r>
                  <w:r>
                    <w:rPr>
                      <w:color w:val="auto"/>
                      <w:kern w:val="0"/>
                      <w:szCs w:val="21"/>
                      <w:highlight w:val="none"/>
                      <w:vertAlign w:val="subscript"/>
                      <w:lang w:bidi="ar"/>
                    </w:rPr>
                    <w:t>2</w:t>
                  </w:r>
                  <w:r>
                    <w:rPr>
                      <w:color w:val="auto"/>
                      <w:kern w:val="0"/>
                      <w:szCs w:val="21"/>
                      <w:highlight w:val="none"/>
                      <w:lang w:bidi="ar"/>
                    </w:rPr>
                    <w:t>、NO</w:t>
                  </w:r>
                  <w:r>
                    <w:rPr>
                      <w:color w:val="auto"/>
                      <w:kern w:val="0"/>
                      <w:szCs w:val="21"/>
                      <w:highlight w:val="none"/>
                      <w:vertAlign w:val="subscript"/>
                      <w:lang w:bidi="ar"/>
                    </w:rPr>
                    <w:t>X</w:t>
                  </w:r>
                  <w:r>
                    <w:rPr>
                      <w:color w:val="auto"/>
                      <w:kern w:val="0"/>
                      <w:szCs w:val="21"/>
                      <w:highlight w:val="none"/>
                      <w:lang w:bidi="ar"/>
                    </w:rPr>
                    <w:t>、林格曼黑度</w:t>
                  </w:r>
                </w:p>
              </w:tc>
              <w:tc>
                <w:tcPr>
                  <w:tcW w:w="1110" w:type="dxa"/>
                  <w:vAlign w:val="center"/>
                </w:tcPr>
                <w:p w14:paraId="6B895639">
                  <w:pPr>
                    <w:jc w:val="center"/>
                    <w:rPr>
                      <w:color w:val="auto"/>
                      <w:szCs w:val="21"/>
                      <w:highlight w:val="none"/>
                    </w:rPr>
                  </w:pPr>
                  <w:r>
                    <w:rPr>
                      <w:rFonts w:hint="eastAsia"/>
                      <w:color w:val="auto"/>
                      <w:szCs w:val="21"/>
                      <w:highlight w:val="none"/>
                    </w:rPr>
                    <w:t>1次/月</w:t>
                  </w:r>
                </w:p>
              </w:tc>
              <w:tc>
                <w:tcPr>
                  <w:tcW w:w="3509" w:type="dxa"/>
                  <w:vAlign w:val="center"/>
                </w:tcPr>
                <w:p w14:paraId="3A0C9BF3">
                  <w:pPr>
                    <w:jc w:val="center"/>
                    <w:rPr>
                      <w:color w:val="auto"/>
                      <w:kern w:val="0"/>
                      <w:szCs w:val="21"/>
                      <w:highlight w:val="none"/>
                      <w:lang w:bidi="ar"/>
                    </w:rPr>
                  </w:pPr>
                  <w:r>
                    <w:rPr>
                      <w:color w:val="auto"/>
                      <w:kern w:val="0"/>
                      <w:szCs w:val="21"/>
                      <w:highlight w:val="none"/>
                      <w:lang w:bidi="ar"/>
                    </w:rPr>
                    <w:t>《</w:t>
                  </w:r>
                  <w:r>
                    <w:rPr>
                      <w:rFonts w:hint="eastAsia"/>
                      <w:color w:val="auto"/>
                      <w:kern w:val="0"/>
                      <w:szCs w:val="21"/>
                      <w:highlight w:val="none"/>
                      <w:lang w:eastAsia="zh-CN" w:bidi="ar"/>
                    </w:rPr>
                    <w:t>锅炉大气污染物排放标准</w:t>
                  </w:r>
                  <w:r>
                    <w:rPr>
                      <w:color w:val="auto"/>
                      <w:kern w:val="0"/>
                      <w:szCs w:val="21"/>
                      <w:highlight w:val="none"/>
                      <w:lang w:bidi="ar"/>
                    </w:rPr>
                    <w:t>》</w:t>
                  </w:r>
                </w:p>
                <w:p w14:paraId="6264064F">
                  <w:pPr>
                    <w:jc w:val="center"/>
                    <w:rPr>
                      <w:rFonts w:hint="eastAsia" w:eastAsia="宋体"/>
                      <w:color w:val="auto"/>
                      <w:highlight w:val="none"/>
                      <w:lang w:eastAsia="zh-CN"/>
                    </w:rPr>
                  </w:pPr>
                  <w:r>
                    <w:rPr>
                      <w:color w:val="auto"/>
                      <w:kern w:val="0"/>
                      <w:szCs w:val="21"/>
                      <w:highlight w:val="none"/>
                      <w:lang w:bidi="ar"/>
                    </w:rPr>
                    <w:t>（GB13271-2014）中新</w:t>
                  </w:r>
                  <w:r>
                    <w:rPr>
                      <w:rFonts w:hint="eastAsia"/>
                      <w:color w:val="auto"/>
                      <w:kern w:val="0"/>
                      <w:szCs w:val="21"/>
                      <w:highlight w:val="none"/>
                      <w:lang w:eastAsia="zh-CN" w:bidi="ar"/>
                    </w:rPr>
                    <w:t>建燃</w:t>
                  </w:r>
                  <w:r>
                    <w:rPr>
                      <w:rFonts w:hint="eastAsia"/>
                      <w:color w:val="auto"/>
                      <w:kern w:val="0"/>
                      <w:szCs w:val="21"/>
                      <w:highlight w:val="none"/>
                      <w:lang w:val="en-US" w:eastAsia="zh-CN" w:bidi="ar"/>
                    </w:rPr>
                    <w:t>煤</w:t>
                  </w:r>
                  <w:r>
                    <w:rPr>
                      <w:rFonts w:hint="eastAsia"/>
                      <w:color w:val="auto"/>
                      <w:kern w:val="0"/>
                      <w:szCs w:val="21"/>
                      <w:highlight w:val="none"/>
                      <w:lang w:eastAsia="zh-CN" w:bidi="ar"/>
                    </w:rPr>
                    <w:t>锅炉大气污染物排放限值</w:t>
                  </w:r>
                </w:p>
              </w:tc>
            </w:tr>
            <w:tr w14:paraId="036F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A110148">
                  <w:pPr>
                    <w:jc w:val="center"/>
                    <w:rPr>
                      <w:color w:val="auto"/>
                      <w:szCs w:val="21"/>
                      <w:highlight w:val="none"/>
                    </w:rPr>
                  </w:pPr>
                  <w:r>
                    <w:rPr>
                      <w:rFonts w:hint="eastAsia"/>
                      <w:color w:val="auto"/>
                      <w:szCs w:val="21"/>
                      <w:highlight w:val="none"/>
                    </w:rPr>
                    <w:t>无组织废气</w:t>
                  </w:r>
                </w:p>
              </w:tc>
              <w:tc>
                <w:tcPr>
                  <w:tcW w:w="1424" w:type="dxa"/>
                  <w:vAlign w:val="center"/>
                </w:tcPr>
                <w:p w14:paraId="1D52EB26">
                  <w:pPr>
                    <w:jc w:val="center"/>
                    <w:rPr>
                      <w:color w:val="auto"/>
                      <w:kern w:val="24"/>
                      <w:szCs w:val="21"/>
                      <w:highlight w:val="none"/>
                    </w:rPr>
                  </w:pPr>
                  <w:r>
                    <w:rPr>
                      <w:rFonts w:hint="eastAsia"/>
                      <w:color w:val="auto"/>
                      <w:szCs w:val="21"/>
                      <w:highlight w:val="none"/>
                    </w:rPr>
                    <w:t>厂界下风向</w:t>
                  </w:r>
                </w:p>
              </w:tc>
              <w:tc>
                <w:tcPr>
                  <w:tcW w:w="1652" w:type="dxa"/>
                  <w:vAlign w:val="center"/>
                </w:tcPr>
                <w:p w14:paraId="3A700764">
                  <w:pPr>
                    <w:jc w:val="center"/>
                    <w:rPr>
                      <w:rFonts w:eastAsiaTheme="minorEastAsia"/>
                      <w:color w:val="auto"/>
                      <w:kern w:val="24"/>
                      <w:szCs w:val="21"/>
                      <w:highlight w:val="none"/>
                    </w:rPr>
                  </w:pPr>
                  <w:r>
                    <w:rPr>
                      <w:rFonts w:eastAsiaTheme="minorEastAsia"/>
                      <w:color w:val="auto"/>
                      <w:kern w:val="24"/>
                      <w:szCs w:val="21"/>
                      <w:highlight w:val="none"/>
                    </w:rPr>
                    <w:t>颗粒物</w:t>
                  </w:r>
                </w:p>
              </w:tc>
              <w:tc>
                <w:tcPr>
                  <w:tcW w:w="1110" w:type="dxa"/>
                  <w:vAlign w:val="center"/>
                </w:tcPr>
                <w:p w14:paraId="66966DDE">
                  <w:pPr>
                    <w:jc w:val="center"/>
                    <w:rPr>
                      <w:color w:val="auto"/>
                      <w:szCs w:val="21"/>
                      <w:highlight w:val="none"/>
                    </w:rPr>
                  </w:pPr>
                  <w:r>
                    <w:rPr>
                      <w:color w:val="auto"/>
                      <w:kern w:val="0"/>
                      <w:szCs w:val="21"/>
                      <w:highlight w:val="none"/>
                      <w:lang w:bidi="ar"/>
                    </w:rPr>
                    <w:t>1次/季</w:t>
                  </w:r>
                  <w:r>
                    <w:rPr>
                      <w:rFonts w:hint="eastAsia"/>
                      <w:color w:val="auto"/>
                      <w:kern w:val="0"/>
                      <w:szCs w:val="21"/>
                      <w:highlight w:val="none"/>
                      <w:lang w:bidi="ar"/>
                    </w:rPr>
                    <w:t>度</w:t>
                  </w:r>
                </w:p>
              </w:tc>
              <w:tc>
                <w:tcPr>
                  <w:tcW w:w="3509" w:type="dxa"/>
                  <w:vAlign w:val="center"/>
                </w:tcPr>
                <w:p w14:paraId="64FC5FBF">
                  <w:pPr>
                    <w:jc w:val="center"/>
                    <w:rPr>
                      <w:color w:val="auto"/>
                      <w:szCs w:val="21"/>
                      <w:highlight w:val="none"/>
                    </w:rPr>
                  </w:pPr>
                  <w:r>
                    <w:rPr>
                      <w:rFonts w:hint="eastAsia"/>
                      <w:color w:val="auto"/>
                      <w:szCs w:val="21"/>
                      <w:highlight w:val="none"/>
                    </w:rPr>
                    <w:t>《大气污染物综合排放标准》（GB16297-1996）中表2无组织排放监控浓度限值</w:t>
                  </w:r>
                </w:p>
              </w:tc>
            </w:tr>
          </w:tbl>
          <w:p w14:paraId="60537455">
            <w:pPr>
              <w:pStyle w:val="25"/>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42" w:firstLineChars="200"/>
              <w:jc w:val="both"/>
              <w:textAlignment w:val="auto"/>
              <w:rPr>
                <w:rFonts w:hint="eastAsia" w:ascii="宋体" w:hAnsi="宋体" w:eastAsia="宋体" w:cs="宋体"/>
                <w:color w:val="auto"/>
                <w:lang w:val="en-US" w:eastAsia="zh-CN"/>
              </w:rPr>
            </w:pPr>
            <w:r>
              <w:rPr>
                <w:rFonts w:hint="eastAsia" w:ascii="宋体" w:hAnsi="宋体" w:cs="宋体"/>
                <w:b/>
                <w:bCs/>
                <w:color w:val="auto"/>
                <w:spacing w:val="-10"/>
                <w:sz w:val="24"/>
                <w:szCs w:val="24"/>
                <w:lang w:val="en-US" w:eastAsia="zh-CN"/>
              </w:rPr>
              <w:t>6</w:t>
            </w:r>
            <w:r>
              <w:rPr>
                <w:rFonts w:hint="eastAsia" w:ascii="宋体" w:hAnsi="宋体" w:eastAsia="宋体" w:cs="宋体"/>
                <w:b/>
                <w:bCs/>
                <w:color w:val="auto"/>
                <w:spacing w:val="-10"/>
                <w:sz w:val="24"/>
                <w:szCs w:val="24"/>
                <w:lang w:val="en-US" w:eastAsia="zh-CN"/>
              </w:rPr>
              <w:t>、结论</w:t>
            </w:r>
          </w:p>
          <w:p w14:paraId="0BF566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color w:val="auto"/>
                <w:kern w:val="0"/>
                <w:sz w:val="24"/>
                <w:szCs w:val="24"/>
                <w:highlight w:val="none"/>
                <w:lang w:val="en-US" w:eastAsia="zh-CN"/>
              </w:rPr>
              <w:t>根据《20</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val="en-US" w:eastAsia="zh-CN"/>
              </w:rPr>
              <w:t>年玉溪市环境状况公报》</w:t>
            </w:r>
            <w:r>
              <w:rPr>
                <w:rFonts w:hint="eastAsia" w:ascii="宋体" w:hAnsi="宋体" w:eastAsia="宋体" w:cs="宋体"/>
                <w:color w:val="auto"/>
                <w:sz w:val="24"/>
                <w:highlight w:val="none"/>
                <w:lang w:eastAsia="zh-CN"/>
              </w:rPr>
              <w:t>，</w:t>
            </w:r>
            <w:r>
              <w:rPr>
                <w:rFonts w:hint="eastAsia" w:ascii="宋体" w:hAnsi="宋体" w:eastAsia="宋体" w:cs="宋体"/>
                <w:color w:val="auto"/>
                <w:sz w:val="24"/>
              </w:rPr>
              <w:t>项目所在区域为大气环境质量达标区域。本次评价对项目废气产排量及达标排放进行了分析，根据对比分析，</w:t>
            </w:r>
            <w:r>
              <w:rPr>
                <w:rFonts w:hint="eastAsia" w:ascii="宋体" w:hAnsi="宋体" w:eastAsia="宋体" w:cs="宋体"/>
                <w:color w:val="auto"/>
                <w:sz w:val="24"/>
                <w:lang w:eastAsia="zh-CN"/>
              </w:rPr>
              <w:t>本项目已采用排污许可技术规范中的可行技术，</w:t>
            </w:r>
            <w:r>
              <w:rPr>
                <w:rFonts w:hint="eastAsia" w:ascii="宋体" w:hAnsi="宋体" w:eastAsia="宋体" w:cs="宋体"/>
                <w:color w:val="auto"/>
                <w:sz w:val="24"/>
              </w:rPr>
              <w:t>项目运营期主要大气污染物均能达标排放</w:t>
            </w:r>
            <w:r>
              <w:rPr>
                <w:rFonts w:hint="eastAsia" w:ascii="宋体" w:hAnsi="宋体" w:eastAsia="宋体" w:cs="宋体"/>
                <w:color w:val="auto"/>
                <w:sz w:val="24"/>
                <w:lang w:eastAsia="zh-CN"/>
              </w:rPr>
              <w:t>，因此</w:t>
            </w:r>
            <w:r>
              <w:rPr>
                <w:rFonts w:hint="eastAsia" w:ascii="宋体" w:hAnsi="宋体" w:eastAsia="宋体" w:cs="宋体"/>
                <w:color w:val="auto"/>
                <w:sz w:val="24"/>
              </w:rPr>
              <w:t>环境空气影响可接受。</w:t>
            </w:r>
          </w:p>
          <w:p w14:paraId="57516BCA">
            <w:pPr>
              <w:adjustRightInd w:val="0"/>
              <w:snapToGrid w:val="0"/>
              <w:spacing w:line="360" w:lineRule="auto"/>
              <w:jc w:val="left"/>
              <w:rPr>
                <w:b/>
                <w:bCs/>
                <w:color w:val="auto"/>
                <w:sz w:val="24"/>
                <w:highlight w:val="none"/>
              </w:rPr>
            </w:pPr>
            <w:r>
              <w:rPr>
                <w:rFonts w:hint="eastAsia"/>
                <w:b/>
                <w:bCs/>
                <w:color w:val="auto"/>
                <w:sz w:val="24"/>
                <w:highlight w:val="none"/>
                <w:lang w:val="en-US" w:eastAsia="zh-CN"/>
              </w:rPr>
              <w:t>三</w:t>
            </w:r>
            <w:r>
              <w:rPr>
                <w:rFonts w:hint="eastAsia"/>
                <w:b/>
                <w:bCs/>
                <w:color w:val="auto"/>
                <w:sz w:val="24"/>
                <w:highlight w:val="none"/>
              </w:rPr>
              <w:t>、运营期废水环境影响和保护措施</w:t>
            </w:r>
          </w:p>
          <w:p w14:paraId="0B1F0977">
            <w:pPr>
              <w:spacing w:line="360" w:lineRule="auto"/>
              <w:ind w:firstLine="482" w:firstLineChars="200"/>
              <w:rPr>
                <w:rFonts w:hAnsi="宋体" w:cs="宋体"/>
                <w:b/>
                <w:color w:val="auto"/>
                <w:sz w:val="24"/>
                <w:highlight w:val="none"/>
              </w:rPr>
            </w:pPr>
            <w:r>
              <w:rPr>
                <w:rFonts w:hint="eastAsia" w:hAnsi="宋体" w:cs="宋体"/>
                <w:b/>
                <w:color w:val="auto"/>
                <w:sz w:val="24"/>
                <w:highlight w:val="none"/>
              </w:rPr>
              <w:t>1、</w:t>
            </w:r>
            <w:r>
              <w:rPr>
                <w:rFonts w:hint="eastAsia"/>
                <w:b/>
                <w:bCs/>
                <w:color w:val="auto"/>
                <w:sz w:val="24"/>
                <w:highlight w:val="none"/>
              </w:rPr>
              <w:t>污染源源强核算</w:t>
            </w:r>
          </w:p>
          <w:p w14:paraId="577AF3F5">
            <w:pPr>
              <w:adjustRightInd w:val="0"/>
              <w:snapToGrid w:val="0"/>
              <w:spacing w:line="360" w:lineRule="auto"/>
              <w:ind w:firstLine="480" w:firstLineChars="200"/>
              <w:rPr>
                <w:rFonts w:hint="eastAsia"/>
                <w:color w:val="auto"/>
                <w:kern w:val="24"/>
                <w:sz w:val="24"/>
                <w:highlight w:val="none"/>
              </w:rPr>
            </w:pPr>
            <w:r>
              <w:rPr>
                <w:rFonts w:hint="eastAsia"/>
                <w:color w:val="auto"/>
                <w:kern w:val="24"/>
                <w:sz w:val="24"/>
                <w:highlight w:val="none"/>
              </w:rPr>
              <w:t>（1）生产废水</w:t>
            </w:r>
          </w:p>
          <w:p w14:paraId="12757933">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根据工程分析，本项目</w:t>
            </w:r>
            <w:r>
              <w:rPr>
                <w:rFonts w:hint="eastAsia"/>
                <w:color w:val="auto"/>
                <w:kern w:val="24"/>
                <w:sz w:val="24"/>
                <w:highlight w:val="none"/>
                <w:lang w:eastAsia="zh-CN"/>
              </w:rPr>
              <w:t>蒸汽发生器</w:t>
            </w:r>
            <w:r>
              <w:rPr>
                <w:rFonts w:hint="eastAsia"/>
                <w:color w:val="auto"/>
                <w:kern w:val="24"/>
                <w:sz w:val="24"/>
                <w:highlight w:val="none"/>
              </w:rPr>
              <w:t>运行过程中产生的废水主要</w:t>
            </w:r>
            <w:r>
              <w:rPr>
                <w:rFonts w:hint="eastAsia"/>
                <w:color w:val="auto"/>
                <w:kern w:val="24"/>
                <w:sz w:val="24"/>
                <w:highlight w:val="none"/>
                <w:lang w:val="en-US" w:eastAsia="zh-CN"/>
              </w:rPr>
              <w:t>为</w:t>
            </w:r>
            <w:r>
              <w:rPr>
                <w:rFonts w:hint="eastAsia"/>
                <w:color w:val="auto"/>
                <w:kern w:val="24"/>
                <w:sz w:val="24"/>
                <w:highlight w:val="none"/>
                <w:lang w:eastAsia="zh-CN"/>
              </w:rPr>
              <w:t>蒸汽发生器</w:t>
            </w:r>
            <w:r>
              <w:rPr>
                <w:rFonts w:hint="eastAsia"/>
                <w:color w:val="auto"/>
                <w:kern w:val="24"/>
                <w:sz w:val="24"/>
                <w:highlight w:val="none"/>
              </w:rPr>
              <w:t>排水及软水制备废水，</w:t>
            </w:r>
            <w:r>
              <w:rPr>
                <w:rFonts w:hint="eastAsia"/>
                <w:color w:val="auto"/>
                <w:kern w:val="24"/>
                <w:sz w:val="24"/>
                <w:highlight w:val="none"/>
                <w:lang w:eastAsia="zh-CN"/>
              </w:rPr>
              <w:t>蒸汽发生器</w:t>
            </w:r>
            <w:r>
              <w:rPr>
                <w:rFonts w:hint="eastAsia"/>
                <w:color w:val="auto"/>
                <w:kern w:val="24"/>
                <w:sz w:val="24"/>
                <w:highlight w:val="none"/>
              </w:rPr>
              <w:t>排污量为约</w:t>
            </w:r>
            <w:r>
              <w:rPr>
                <w:rFonts w:hint="eastAsia"/>
                <w:color w:val="auto"/>
                <w:kern w:val="24"/>
                <w:sz w:val="24"/>
                <w:highlight w:val="none"/>
                <w:lang w:val="en-US" w:eastAsia="zh-CN"/>
              </w:rPr>
              <w:t>0.6</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180</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/a，离子交换树脂再生废水产生量为</w:t>
            </w:r>
            <w:bookmarkStart w:id="33" w:name="_Hlk161927032"/>
            <w:r>
              <w:rPr>
                <w:rFonts w:hint="eastAsia"/>
                <w:color w:val="auto"/>
                <w:kern w:val="24"/>
                <w:sz w:val="24"/>
                <w:highlight w:val="none"/>
                <w:lang w:val="en-US" w:eastAsia="zh-CN"/>
              </w:rPr>
              <w:t>17.55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r>
              <w:rPr>
                <w:rFonts w:hint="eastAsia"/>
                <w:color w:val="auto"/>
                <w:kern w:val="24"/>
                <w:sz w:val="24"/>
                <w:highlight w:val="none"/>
                <w:lang w:val="en-US" w:eastAsia="zh-CN"/>
              </w:rPr>
              <w:t>1.35</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/次）</w:t>
            </w:r>
            <w:bookmarkEnd w:id="33"/>
            <w:r>
              <w:rPr>
                <w:rFonts w:hint="eastAsia"/>
                <w:color w:val="auto"/>
                <w:kern w:val="24"/>
                <w:sz w:val="24"/>
                <w:highlight w:val="none"/>
              </w:rPr>
              <w:t>。</w:t>
            </w:r>
            <w:bookmarkStart w:id="34" w:name="_Hlk161927049"/>
            <w:r>
              <w:rPr>
                <w:rFonts w:hint="eastAsia"/>
                <w:color w:val="auto"/>
                <w:kern w:val="24"/>
                <w:sz w:val="24"/>
                <w:highlight w:val="none"/>
                <w:lang w:val="en-US" w:eastAsia="zh-CN"/>
              </w:rPr>
              <w:t>废水</w:t>
            </w:r>
            <w:r>
              <w:rPr>
                <w:rFonts w:hint="eastAsia"/>
                <w:color w:val="auto"/>
                <w:kern w:val="24"/>
                <w:sz w:val="24"/>
                <w:highlight w:val="none"/>
              </w:rPr>
              <w:t>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后循环使用，不外排</w:t>
            </w:r>
            <w:r>
              <w:rPr>
                <w:rFonts w:hint="eastAsia"/>
                <w:color w:val="auto"/>
                <w:kern w:val="24"/>
                <w:sz w:val="24"/>
                <w:highlight w:val="none"/>
              </w:rPr>
              <w:t>。</w:t>
            </w:r>
          </w:p>
          <w:bookmarkEnd w:id="34"/>
          <w:p w14:paraId="696A4879">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根据中航检测（云南）有限公司2022年4月24日至25日对万方天然药物公司的蒸发器水质监测结果，见下表。该公司蒸发器燃料为生物质</w:t>
            </w:r>
            <w:r>
              <w:rPr>
                <w:rFonts w:hint="eastAsia"/>
                <w:color w:val="auto"/>
                <w:kern w:val="24"/>
                <w:sz w:val="24"/>
                <w:highlight w:val="none"/>
                <w:lang w:val="en-US" w:eastAsia="zh-CN"/>
              </w:rPr>
              <w:t>燃料</w:t>
            </w:r>
            <w:r>
              <w:rPr>
                <w:rFonts w:hint="eastAsia"/>
                <w:color w:val="auto"/>
                <w:kern w:val="24"/>
                <w:sz w:val="24"/>
                <w:highlight w:val="none"/>
              </w:rPr>
              <w:t>，也是采用阳离子交换树脂进行软水制备，同样使用NaCl溶液对树脂进行再生清洗，废水经沉淀池沉淀后外排。因此，引用监测数据具有可行性。</w:t>
            </w:r>
          </w:p>
          <w:p w14:paraId="3FD9FBFB">
            <w:pPr>
              <w:adjustRightInd w:val="0"/>
              <w:snapToGrid w:val="0"/>
              <w:spacing w:line="360" w:lineRule="auto"/>
              <w:jc w:val="center"/>
              <w:rPr>
                <w:b/>
                <w:color w:val="auto"/>
                <w:kern w:val="0"/>
                <w:sz w:val="24"/>
                <w:highlight w:val="none"/>
              </w:rPr>
            </w:pPr>
            <w:r>
              <w:rPr>
                <w:b/>
                <w:color w:val="auto"/>
                <w:kern w:val="0"/>
                <w:sz w:val="24"/>
                <w:highlight w:val="none"/>
              </w:rPr>
              <w:t>表4-</w:t>
            </w:r>
            <w:r>
              <w:rPr>
                <w:rFonts w:hint="eastAsia"/>
                <w:b/>
                <w:color w:val="auto"/>
                <w:kern w:val="0"/>
                <w:sz w:val="24"/>
                <w:highlight w:val="none"/>
                <w:lang w:val="en-US" w:eastAsia="zh-CN"/>
              </w:rPr>
              <w:t>12</w:t>
            </w:r>
            <w:r>
              <w:rPr>
                <w:b/>
                <w:color w:val="auto"/>
                <w:kern w:val="0"/>
                <w:sz w:val="24"/>
                <w:highlight w:val="none"/>
              </w:rPr>
              <w:t xml:space="preserve">  软水制备浓水监测结果一览表</w:t>
            </w:r>
          </w:p>
          <w:tbl>
            <w:tblPr>
              <w:tblStyle w:val="26"/>
              <w:tblW w:w="4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952"/>
              <w:gridCol w:w="1244"/>
              <w:gridCol w:w="804"/>
              <w:gridCol w:w="938"/>
              <w:gridCol w:w="843"/>
              <w:gridCol w:w="843"/>
              <w:gridCol w:w="843"/>
              <w:gridCol w:w="843"/>
              <w:gridCol w:w="844"/>
            </w:tblGrid>
            <w:tr w14:paraId="71E6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49" w:type="dxa"/>
                  <w:vMerge w:val="restart"/>
                  <w:tcMar>
                    <w:top w:w="0" w:type="dxa"/>
                    <w:left w:w="57" w:type="dxa"/>
                    <w:bottom w:w="0" w:type="dxa"/>
                    <w:right w:w="57" w:type="dxa"/>
                  </w:tcMar>
                  <w:vAlign w:val="center"/>
                </w:tcPr>
                <w:p w14:paraId="4AC096A8">
                  <w:pPr>
                    <w:widowControl/>
                    <w:jc w:val="center"/>
                    <w:rPr>
                      <w:color w:val="auto"/>
                      <w:kern w:val="0"/>
                      <w:szCs w:val="21"/>
                      <w:highlight w:val="none"/>
                    </w:rPr>
                  </w:pPr>
                  <w:r>
                    <w:rPr>
                      <w:color w:val="auto"/>
                      <w:kern w:val="0"/>
                      <w:szCs w:val="21"/>
                      <w:highlight w:val="none"/>
                    </w:rPr>
                    <w:t>监测项目</w:t>
                  </w:r>
                </w:p>
              </w:tc>
              <w:tc>
                <w:tcPr>
                  <w:tcW w:w="1240" w:type="dxa"/>
                  <w:vMerge w:val="restart"/>
                  <w:tcMar>
                    <w:top w:w="0" w:type="dxa"/>
                    <w:left w:w="57" w:type="dxa"/>
                    <w:bottom w:w="0" w:type="dxa"/>
                    <w:right w:w="57" w:type="dxa"/>
                  </w:tcMar>
                  <w:vAlign w:val="center"/>
                </w:tcPr>
                <w:p w14:paraId="748B6445">
                  <w:pPr>
                    <w:widowControl/>
                    <w:jc w:val="center"/>
                    <w:rPr>
                      <w:color w:val="auto"/>
                      <w:kern w:val="0"/>
                      <w:szCs w:val="21"/>
                      <w:highlight w:val="none"/>
                    </w:rPr>
                  </w:pPr>
                  <w:r>
                    <w:rPr>
                      <w:color w:val="auto"/>
                      <w:kern w:val="0"/>
                      <w:szCs w:val="21"/>
                      <w:highlight w:val="none"/>
                    </w:rPr>
                    <w:t>监测时间</w:t>
                  </w:r>
                </w:p>
              </w:tc>
              <w:tc>
                <w:tcPr>
                  <w:tcW w:w="802" w:type="dxa"/>
                  <w:vMerge w:val="restart"/>
                  <w:tcMar>
                    <w:top w:w="0" w:type="dxa"/>
                    <w:left w:w="57" w:type="dxa"/>
                    <w:bottom w:w="0" w:type="dxa"/>
                    <w:right w:w="57" w:type="dxa"/>
                  </w:tcMar>
                  <w:vAlign w:val="center"/>
                </w:tcPr>
                <w:p w14:paraId="73635FEC">
                  <w:pPr>
                    <w:jc w:val="center"/>
                    <w:rPr>
                      <w:color w:val="auto"/>
                      <w:kern w:val="0"/>
                      <w:szCs w:val="21"/>
                      <w:highlight w:val="none"/>
                    </w:rPr>
                  </w:pPr>
                  <w:r>
                    <w:rPr>
                      <w:color w:val="auto"/>
                      <w:kern w:val="0"/>
                      <w:szCs w:val="21"/>
                      <w:highlight w:val="none"/>
                    </w:rPr>
                    <w:t>检测项目</w:t>
                  </w:r>
                </w:p>
              </w:tc>
              <w:tc>
                <w:tcPr>
                  <w:tcW w:w="935" w:type="dxa"/>
                  <w:vMerge w:val="restart"/>
                  <w:tcMar>
                    <w:top w:w="0" w:type="dxa"/>
                    <w:left w:w="57" w:type="dxa"/>
                    <w:bottom w:w="0" w:type="dxa"/>
                    <w:right w:w="57" w:type="dxa"/>
                  </w:tcMar>
                  <w:vAlign w:val="center"/>
                </w:tcPr>
                <w:p w14:paraId="5DD2B8C6">
                  <w:pPr>
                    <w:jc w:val="center"/>
                    <w:rPr>
                      <w:color w:val="auto"/>
                      <w:kern w:val="0"/>
                      <w:szCs w:val="21"/>
                      <w:highlight w:val="none"/>
                    </w:rPr>
                  </w:pPr>
                  <w:r>
                    <w:rPr>
                      <w:color w:val="auto"/>
                      <w:szCs w:val="21"/>
                      <w:highlight w:val="none"/>
                    </w:rPr>
                    <w:t>单位</w:t>
                  </w:r>
                </w:p>
              </w:tc>
              <w:tc>
                <w:tcPr>
                  <w:tcW w:w="4205" w:type="dxa"/>
                  <w:gridSpan w:val="5"/>
                  <w:tcMar>
                    <w:top w:w="0" w:type="dxa"/>
                    <w:left w:w="57" w:type="dxa"/>
                    <w:bottom w:w="0" w:type="dxa"/>
                    <w:right w:w="57" w:type="dxa"/>
                  </w:tcMar>
                  <w:vAlign w:val="center"/>
                </w:tcPr>
                <w:p w14:paraId="15C08BC4">
                  <w:pPr>
                    <w:widowControl/>
                    <w:jc w:val="center"/>
                    <w:rPr>
                      <w:color w:val="auto"/>
                      <w:kern w:val="0"/>
                      <w:szCs w:val="21"/>
                      <w:highlight w:val="none"/>
                    </w:rPr>
                  </w:pPr>
                  <w:r>
                    <w:rPr>
                      <w:color w:val="auto"/>
                      <w:kern w:val="0"/>
                      <w:szCs w:val="21"/>
                      <w:highlight w:val="none"/>
                    </w:rPr>
                    <w:t>监测结果</w:t>
                  </w:r>
                </w:p>
              </w:tc>
            </w:tr>
            <w:tr w14:paraId="0CD0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49" w:type="dxa"/>
                  <w:vMerge w:val="continue"/>
                  <w:tcMar>
                    <w:top w:w="0" w:type="dxa"/>
                    <w:left w:w="57" w:type="dxa"/>
                    <w:bottom w:w="0" w:type="dxa"/>
                    <w:right w:w="57" w:type="dxa"/>
                  </w:tcMar>
                  <w:vAlign w:val="center"/>
                </w:tcPr>
                <w:p w14:paraId="0A30DE3B">
                  <w:pPr>
                    <w:widowControl/>
                    <w:jc w:val="center"/>
                    <w:rPr>
                      <w:color w:val="auto"/>
                      <w:szCs w:val="21"/>
                      <w:highlight w:val="none"/>
                    </w:rPr>
                  </w:pPr>
                </w:p>
              </w:tc>
              <w:tc>
                <w:tcPr>
                  <w:tcW w:w="1240" w:type="dxa"/>
                  <w:vMerge w:val="continue"/>
                  <w:tcMar>
                    <w:top w:w="0" w:type="dxa"/>
                    <w:left w:w="57" w:type="dxa"/>
                    <w:bottom w:w="0" w:type="dxa"/>
                    <w:right w:w="57" w:type="dxa"/>
                  </w:tcMar>
                  <w:vAlign w:val="center"/>
                </w:tcPr>
                <w:p w14:paraId="5CEEA258">
                  <w:pPr>
                    <w:widowControl/>
                    <w:jc w:val="center"/>
                    <w:rPr>
                      <w:color w:val="auto"/>
                      <w:szCs w:val="21"/>
                      <w:highlight w:val="none"/>
                    </w:rPr>
                  </w:pPr>
                </w:p>
              </w:tc>
              <w:tc>
                <w:tcPr>
                  <w:tcW w:w="802" w:type="dxa"/>
                  <w:vMerge w:val="continue"/>
                  <w:tcMar>
                    <w:top w:w="0" w:type="dxa"/>
                    <w:left w:w="57" w:type="dxa"/>
                    <w:bottom w:w="0" w:type="dxa"/>
                    <w:right w:w="57" w:type="dxa"/>
                  </w:tcMar>
                  <w:vAlign w:val="center"/>
                </w:tcPr>
                <w:p w14:paraId="12E0D056">
                  <w:pPr>
                    <w:widowControl/>
                    <w:jc w:val="center"/>
                    <w:rPr>
                      <w:color w:val="auto"/>
                      <w:szCs w:val="21"/>
                      <w:highlight w:val="none"/>
                    </w:rPr>
                  </w:pPr>
                </w:p>
              </w:tc>
              <w:tc>
                <w:tcPr>
                  <w:tcW w:w="935" w:type="dxa"/>
                  <w:vMerge w:val="continue"/>
                  <w:tcMar>
                    <w:top w:w="0" w:type="dxa"/>
                    <w:left w:w="57" w:type="dxa"/>
                    <w:bottom w:w="0" w:type="dxa"/>
                    <w:right w:w="57" w:type="dxa"/>
                  </w:tcMar>
                  <w:vAlign w:val="center"/>
                </w:tcPr>
                <w:p w14:paraId="0B1ACE06">
                  <w:pPr>
                    <w:widowControl/>
                    <w:jc w:val="center"/>
                    <w:rPr>
                      <w:color w:val="auto"/>
                      <w:szCs w:val="21"/>
                      <w:highlight w:val="none"/>
                    </w:rPr>
                  </w:pPr>
                </w:p>
              </w:tc>
              <w:tc>
                <w:tcPr>
                  <w:tcW w:w="841" w:type="dxa"/>
                  <w:tcMar>
                    <w:top w:w="0" w:type="dxa"/>
                    <w:left w:w="57" w:type="dxa"/>
                    <w:bottom w:w="0" w:type="dxa"/>
                    <w:right w:w="57" w:type="dxa"/>
                  </w:tcMar>
                  <w:vAlign w:val="center"/>
                </w:tcPr>
                <w:p w14:paraId="59B2EFA1">
                  <w:pPr>
                    <w:widowControl/>
                    <w:jc w:val="center"/>
                    <w:rPr>
                      <w:color w:val="auto"/>
                      <w:kern w:val="0"/>
                      <w:szCs w:val="21"/>
                      <w:highlight w:val="none"/>
                    </w:rPr>
                  </w:pPr>
                  <w:r>
                    <w:rPr>
                      <w:color w:val="auto"/>
                      <w:kern w:val="0"/>
                      <w:szCs w:val="21"/>
                      <w:highlight w:val="none"/>
                    </w:rPr>
                    <w:t>第一次</w:t>
                  </w:r>
                </w:p>
              </w:tc>
              <w:tc>
                <w:tcPr>
                  <w:tcW w:w="841" w:type="dxa"/>
                  <w:tcMar>
                    <w:top w:w="0" w:type="dxa"/>
                    <w:left w:w="57" w:type="dxa"/>
                    <w:bottom w:w="0" w:type="dxa"/>
                    <w:right w:w="57" w:type="dxa"/>
                  </w:tcMar>
                  <w:vAlign w:val="center"/>
                </w:tcPr>
                <w:p w14:paraId="47F566CE">
                  <w:pPr>
                    <w:widowControl/>
                    <w:jc w:val="center"/>
                    <w:rPr>
                      <w:color w:val="auto"/>
                      <w:kern w:val="0"/>
                      <w:szCs w:val="21"/>
                      <w:highlight w:val="none"/>
                    </w:rPr>
                  </w:pPr>
                  <w:r>
                    <w:rPr>
                      <w:color w:val="auto"/>
                      <w:kern w:val="0"/>
                      <w:szCs w:val="21"/>
                      <w:highlight w:val="none"/>
                    </w:rPr>
                    <w:t>第二次</w:t>
                  </w:r>
                </w:p>
              </w:tc>
              <w:tc>
                <w:tcPr>
                  <w:tcW w:w="841" w:type="dxa"/>
                  <w:tcMar>
                    <w:top w:w="0" w:type="dxa"/>
                    <w:left w:w="57" w:type="dxa"/>
                    <w:bottom w:w="0" w:type="dxa"/>
                    <w:right w:w="57" w:type="dxa"/>
                  </w:tcMar>
                  <w:vAlign w:val="center"/>
                </w:tcPr>
                <w:p w14:paraId="75B17C4A">
                  <w:pPr>
                    <w:widowControl/>
                    <w:jc w:val="center"/>
                    <w:rPr>
                      <w:color w:val="auto"/>
                      <w:kern w:val="0"/>
                      <w:szCs w:val="21"/>
                      <w:highlight w:val="none"/>
                    </w:rPr>
                  </w:pPr>
                  <w:r>
                    <w:rPr>
                      <w:color w:val="auto"/>
                      <w:kern w:val="0"/>
                      <w:szCs w:val="21"/>
                      <w:highlight w:val="none"/>
                    </w:rPr>
                    <w:t>第三次</w:t>
                  </w:r>
                </w:p>
              </w:tc>
              <w:tc>
                <w:tcPr>
                  <w:tcW w:w="841" w:type="dxa"/>
                  <w:tcMar>
                    <w:top w:w="0" w:type="dxa"/>
                    <w:left w:w="57" w:type="dxa"/>
                    <w:bottom w:w="0" w:type="dxa"/>
                    <w:right w:w="57" w:type="dxa"/>
                  </w:tcMar>
                  <w:vAlign w:val="center"/>
                </w:tcPr>
                <w:p w14:paraId="1A426746">
                  <w:pPr>
                    <w:widowControl/>
                    <w:jc w:val="center"/>
                    <w:rPr>
                      <w:color w:val="auto"/>
                      <w:kern w:val="0"/>
                      <w:szCs w:val="21"/>
                      <w:highlight w:val="none"/>
                    </w:rPr>
                  </w:pPr>
                  <w:r>
                    <w:rPr>
                      <w:color w:val="auto"/>
                      <w:kern w:val="0"/>
                      <w:szCs w:val="21"/>
                      <w:highlight w:val="none"/>
                    </w:rPr>
                    <w:t>第四次</w:t>
                  </w:r>
                </w:p>
              </w:tc>
              <w:tc>
                <w:tcPr>
                  <w:tcW w:w="841" w:type="dxa"/>
                  <w:tcMar>
                    <w:top w:w="0" w:type="dxa"/>
                    <w:left w:w="57" w:type="dxa"/>
                    <w:bottom w:w="0" w:type="dxa"/>
                    <w:right w:w="57" w:type="dxa"/>
                  </w:tcMar>
                  <w:vAlign w:val="center"/>
                </w:tcPr>
                <w:p w14:paraId="6DB20D11">
                  <w:pPr>
                    <w:widowControl/>
                    <w:jc w:val="center"/>
                    <w:rPr>
                      <w:color w:val="auto"/>
                      <w:kern w:val="0"/>
                      <w:szCs w:val="21"/>
                      <w:highlight w:val="none"/>
                    </w:rPr>
                  </w:pPr>
                  <w:r>
                    <w:rPr>
                      <w:color w:val="auto"/>
                      <w:kern w:val="0"/>
                      <w:szCs w:val="21"/>
                      <w:highlight w:val="none"/>
                    </w:rPr>
                    <w:t>平均值</w:t>
                  </w:r>
                </w:p>
              </w:tc>
            </w:tr>
            <w:tr w14:paraId="2597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restart"/>
                  <w:tcMar>
                    <w:top w:w="0" w:type="dxa"/>
                    <w:left w:w="57" w:type="dxa"/>
                    <w:bottom w:w="0" w:type="dxa"/>
                    <w:right w:w="57" w:type="dxa"/>
                  </w:tcMar>
                  <w:vAlign w:val="center"/>
                </w:tcPr>
                <w:p w14:paraId="06BD21FE">
                  <w:pPr>
                    <w:widowControl/>
                    <w:jc w:val="center"/>
                    <w:rPr>
                      <w:color w:val="auto"/>
                      <w:kern w:val="0"/>
                      <w:szCs w:val="21"/>
                      <w:highlight w:val="none"/>
                    </w:rPr>
                  </w:pPr>
                  <w:r>
                    <w:rPr>
                      <w:color w:val="auto"/>
                      <w:kern w:val="0"/>
                      <w:szCs w:val="21"/>
                      <w:highlight w:val="none"/>
                    </w:rPr>
                    <w:t>软水制备浓水水样</w:t>
                  </w:r>
                </w:p>
                <w:p w14:paraId="0DD0F150">
                  <w:pPr>
                    <w:widowControl/>
                    <w:jc w:val="center"/>
                    <w:rPr>
                      <w:color w:val="auto"/>
                      <w:kern w:val="0"/>
                      <w:szCs w:val="21"/>
                      <w:highlight w:val="none"/>
                    </w:rPr>
                  </w:pPr>
                </w:p>
              </w:tc>
              <w:tc>
                <w:tcPr>
                  <w:tcW w:w="1240" w:type="dxa"/>
                  <w:vMerge w:val="restart"/>
                  <w:tcMar>
                    <w:top w:w="0" w:type="dxa"/>
                    <w:left w:w="57" w:type="dxa"/>
                    <w:bottom w:w="0" w:type="dxa"/>
                    <w:right w:w="57" w:type="dxa"/>
                  </w:tcMar>
                  <w:vAlign w:val="center"/>
                </w:tcPr>
                <w:p w14:paraId="18ADEAF1">
                  <w:pPr>
                    <w:widowControl/>
                    <w:jc w:val="center"/>
                    <w:rPr>
                      <w:color w:val="auto"/>
                      <w:kern w:val="0"/>
                      <w:szCs w:val="21"/>
                      <w:highlight w:val="none"/>
                    </w:rPr>
                  </w:pPr>
                  <w:r>
                    <w:rPr>
                      <w:color w:val="auto"/>
                      <w:szCs w:val="21"/>
                      <w:highlight w:val="none"/>
                    </w:rPr>
                    <w:t>2022.4.24</w:t>
                  </w:r>
                </w:p>
              </w:tc>
              <w:tc>
                <w:tcPr>
                  <w:tcW w:w="802" w:type="dxa"/>
                  <w:tcMar>
                    <w:top w:w="0" w:type="dxa"/>
                    <w:left w:w="57" w:type="dxa"/>
                    <w:bottom w:w="0" w:type="dxa"/>
                    <w:right w:w="57" w:type="dxa"/>
                  </w:tcMar>
                  <w:vAlign w:val="center"/>
                </w:tcPr>
                <w:p w14:paraId="2B248092">
                  <w:pPr>
                    <w:jc w:val="center"/>
                    <w:rPr>
                      <w:color w:val="auto"/>
                      <w:kern w:val="0"/>
                      <w:szCs w:val="21"/>
                      <w:highlight w:val="none"/>
                    </w:rPr>
                  </w:pPr>
                  <w:r>
                    <w:rPr>
                      <w:color w:val="auto"/>
                      <w:kern w:val="0"/>
                      <w:szCs w:val="21"/>
                      <w:highlight w:val="none"/>
                    </w:rPr>
                    <w:t>pH</w:t>
                  </w:r>
                </w:p>
              </w:tc>
              <w:tc>
                <w:tcPr>
                  <w:tcW w:w="935" w:type="dxa"/>
                  <w:tcMar>
                    <w:top w:w="0" w:type="dxa"/>
                    <w:left w:w="57" w:type="dxa"/>
                    <w:bottom w:w="0" w:type="dxa"/>
                    <w:right w:w="57" w:type="dxa"/>
                  </w:tcMar>
                  <w:vAlign w:val="center"/>
                </w:tcPr>
                <w:p w14:paraId="6B35516F">
                  <w:pPr>
                    <w:jc w:val="center"/>
                    <w:rPr>
                      <w:color w:val="auto"/>
                      <w:kern w:val="0"/>
                      <w:szCs w:val="21"/>
                      <w:highlight w:val="none"/>
                    </w:rPr>
                  </w:pPr>
                  <w:r>
                    <w:rPr>
                      <w:color w:val="auto"/>
                      <w:szCs w:val="21"/>
                      <w:highlight w:val="none"/>
                    </w:rPr>
                    <w:t>无量纲</w:t>
                  </w:r>
                </w:p>
              </w:tc>
              <w:tc>
                <w:tcPr>
                  <w:tcW w:w="841" w:type="dxa"/>
                  <w:tcMar>
                    <w:top w:w="0" w:type="dxa"/>
                    <w:left w:w="57" w:type="dxa"/>
                    <w:bottom w:w="0" w:type="dxa"/>
                    <w:right w:w="57" w:type="dxa"/>
                  </w:tcMar>
                  <w:vAlign w:val="center"/>
                </w:tcPr>
                <w:p w14:paraId="6B330F2D">
                  <w:pPr>
                    <w:jc w:val="center"/>
                    <w:rPr>
                      <w:color w:val="auto"/>
                      <w:kern w:val="0"/>
                      <w:szCs w:val="21"/>
                      <w:highlight w:val="none"/>
                    </w:rPr>
                  </w:pPr>
                  <w:r>
                    <w:rPr>
                      <w:color w:val="auto"/>
                      <w:kern w:val="0"/>
                      <w:szCs w:val="21"/>
                      <w:highlight w:val="none"/>
                    </w:rPr>
                    <w:t>8.7</w:t>
                  </w:r>
                </w:p>
              </w:tc>
              <w:tc>
                <w:tcPr>
                  <w:tcW w:w="841" w:type="dxa"/>
                  <w:tcMar>
                    <w:top w:w="0" w:type="dxa"/>
                    <w:left w:w="57" w:type="dxa"/>
                    <w:bottom w:w="0" w:type="dxa"/>
                    <w:right w:w="57" w:type="dxa"/>
                  </w:tcMar>
                  <w:vAlign w:val="center"/>
                </w:tcPr>
                <w:p w14:paraId="7B87ED33">
                  <w:pPr>
                    <w:jc w:val="center"/>
                    <w:rPr>
                      <w:color w:val="auto"/>
                      <w:kern w:val="0"/>
                      <w:szCs w:val="21"/>
                      <w:highlight w:val="none"/>
                    </w:rPr>
                  </w:pPr>
                  <w:r>
                    <w:rPr>
                      <w:color w:val="auto"/>
                      <w:kern w:val="0"/>
                      <w:szCs w:val="21"/>
                      <w:highlight w:val="none"/>
                    </w:rPr>
                    <w:t>8.6</w:t>
                  </w:r>
                </w:p>
              </w:tc>
              <w:tc>
                <w:tcPr>
                  <w:tcW w:w="841" w:type="dxa"/>
                  <w:tcMar>
                    <w:top w:w="0" w:type="dxa"/>
                    <w:left w:w="57" w:type="dxa"/>
                    <w:bottom w:w="0" w:type="dxa"/>
                    <w:right w:w="57" w:type="dxa"/>
                  </w:tcMar>
                  <w:vAlign w:val="center"/>
                </w:tcPr>
                <w:p w14:paraId="24E00C0B">
                  <w:pPr>
                    <w:jc w:val="center"/>
                    <w:rPr>
                      <w:color w:val="auto"/>
                      <w:kern w:val="0"/>
                      <w:szCs w:val="21"/>
                      <w:highlight w:val="none"/>
                    </w:rPr>
                  </w:pPr>
                  <w:r>
                    <w:rPr>
                      <w:color w:val="auto"/>
                      <w:kern w:val="0"/>
                      <w:szCs w:val="21"/>
                      <w:highlight w:val="none"/>
                    </w:rPr>
                    <w:t>8.7</w:t>
                  </w:r>
                </w:p>
              </w:tc>
              <w:tc>
                <w:tcPr>
                  <w:tcW w:w="841" w:type="dxa"/>
                  <w:tcMar>
                    <w:top w:w="0" w:type="dxa"/>
                    <w:left w:w="57" w:type="dxa"/>
                    <w:bottom w:w="0" w:type="dxa"/>
                    <w:right w:w="57" w:type="dxa"/>
                  </w:tcMar>
                  <w:vAlign w:val="center"/>
                </w:tcPr>
                <w:p w14:paraId="7544C742">
                  <w:pPr>
                    <w:jc w:val="center"/>
                    <w:rPr>
                      <w:color w:val="auto"/>
                      <w:kern w:val="0"/>
                      <w:szCs w:val="21"/>
                      <w:highlight w:val="none"/>
                    </w:rPr>
                  </w:pPr>
                  <w:r>
                    <w:rPr>
                      <w:color w:val="auto"/>
                      <w:kern w:val="0"/>
                      <w:szCs w:val="21"/>
                      <w:highlight w:val="none"/>
                    </w:rPr>
                    <w:t>8.5</w:t>
                  </w:r>
                </w:p>
              </w:tc>
              <w:tc>
                <w:tcPr>
                  <w:tcW w:w="841" w:type="dxa"/>
                  <w:tcMar>
                    <w:top w:w="0" w:type="dxa"/>
                    <w:left w:w="57" w:type="dxa"/>
                    <w:bottom w:w="0" w:type="dxa"/>
                    <w:right w:w="57" w:type="dxa"/>
                  </w:tcMar>
                  <w:vAlign w:val="center"/>
                </w:tcPr>
                <w:p w14:paraId="05514B0E">
                  <w:pPr>
                    <w:widowControl/>
                    <w:jc w:val="center"/>
                    <w:textAlignment w:val="center"/>
                    <w:rPr>
                      <w:color w:val="auto"/>
                      <w:kern w:val="0"/>
                      <w:szCs w:val="21"/>
                      <w:highlight w:val="none"/>
                    </w:rPr>
                  </w:pPr>
                  <w:r>
                    <w:rPr>
                      <w:color w:val="auto"/>
                      <w:kern w:val="0"/>
                      <w:szCs w:val="21"/>
                      <w:highlight w:val="none"/>
                      <w:lang w:bidi="ar"/>
                    </w:rPr>
                    <w:t>8.6</w:t>
                  </w:r>
                </w:p>
              </w:tc>
            </w:tr>
            <w:tr w14:paraId="40A0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246DA069">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48F8841F">
                  <w:pPr>
                    <w:widowControl/>
                    <w:jc w:val="center"/>
                    <w:rPr>
                      <w:color w:val="auto"/>
                      <w:kern w:val="0"/>
                      <w:szCs w:val="21"/>
                      <w:highlight w:val="none"/>
                    </w:rPr>
                  </w:pPr>
                </w:p>
              </w:tc>
              <w:tc>
                <w:tcPr>
                  <w:tcW w:w="802" w:type="dxa"/>
                  <w:tcMar>
                    <w:top w:w="0" w:type="dxa"/>
                    <w:left w:w="57" w:type="dxa"/>
                    <w:bottom w:w="0" w:type="dxa"/>
                    <w:right w:w="57" w:type="dxa"/>
                  </w:tcMar>
                  <w:vAlign w:val="center"/>
                </w:tcPr>
                <w:p w14:paraId="58D79785">
                  <w:pPr>
                    <w:jc w:val="center"/>
                    <w:rPr>
                      <w:color w:val="auto"/>
                      <w:kern w:val="0"/>
                      <w:szCs w:val="21"/>
                      <w:highlight w:val="none"/>
                      <w:vertAlign w:val="subscript"/>
                    </w:rPr>
                  </w:pPr>
                  <w:r>
                    <w:rPr>
                      <w:color w:val="auto"/>
                      <w:kern w:val="0"/>
                      <w:szCs w:val="21"/>
                      <w:highlight w:val="none"/>
                    </w:rPr>
                    <w:t>BOD</w:t>
                  </w:r>
                  <w:r>
                    <w:rPr>
                      <w:color w:val="auto"/>
                      <w:kern w:val="0"/>
                      <w:szCs w:val="21"/>
                      <w:highlight w:val="none"/>
                      <w:vertAlign w:val="subscript"/>
                    </w:rPr>
                    <w:t>5</w:t>
                  </w:r>
                </w:p>
              </w:tc>
              <w:tc>
                <w:tcPr>
                  <w:tcW w:w="935" w:type="dxa"/>
                  <w:tcMar>
                    <w:top w:w="0" w:type="dxa"/>
                    <w:left w:w="57" w:type="dxa"/>
                    <w:bottom w:w="0" w:type="dxa"/>
                    <w:right w:w="57" w:type="dxa"/>
                  </w:tcMar>
                  <w:vAlign w:val="center"/>
                </w:tcPr>
                <w:p w14:paraId="794EEC24">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7EAC5972">
                  <w:pPr>
                    <w:jc w:val="center"/>
                    <w:rPr>
                      <w:color w:val="auto"/>
                      <w:kern w:val="0"/>
                      <w:szCs w:val="21"/>
                      <w:highlight w:val="none"/>
                    </w:rPr>
                  </w:pPr>
                  <w:r>
                    <w:rPr>
                      <w:color w:val="auto"/>
                      <w:kern w:val="0"/>
                      <w:szCs w:val="21"/>
                      <w:highlight w:val="none"/>
                    </w:rPr>
                    <w:t>2.8</w:t>
                  </w:r>
                </w:p>
              </w:tc>
              <w:tc>
                <w:tcPr>
                  <w:tcW w:w="841" w:type="dxa"/>
                  <w:tcMar>
                    <w:top w:w="0" w:type="dxa"/>
                    <w:left w:w="57" w:type="dxa"/>
                    <w:bottom w:w="0" w:type="dxa"/>
                    <w:right w:w="57" w:type="dxa"/>
                  </w:tcMar>
                  <w:vAlign w:val="center"/>
                </w:tcPr>
                <w:p w14:paraId="0EA040ED">
                  <w:pPr>
                    <w:jc w:val="center"/>
                    <w:rPr>
                      <w:color w:val="auto"/>
                      <w:kern w:val="0"/>
                      <w:szCs w:val="21"/>
                      <w:highlight w:val="none"/>
                    </w:rPr>
                  </w:pPr>
                  <w:r>
                    <w:rPr>
                      <w:color w:val="auto"/>
                      <w:kern w:val="0"/>
                      <w:szCs w:val="21"/>
                      <w:highlight w:val="none"/>
                    </w:rPr>
                    <w:t>2.4</w:t>
                  </w:r>
                </w:p>
              </w:tc>
              <w:tc>
                <w:tcPr>
                  <w:tcW w:w="841" w:type="dxa"/>
                  <w:tcMar>
                    <w:top w:w="0" w:type="dxa"/>
                    <w:left w:w="57" w:type="dxa"/>
                    <w:bottom w:w="0" w:type="dxa"/>
                    <w:right w:w="57" w:type="dxa"/>
                  </w:tcMar>
                  <w:vAlign w:val="center"/>
                </w:tcPr>
                <w:p w14:paraId="1D0AF036">
                  <w:pPr>
                    <w:jc w:val="center"/>
                    <w:rPr>
                      <w:color w:val="auto"/>
                      <w:kern w:val="0"/>
                      <w:szCs w:val="21"/>
                      <w:highlight w:val="none"/>
                    </w:rPr>
                  </w:pPr>
                  <w:r>
                    <w:rPr>
                      <w:color w:val="auto"/>
                      <w:kern w:val="0"/>
                      <w:szCs w:val="21"/>
                      <w:highlight w:val="none"/>
                    </w:rPr>
                    <w:t>3.0</w:t>
                  </w:r>
                </w:p>
              </w:tc>
              <w:tc>
                <w:tcPr>
                  <w:tcW w:w="841" w:type="dxa"/>
                  <w:tcMar>
                    <w:top w:w="0" w:type="dxa"/>
                    <w:left w:w="57" w:type="dxa"/>
                    <w:bottom w:w="0" w:type="dxa"/>
                    <w:right w:w="57" w:type="dxa"/>
                  </w:tcMar>
                  <w:vAlign w:val="center"/>
                </w:tcPr>
                <w:p w14:paraId="44BED058">
                  <w:pPr>
                    <w:jc w:val="center"/>
                    <w:rPr>
                      <w:color w:val="auto"/>
                      <w:kern w:val="0"/>
                      <w:szCs w:val="21"/>
                      <w:highlight w:val="none"/>
                    </w:rPr>
                  </w:pPr>
                  <w:r>
                    <w:rPr>
                      <w:color w:val="auto"/>
                      <w:kern w:val="0"/>
                      <w:szCs w:val="21"/>
                      <w:highlight w:val="none"/>
                    </w:rPr>
                    <w:t>2.8</w:t>
                  </w:r>
                </w:p>
              </w:tc>
              <w:tc>
                <w:tcPr>
                  <w:tcW w:w="841" w:type="dxa"/>
                  <w:tcMar>
                    <w:top w:w="0" w:type="dxa"/>
                    <w:left w:w="57" w:type="dxa"/>
                    <w:bottom w:w="0" w:type="dxa"/>
                    <w:right w:w="57" w:type="dxa"/>
                  </w:tcMar>
                  <w:vAlign w:val="center"/>
                </w:tcPr>
                <w:p w14:paraId="68119BD6">
                  <w:pPr>
                    <w:widowControl/>
                    <w:jc w:val="center"/>
                    <w:textAlignment w:val="center"/>
                    <w:rPr>
                      <w:color w:val="auto"/>
                      <w:kern w:val="0"/>
                      <w:szCs w:val="21"/>
                      <w:highlight w:val="none"/>
                    </w:rPr>
                  </w:pPr>
                  <w:r>
                    <w:rPr>
                      <w:color w:val="auto"/>
                      <w:kern w:val="0"/>
                      <w:szCs w:val="21"/>
                      <w:highlight w:val="none"/>
                      <w:lang w:bidi="ar"/>
                    </w:rPr>
                    <w:t>2.75</w:t>
                  </w:r>
                </w:p>
              </w:tc>
            </w:tr>
            <w:tr w14:paraId="03BF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4B9D2D2C">
                  <w:pPr>
                    <w:jc w:val="center"/>
                    <w:rPr>
                      <w:color w:val="auto"/>
                      <w:szCs w:val="21"/>
                      <w:highlight w:val="none"/>
                    </w:rPr>
                  </w:pPr>
                </w:p>
              </w:tc>
              <w:tc>
                <w:tcPr>
                  <w:tcW w:w="1240" w:type="dxa"/>
                  <w:vMerge w:val="continue"/>
                  <w:tcMar>
                    <w:top w:w="0" w:type="dxa"/>
                    <w:left w:w="57" w:type="dxa"/>
                    <w:bottom w:w="0" w:type="dxa"/>
                    <w:right w:w="57" w:type="dxa"/>
                  </w:tcMar>
                  <w:vAlign w:val="center"/>
                </w:tcPr>
                <w:p w14:paraId="59D5A5C9">
                  <w:pPr>
                    <w:jc w:val="center"/>
                    <w:rPr>
                      <w:color w:val="auto"/>
                      <w:szCs w:val="21"/>
                      <w:highlight w:val="none"/>
                    </w:rPr>
                  </w:pPr>
                </w:p>
              </w:tc>
              <w:tc>
                <w:tcPr>
                  <w:tcW w:w="802" w:type="dxa"/>
                  <w:tcMar>
                    <w:top w:w="0" w:type="dxa"/>
                    <w:left w:w="57" w:type="dxa"/>
                    <w:bottom w:w="0" w:type="dxa"/>
                    <w:right w:w="57" w:type="dxa"/>
                  </w:tcMar>
                  <w:vAlign w:val="center"/>
                </w:tcPr>
                <w:p w14:paraId="25345C69">
                  <w:pPr>
                    <w:jc w:val="center"/>
                    <w:rPr>
                      <w:color w:val="auto"/>
                      <w:kern w:val="0"/>
                      <w:szCs w:val="21"/>
                      <w:highlight w:val="none"/>
                    </w:rPr>
                  </w:pPr>
                  <w:r>
                    <w:rPr>
                      <w:color w:val="auto"/>
                      <w:kern w:val="0"/>
                      <w:szCs w:val="21"/>
                      <w:highlight w:val="none"/>
                    </w:rPr>
                    <w:t>COD</w:t>
                  </w:r>
                </w:p>
              </w:tc>
              <w:tc>
                <w:tcPr>
                  <w:tcW w:w="935" w:type="dxa"/>
                  <w:tcMar>
                    <w:top w:w="0" w:type="dxa"/>
                    <w:left w:w="57" w:type="dxa"/>
                    <w:bottom w:w="0" w:type="dxa"/>
                    <w:right w:w="57" w:type="dxa"/>
                  </w:tcMar>
                  <w:vAlign w:val="center"/>
                </w:tcPr>
                <w:p w14:paraId="27D8A69A">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38F4B9FC">
                  <w:pPr>
                    <w:jc w:val="center"/>
                    <w:rPr>
                      <w:color w:val="auto"/>
                      <w:kern w:val="0"/>
                      <w:szCs w:val="21"/>
                      <w:highlight w:val="none"/>
                    </w:rPr>
                  </w:pPr>
                  <w:r>
                    <w:rPr>
                      <w:color w:val="auto"/>
                      <w:kern w:val="0"/>
                      <w:szCs w:val="21"/>
                      <w:highlight w:val="none"/>
                    </w:rPr>
                    <w:t>9</w:t>
                  </w:r>
                </w:p>
              </w:tc>
              <w:tc>
                <w:tcPr>
                  <w:tcW w:w="841" w:type="dxa"/>
                  <w:tcMar>
                    <w:top w:w="0" w:type="dxa"/>
                    <w:left w:w="57" w:type="dxa"/>
                    <w:bottom w:w="0" w:type="dxa"/>
                    <w:right w:w="57" w:type="dxa"/>
                  </w:tcMar>
                  <w:vAlign w:val="center"/>
                </w:tcPr>
                <w:p w14:paraId="22EC2528">
                  <w:pPr>
                    <w:jc w:val="center"/>
                    <w:rPr>
                      <w:color w:val="auto"/>
                      <w:kern w:val="0"/>
                      <w:szCs w:val="21"/>
                      <w:highlight w:val="none"/>
                    </w:rPr>
                  </w:pPr>
                  <w:r>
                    <w:rPr>
                      <w:color w:val="auto"/>
                      <w:kern w:val="0"/>
                      <w:szCs w:val="21"/>
                      <w:highlight w:val="none"/>
                    </w:rPr>
                    <w:t>8</w:t>
                  </w:r>
                </w:p>
              </w:tc>
              <w:tc>
                <w:tcPr>
                  <w:tcW w:w="841" w:type="dxa"/>
                  <w:tcMar>
                    <w:top w:w="0" w:type="dxa"/>
                    <w:left w:w="57" w:type="dxa"/>
                    <w:bottom w:w="0" w:type="dxa"/>
                    <w:right w:w="57" w:type="dxa"/>
                  </w:tcMar>
                  <w:vAlign w:val="center"/>
                </w:tcPr>
                <w:p w14:paraId="1D906145">
                  <w:pPr>
                    <w:jc w:val="center"/>
                    <w:rPr>
                      <w:color w:val="auto"/>
                      <w:kern w:val="0"/>
                      <w:szCs w:val="21"/>
                      <w:highlight w:val="none"/>
                    </w:rPr>
                  </w:pPr>
                  <w:r>
                    <w:rPr>
                      <w:color w:val="auto"/>
                      <w:kern w:val="0"/>
                      <w:szCs w:val="21"/>
                      <w:highlight w:val="none"/>
                    </w:rPr>
                    <w:t>11</w:t>
                  </w:r>
                </w:p>
              </w:tc>
              <w:tc>
                <w:tcPr>
                  <w:tcW w:w="841" w:type="dxa"/>
                  <w:tcMar>
                    <w:top w:w="0" w:type="dxa"/>
                    <w:left w:w="57" w:type="dxa"/>
                    <w:bottom w:w="0" w:type="dxa"/>
                    <w:right w:w="57" w:type="dxa"/>
                  </w:tcMar>
                  <w:vAlign w:val="center"/>
                </w:tcPr>
                <w:p w14:paraId="0729D7FE">
                  <w:pPr>
                    <w:jc w:val="center"/>
                    <w:rPr>
                      <w:color w:val="auto"/>
                      <w:kern w:val="0"/>
                      <w:szCs w:val="21"/>
                      <w:highlight w:val="none"/>
                    </w:rPr>
                  </w:pPr>
                  <w:r>
                    <w:rPr>
                      <w:color w:val="auto"/>
                      <w:kern w:val="0"/>
                      <w:szCs w:val="21"/>
                      <w:highlight w:val="none"/>
                    </w:rPr>
                    <w:t>9</w:t>
                  </w:r>
                </w:p>
              </w:tc>
              <w:tc>
                <w:tcPr>
                  <w:tcW w:w="841" w:type="dxa"/>
                  <w:tcMar>
                    <w:top w:w="0" w:type="dxa"/>
                    <w:left w:w="57" w:type="dxa"/>
                    <w:bottom w:w="0" w:type="dxa"/>
                    <w:right w:w="57" w:type="dxa"/>
                  </w:tcMar>
                  <w:vAlign w:val="center"/>
                </w:tcPr>
                <w:p w14:paraId="52E18185">
                  <w:pPr>
                    <w:widowControl/>
                    <w:jc w:val="center"/>
                    <w:textAlignment w:val="center"/>
                    <w:rPr>
                      <w:color w:val="auto"/>
                      <w:kern w:val="0"/>
                      <w:szCs w:val="21"/>
                      <w:highlight w:val="none"/>
                    </w:rPr>
                  </w:pPr>
                  <w:r>
                    <w:rPr>
                      <w:color w:val="auto"/>
                      <w:kern w:val="0"/>
                      <w:szCs w:val="21"/>
                      <w:highlight w:val="none"/>
                      <w:lang w:bidi="ar"/>
                    </w:rPr>
                    <w:t>9.25</w:t>
                  </w:r>
                </w:p>
              </w:tc>
            </w:tr>
            <w:tr w14:paraId="27B0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4AC3A02F">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0ECDA719">
                  <w:pPr>
                    <w:widowControl/>
                    <w:jc w:val="center"/>
                    <w:rPr>
                      <w:color w:val="auto"/>
                      <w:kern w:val="0"/>
                      <w:szCs w:val="21"/>
                      <w:highlight w:val="none"/>
                    </w:rPr>
                  </w:pPr>
                </w:p>
              </w:tc>
              <w:tc>
                <w:tcPr>
                  <w:tcW w:w="802" w:type="dxa"/>
                  <w:tcMar>
                    <w:top w:w="0" w:type="dxa"/>
                    <w:left w:w="57" w:type="dxa"/>
                    <w:bottom w:w="0" w:type="dxa"/>
                    <w:right w:w="57" w:type="dxa"/>
                  </w:tcMar>
                  <w:vAlign w:val="center"/>
                </w:tcPr>
                <w:p w14:paraId="1B8859FC">
                  <w:pPr>
                    <w:jc w:val="center"/>
                    <w:rPr>
                      <w:color w:val="auto"/>
                      <w:kern w:val="0"/>
                      <w:szCs w:val="21"/>
                      <w:highlight w:val="none"/>
                    </w:rPr>
                  </w:pPr>
                  <w:r>
                    <w:rPr>
                      <w:color w:val="auto"/>
                      <w:kern w:val="0"/>
                      <w:szCs w:val="21"/>
                      <w:highlight w:val="none"/>
                    </w:rPr>
                    <w:t>氨氮</w:t>
                  </w:r>
                </w:p>
              </w:tc>
              <w:tc>
                <w:tcPr>
                  <w:tcW w:w="935" w:type="dxa"/>
                  <w:tcMar>
                    <w:top w:w="0" w:type="dxa"/>
                    <w:left w:w="57" w:type="dxa"/>
                    <w:bottom w:w="0" w:type="dxa"/>
                    <w:right w:w="57" w:type="dxa"/>
                  </w:tcMar>
                  <w:vAlign w:val="center"/>
                </w:tcPr>
                <w:p w14:paraId="29984980">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286898D1">
                  <w:pPr>
                    <w:jc w:val="center"/>
                    <w:rPr>
                      <w:color w:val="auto"/>
                      <w:kern w:val="0"/>
                      <w:szCs w:val="21"/>
                      <w:highlight w:val="none"/>
                    </w:rPr>
                  </w:pPr>
                  <w:r>
                    <w:rPr>
                      <w:color w:val="auto"/>
                      <w:kern w:val="0"/>
                      <w:szCs w:val="21"/>
                      <w:highlight w:val="none"/>
                    </w:rPr>
                    <w:t>0.028</w:t>
                  </w:r>
                </w:p>
              </w:tc>
              <w:tc>
                <w:tcPr>
                  <w:tcW w:w="841" w:type="dxa"/>
                  <w:tcMar>
                    <w:top w:w="0" w:type="dxa"/>
                    <w:left w:w="57" w:type="dxa"/>
                    <w:bottom w:w="0" w:type="dxa"/>
                    <w:right w:w="57" w:type="dxa"/>
                  </w:tcMar>
                  <w:vAlign w:val="center"/>
                </w:tcPr>
                <w:p w14:paraId="654F77BB">
                  <w:pPr>
                    <w:jc w:val="center"/>
                    <w:rPr>
                      <w:color w:val="auto"/>
                      <w:kern w:val="0"/>
                      <w:szCs w:val="21"/>
                      <w:highlight w:val="none"/>
                    </w:rPr>
                  </w:pPr>
                  <w:r>
                    <w:rPr>
                      <w:color w:val="auto"/>
                      <w:kern w:val="0"/>
                      <w:szCs w:val="21"/>
                      <w:highlight w:val="none"/>
                    </w:rPr>
                    <w:t>0.032</w:t>
                  </w:r>
                </w:p>
              </w:tc>
              <w:tc>
                <w:tcPr>
                  <w:tcW w:w="841" w:type="dxa"/>
                  <w:tcMar>
                    <w:top w:w="0" w:type="dxa"/>
                    <w:left w:w="57" w:type="dxa"/>
                    <w:bottom w:w="0" w:type="dxa"/>
                    <w:right w:w="57" w:type="dxa"/>
                  </w:tcMar>
                  <w:vAlign w:val="center"/>
                </w:tcPr>
                <w:p w14:paraId="2ECA6942">
                  <w:pPr>
                    <w:jc w:val="center"/>
                    <w:rPr>
                      <w:color w:val="auto"/>
                      <w:kern w:val="0"/>
                      <w:szCs w:val="21"/>
                      <w:highlight w:val="none"/>
                    </w:rPr>
                  </w:pPr>
                  <w:r>
                    <w:rPr>
                      <w:color w:val="auto"/>
                      <w:kern w:val="0"/>
                      <w:szCs w:val="21"/>
                      <w:highlight w:val="none"/>
                    </w:rPr>
                    <w:t>0.027</w:t>
                  </w:r>
                </w:p>
              </w:tc>
              <w:tc>
                <w:tcPr>
                  <w:tcW w:w="841" w:type="dxa"/>
                  <w:tcMar>
                    <w:top w:w="0" w:type="dxa"/>
                    <w:left w:w="57" w:type="dxa"/>
                    <w:bottom w:w="0" w:type="dxa"/>
                    <w:right w:w="57" w:type="dxa"/>
                  </w:tcMar>
                  <w:vAlign w:val="center"/>
                </w:tcPr>
                <w:p w14:paraId="31F3A077">
                  <w:pPr>
                    <w:jc w:val="center"/>
                    <w:rPr>
                      <w:color w:val="auto"/>
                      <w:kern w:val="0"/>
                      <w:szCs w:val="21"/>
                      <w:highlight w:val="none"/>
                    </w:rPr>
                  </w:pPr>
                  <w:r>
                    <w:rPr>
                      <w:color w:val="auto"/>
                      <w:kern w:val="0"/>
                      <w:szCs w:val="21"/>
                      <w:highlight w:val="none"/>
                    </w:rPr>
                    <w:t>0.024</w:t>
                  </w:r>
                </w:p>
              </w:tc>
              <w:tc>
                <w:tcPr>
                  <w:tcW w:w="841" w:type="dxa"/>
                  <w:tcMar>
                    <w:top w:w="0" w:type="dxa"/>
                    <w:left w:w="57" w:type="dxa"/>
                    <w:bottom w:w="0" w:type="dxa"/>
                    <w:right w:w="57" w:type="dxa"/>
                  </w:tcMar>
                  <w:vAlign w:val="center"/>
                </w:tcPr>
                <w:p w14:paraId="25A41C0A">
                  <w:pPr>
                    <w:widowControl/>
                    <w:jc w:val="center"/>
                    <w:textAlignment w:val="center"/>
                    <w:rPr>
                      <w:color w:val="auto"/>
                      <w:kern w:val="0"/>
                      <w:szCs w:val="21"/>
                      <w:highlight w:val="none"/>
                    </w:rPr>
                  </w:pPr>
                  <w:r>
                    <w:rPr>
                      <w:color w:val="auto"/>
                      <w:kern w:val="0"/>
                      <w:szCs w:val="21"/>
                      <w:highlight w:val="none"/>
                      <w:lang w:bidi="ar"/>
                    </w:rPr>
                    <w:t>0.028</w:t>
                  </w:r>
                </w:p>
              </w:tc>
            </w:tr>
            <w:tr w14:paraId="7622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 w:hRule="atLeast"/>
                <w:jc w:val="center"/>
              </w:trPr>
              <w:tc>
                <w:tcPr>
                  <w:tcW w:w="949" w:type="dxa"/>
                  <w:vMerge w:val="continue"/>
                  <w:tcMar>
                    <w:top w:w="0" w:type="dxa"/>
                    <w:left w:w="57" w:type="dxa"/>
                    <w:bottom w:w="0" w:type="dxa"/>
                    <w:right w:w="57" w:type="dxa"/>
                  </w:tcMar>
                </w:tcPr>
                <w:p w14:paraId="25AA8EAC">
                  <w:pPr>
                    <w:jc w:val="center"/>
                    <w:rPr>
                      <w:color w:val="auto"/>
                      <w:szCs w:val="21"/>
                      <w:highlight w:val="none"/>
                    </w:rPr>
                  </w:pPr>
                </w:p>
              </w:tc>
              <w:tc>
                <w:tcPr>
                  <w:tcW w:w="1240" w:type="dxa"/>
                  <w:vMerge w:val="continue"/>
                  <w:tcMar>
                    <w:top w:w="0" w:type="dxa"/>
                    <w:left w:w="57" w:type="dxa"/>
                    <w:bottom w:w="0" w:type="dxa"/>
                    <w:right w:w="57" w:type="dxa"/>
                  </w:tcMar>
                  <w:vAlign w:val="center"/>
                </w:tcPr>
                <w:p w14:paraId="2F149821">
                  <w:pPr>
                    <w:jc w:val="center"/>
                    <w:rPr>
                      <w:color w:val="auto"/>
                      <w:szCs w:val="21"/>
                      <w:highlight w:val="none"/>
                    </w:rPr>
                  </w:pPr>
                </w:p>
              </w:tc>
              <w:tc>
                <w:tcPr>
                  <w:tcW w:w="802" w:type="dxa"/>
                  <w:tcMar>
                    <w:top w:w="0" w:type="dxa"/>
                    <w:left w:w="57" w:type="dxa"/>
                    <w:bottom w:w="0" w:type="dxa"/>
                    <w:right w:w="57" w:type="dxa"/>
                  </w:tcMar>
                  <w:vAlign w:val="center"/>
                </w:tcPr>
                <w:p w14:paraId="05817EE1">
                  <w:pPr>
                    <w:jc w:val="center"/>
                    <w:rPr>
                      <w:color w:val="auto"/>
                      <w:kern w:val="0"/>
                      <w:szCs w:val="21"/>
                      <w:highlight w:val="none"/>
                    </w:rPr>
                  </w:pPr>
                  <w:r>
                    <w:rPr>
                      <w:color w:val="auto"/>
                      <w:kern w:val="0"/>
                      <w:szCs w:val="21"/>
                      <w:highlight w:val="none"/>
                    </w:rPr>
                    <w:t>悬浮物</w:t>
                  </w:r>
                </w:p>
              </w:tc>
              <w:tc>
                <w:tcPr>
                  <w:tcW w:w="935" w:type="dxa"/>
                  <w:tcMar>
                    <w:top w:w="0" w:type="dxa"/>
                    <w:left w:w="57" w:type="dxa"/>
                    <w:bottom w:w="0" w:type="dxa"/>
                    <w:right w:w="57" w:type="dxa"/>
                  </w:tcMar>
                  <w:vAlign w:val="center"/>
                </w:tcPr>
                <w:p w14:paraId="6ACE57B0">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7258872E">
                  <w:pPr>
                    <w:jc w:val="center"/>
                    <w:rPr>
                      <w:color w:val="auto"/>
                      <w:kern w:val="0"/>
                      <w:szCs w:val="21"/>
                      <w:highlight w:val="none"/>
                    </w:rPr>
                  </w:pPr>
                  <w:r>
                    <w:rPr>
                      <w:color w:val="auto"/>
                      <w:kern w:val="0"/>
                      <w:szCs w:val="21"/>
                      <w:highlight w:val="none"/>
                    </w:rPr>
                    <w:t>7</w:t>
                  </w:r>
                </w:p>
              </w:tc>
              <w:tc>
                <w:tcPr>
                  <w:tcW w:w="841" w:type="dxa"/>
                  <w:tcMar>
                    <w:top w:w="0" w:type="dxa"/>
                    <w:left w:w="57" w:type="dxa"/>
                    <w:bottom w:w="0" w:type="dxa"/>
                    <w:right w:w="57" w:type="dxa"/>
                  </w:tcMar>
                  <w:vAlign w:val="center"/>
                </w:tcPr>
                <w:p w14:paraId="5EE7ECAB">
                  <w:pPr>
                    <w:jc w:val="center"/>
                    <w:rPr>
                      <w:color w:val="auto"/>
                      <w:kern w:val="0"/>
                      <w:szCs w:val="21"/>
                      <w:highlight w:val="none"/>
                    </w:rPr>
                  </w:pPr>
                  <w:r>
                    <w:rPr>
                      <w:color w:val="auto"/>
                      <w:kern w:val="0"/>
                      <w:szCs w:val="21"/>
                      <w:highlight w:val="none"/>
                    </w:rPr>
                    <w:t>5</w:t>
                  </w:r>
                </w:p>
              </w:tc>
              <w:tc>
                <w:tcPr>
                  <w:tcW w:w="841" w:type="dxa"/>
                  <w:tcMar>
                    <w:top w:w="0" w:type="dxa"/>
                    <w:left w:w="57" w:type="dxa"/>
                    <w:bottom w:w="0" w:type="dxa"/>
                    <w:right w:w="57" w:type="dxa"/>
                  </w:tcMar>
                  <w:vAlign w:val="center"/>
                </w:tcPr>
                <w:p w14:paraId="38D7AA40">
                  <w:pPr>
                    <w:jc w:val="center"/>
                    <w:rPr>
                      <w:color w:val="auto"/>
                      <w:kern w:val="0"/>
                      <w:szCs w:val="21"/>
                      <w:highlight w:val="none"/>
                    </w:rPr>
                  </w:pPr>
                  <w:r>
                    <w:rPr>
                      <w:color w:val="auto"/>
                      <w:kern w:val="0"/>
                      <w:szCs w:val="21"/>
                      <w:highlight w:val="none"/>
                    </w:rPr>
                    <w:t>11</w:t>
                  </w:r>
                </w:p>
              </w:tc>
              <w:tc>
                <w:tcPr>
                  <w:tcW w:w="841" w:type="dxa"/>
                  <w:tcMar>
                    <w:top w:w="0" w:type="dxa"/>
                    <w:left w:w="57" w:type="dxa"/>
                    <w:bottom w:w="0" w:type="dxa"/>
                    <w:right w:w="57" w:type="dxa"/>
                  </w:tcMar>
                  <w:vAlign w:val="center"/>
                </w:tcPr>
                <w:p w14:paraId="29B51FB5">
                  <w:pPr>
                    <w:jc w:val="center"/>
                    <w:rPr>
                      <w:color w:val="auto"/>
                      <w:kern w:val="0"/>
                      <w:szCs w:val="21"/>
                      <w:highlight w:val="none"/>
                    </w:rPr>
                  </w:pPr>
                  <w:r>
                    <w:rPr>
                      <w:color w:val="auto"/>
                      <w:kern w:val="0"/>
                      <w:szCs w:val="21"/>
                      <w:highlight w:val="none"/>
                    </w:rPr>
                    <w:t>7</w:t>
                  </w:r>
                </w:p>
              </w:tc>
              <w:tc>
                <w:tcPr>
                  <w:tcW w:w="841" w:type="dxa"/>
                  <w:tcMar>
                    <w:top w:w="0" w:type="dxa"/>
                    <w:left w:w="57" w:type="dxa"/>
                    <w:bottom w:w="0" w:type="dxa"/>
                    <w:right w:w="57" w:type="dxa"/>
                  </w:tcMar>
                  <w:vAlign w:val="center"/>
                </w:tcPr>
                <w:p w14:paraId="11B04BA7">
                  <w:pPr>
                    <w:widowControl/>
                    <w:jc w:val="center"/>
                    <w:textAlignment w:val="center"/>
                    <w:rPr>
                      <w:color w:val="auto"/>
                      <w:kern w:val="0"/>
                      <w:szCs w:val="21"/>
                      <w:highlight w:val="none"/>
                    </w:rPr>
                  </w:pPr>
                  <w:r>
                    <w:rPr>
                      <w:color w:val="auto"/>
                      <w:kern w:val="0"/>
                      <w:szCs w:val="21"/>
                      <w:highlight w:val="none"/>
                      <w:lang w:bidi="ar"/>
                    </w:rPr>
                    <w:t>7.5</w:t>
                  </w:r>
                </w:p>
              </w:tc>
            </w:tr>
            <w:tr w14:paraId="4919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 w:hRule="atLeast"/>
                <w:jc w:val="center"/>
              </w:trPr>
              <w:tc>
                <w:tcPr>
                  <w:tcW w:w="949" w:type="dxa"/>
                  <w:vMerge w:val="continue"/>
                  <w:tcMar>
                    <w:top w:w="0" w:type="dxa"/>
                    <w:left w:w="57" w:type="dxa"/>
                    <w:bottom w:w="0" w:type="dxa"/>
                    <w:right w:w="57" w:type="dxa"/>
                  </w:tcMar>
                </w:tcPr>
                <w:p w14:paraId="18EF9BEE">
                  <w:pPr>
                    <w:jc w:val="center"/>
                    <w:rPr>
                      <w:color w:val="auto"/>
                      <w:szCs w:val="21"/>
                      <w:highlight w:val="none"/>
                    </w:rPr>
                  </w:pPr>
                </w:p>
              </w:tc>
              <w:tc>
                <w:tcPr>
                  <w:tcW w:w="1240" w:type="dxa"/>
                  <w:vMerge w:val="continue"/>
                  <w:tcMar>
                    <w:top w:w="0" w:type="dxa"/>
                    <w:left w:w="57" w:type="dxa"/>
                    <w:bottom w:w="0" w:type="dxa"/>
                    <w:right w:w="57" w:type="dxa"/>
                  </w:tcMar>
                  <w:vAlign w:val="center"/>
                </w:tcPr>
                <w:p w14:paraId="210DA74F">
                  <w:pPr>
                    <w:jc w:val="center"/>
                    <w:rPr>
                      <w:color w:val="auto"/>
                      <w:szCs w:val="21"/>
                      <w:highlight w:val="none"/>
                    </w:rPr>
                  </w:pPr>
                </w:p>
              </w:tc>
              <w:tc>
                <w:tcPr>
                  <w:tcW w:w="802" w:type="dxa"/>
                  <w:tcMar>
                    <w:top w:w="0" w:type="dxa"/>
                    <w:left w:w="57" w:type="dxa"/>
                    <w:bottom w:w="0" w:type="dxa"/>
                    <w:right w:w="57" w:type="dxa"/>
                  </w:tcMar>
                  <w:vAlign w:val="center"/>
                </w:tcPr>
                <w:p w14:paraId="252E859F">
                  <w:pPr>
                    <w:jc w:val="center"/>
                    <w:rPr>
                      <w:color w:val="auto"/>
                      <w:kern w:val="0"/>
                      <w:szCs w:val="21"/>
                      <w:highlight w:val="none"/>
                    </w:rPr>
                  </w:pPr>
                  <w:r>
                    <w:rPr>
                      <w:color w:val="auto"/>
                      <w:kern w:val="0"/>
                      <w:szCs w:val="21"/>
                      <w:highlight w:val="none"/>
                    </w:rPr>
                    <w:t>溶解性总固体</w:t>
                  </w:r>
                </w:p>
              </w:tc>
              <w:tc>
                <w:tcPr>
                  <w:tcW w:w="935" w:type="dxa"/>
                  <w:tcMar>
                    <w:top w:w="0" w:type="dxa"/>
                    <w:left w:w="57" w:type="dxa"/>
                    <w:bottom w:w="0" w:type="dxa"/>
                    <w:right w:w="57" w:type="dxa"/>
                  </w:tcMar>
                  <w:vAlign w:val="center"/>
                </w:tcPr>
                <w:p w14:paraId="7EFB0789">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6B9476A6">
                  <w:pPr>
                    <w:jc w:val="center"/>
                    <w:rPr>
                      <w:color w:val="auto"/>
                      <w:kern w:val="0"/>
                      <w:szCs w:val="21"/>
                      <w:highlight w:val="none"/>
                    </w:rPr>
                  </w:pPr>
                  <w:r>
                    <w:rPr>
                      <w:color w:val="auto"/>
                      <w:kern w:val="0"/>
                      <w:szCs w:val="21"/>
                      <w:highlight w:val="none"/>
                    </w:rPr>
                    <w:t>325</w:t>
                  </w:r>
                </w:p>
              </w:tc>
              <w:tc>
                <w:tcPr>
                  <w:tcW w:w="841" w:type="dxa"/>
                  <w:tcMar>
                    <w:top w:w="0" w:type="dxa"/>
                    <w:left w:w="57" w:type="dxa"/>
                    <w:bottom w:w="0" w:type="dxa"/>
                    <w:right w:w="57" w:type="dxa"/>
                  </w:tcMar>
                  <w:vAlign w:val="center"/>
                </w:tcPr>
                <w:p w14:paraId="45773D6B">
                  <w:pPr>
                    <w:jc w:val="center"/>
                    <w:rPr>
                      <w:color w:val="auto"/>
                      <w:kern w:val="0"/>
                      <w:szCs w:val="21"/>
                      <w:highlight w:val="none"/>
                    </w:rPr>
                  </w:pPr>
                  <w:r>
                    <w:rPr>
                      <w:color w:val="auto"/>
                      <w:kern w:val="0"/>
                      <w:szCs w:val="21"/>
                      <w:highlight w:val="none"/>
                    </w:rPr>
                    <w:t>315</w:t>
                  </w:r>
                </w:p>
              </w:tc>
              <w:tc>
                <w:tcPr>
                  <w:tcW w:w="841" w:type="dxa"/>
                  <w:tcMar>
                    <w:top w:w="0" w:type="dxa"/>
                    <w:left w:w="57" w:type="dxa"/>
                    <w:bottom w:w="0" w:type="dxa"/>
                    <w:right w:w="57" w:type="dxa"/>
                  </w:tcMar>
                  <w:vAlign w:val="center"/>
                </w:tcPr>
                <w:p w14:paraId="36517C88">
                  <w:pPr>
                    <w:jc w:val="center"/>
                    <w:rPr>
                      <w:color w:val="auto"/>
                      <w:kern w:val="0"/>
                      <w:szCs w:val="21"/>
                      <w:highlight w:val="none"/>
                    </w:rPr>
                  </w:pPr>
                  <w:r>
                    <w:rPr>
                      <w:color w:val="auto"/>
                      <w:kern w:val="0"/>
                      <w:szCs w:val="21"/>
                      <w:highlight w:val="none"/>
                    </w:rPr>
                    <w:t>311</w:t>
                  </w:r>
                </w:p>
              </w:tc>
              <w:tc>
                <w:tcPr>
                  <w:tcW w:w="841" w:type="dxa"/>
                  <w:tcMar>
                    <w:top w:w="0" w:type="dxa"/>
                    <w:left w:w="57" w:type="dxa"/>
                    <w:bottom w:w="0" w:type="dxa"/>
                    <w:right w:w="57" w:type="dxa"/>
                  </w:tcMar>
                  <w:vAlign w:val="center"/>
                </w:tcPr>
                <w:p w14:paraId="700C491B">
                  <w:pPr>
                    <w:jc w:val="center"/>
                    <w:rPr>
                      <w:color w:val="auto"/>
                      <w:kern w:val="0"/>
                      <w:szCs w:val="21"/>
                      <w:highlight w:val="none"/>
                    </w:rPr>
                  </w:pPr>
                  <w:r>
                    <w:rPr>
                      <w:color w:val="auto"/>
                      <w:kern w:val="0"/>
                      <w:szCs w:val="21"/>
                      <w:highlight w:val="none"/>
                    </w:rPr>
                    <w:t>322</w:t>
                  </w:r>
                </w:p>
              </w:tc>
              <w:tc>
                <w:tcPr>
                  <w:tcW w:w="841" w:type="dxa"/>
                  <w:tcMar>
                    <w:top w:w="0" w:type="dxa"/>
                    <w:left w:w="57" w:type="dxa"/>
                    <w:bottom w:w="0" w:type="dxa"/>
                    <w:right w:w="57" w:type="dxa"/>
                  </w:tcMar>
                  <w:vAlign w:val="center"/>
                </w:tcPr>
                <w:p w14:paraId="73262326">
                  <w:pPr>
                    <w:widowControl/>
                    <w:jc w:val="center"/>
                    <w:textAlignment w:val="center"/>
                    <w:rPr>
                      <w:color w:val="auto"/>
                      <w:kern w:val="0"/>
                      <w:szCs w:val="21"/>
                      <w:highlight w:val="none"/>
                    </w:rPr>
                  </w:pPr>
                  <w:r>
                    <w:rPr>
                      <w:color w:val="auto"/>
                      <w:kern w:val="0"/>
                      <w:szCs w:val="21"/>
                      <w:highlight w:val="none"/>
                      <w:lang w:bidi="ar"/>
                    </w:rPr>
                    <w:t>318</w:t>
                  </w:r>
                </w:p>
              </w:tc>
            </w:tr>
            <w:tr w14:paraId="4DCA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vAlign w:val="center"/>
                </w:tcPr>
                <w:p w14:paraId="2F5F8C1F">
                  <w:pPr>
                    <w:widowControl/>
                    <w:jc w:val="center"/>
                    <w:rPr>
                      <w:color w:val="auto"/>
                      <w:kern w:val="0"/>
                      <w:szCs w:val="21"/>
                      <w:highlight w:val="none"/>
                    </w:rPr>
                  </w:pPr>
                </w:p>
              </w:tc>
              <w:tc>
                <w:tcPr>
                  <w:tcW w:w="1240" w:type="dxa"/>
                  <w:vMerge w:val="restart"/>
                  <w:tcMar>
                    <w:top w:w="0" w:type="dxa"/>
                    <w:left w:w="57" w:type="dxa"/>
                    <w:bottom w:w="0" w:type="dxa"/>
                    <w:right w:w="57" w:type="dxa"/>
                  </w:tcMar>
                  <w:vAlign w:val="center"/>
                </w:tcPr>
                <w:p w14:paraId="78013EDA">
                  <w:pPr>
                    <w:pStyle w:val="24"/>
                    <w:ind w:firstLine="0" w:firstLineChars="0"/>
                    <w:jc w:val="center"/>
                    <w:rPr>
                      <w:color w:val="auto"/>
                      <w:szCs w:val="21"/>
                      <w:highlight w:val="none"/>
                    </w:rPr>
                  </w:pPr>
                  <w:r>
                    <w:rPr>
                      <w:color w:val="auto"/>
                      <w:szCs w:val="21"/>
                      <w:highlight w:val="none"/>
                    </w:rPr>
                    <w:t>2022.4.25</w:t>
                  </w:r>
                </w:p>
              </w:tc>
              <w:tc>
                <w:tcPr>
                  <w:tcW w:w="802" w:type="dxa"/>
                  <w:tcMar>
                    <w:top w:w="0" w:type="dxa"/>
                    <w:left w:w="57" w:type="dxa"/>
                    <w:bottom w:w="0" w:type="dxa"/>
                    <w:right w:w="57" w:type="dxa"/>
                  </w:tcMar>
                  <w:vAlign w:val="center"/>
                </w:tcPr>
                <w:p w14:paraId="0A2A9CB1">
                  <w:pPr>
                    <w:jc w:val="center"/>
                    <w:rPr>
                      <w:color w:val="auto"/>
                      <w:kern w:val="0"/>
                      <w:szCs w:val="21"/>
                      <w:highlight w:val="none"/>
                    </w:rPr>
                  </w:pPr>
                  <w:r>
                    <w:rPr>
                      <w:color w:val="auto"/>
                      <w:kern w:val="0"/>
                      <w:szCs w:val="21"/>
                      <w:highlight w:val="none"/>
                    </w:rPr>
                    <w:t>pH</w:t>
                  </w:r>
                </w:p>
              </w:tc>
              <w:tc>
                <w:tcPr>
                  <w:tcW w:w="935" w:type="dxa"/>
                  <w:tcMar>
                    <w:top w:w="0" w:type="dxa"/>
                    <w:left w:w="57" w:type="dxa"/>
                    <w:bottom w:w="0" w:type="dxa"/>
                    <w:right w:w="57" w:type="dxa"/>
                  </w:tcMar>
                  <w:vAlign w:val="center"/>
                </w:tcPr>
                <w:p w14:paraId="54634610">
                  <w:pPr>
                    <w:jc w:val="center"/>
                    <w:rPr>
                      <w:color w:val="auto"/>
                      <w:kern w:val="0"/>
                      <w:szCs w:val="21"/>
                      <w:highlight w:val="none"/>
                    </w:rPr>
                  </w:pPr>
                  <w:r>
                    <w:rPr>
                      <w:color w:val="auto"/>
                      <w:szCs w:val="21"/>
                      <w:highlight w:val="none"/>
                    </w:rPr>
                    <w:t>无量纲</w:t>
                  </w:r>
                </w:p>
              </w:tc>
              <w:tc>
                <w:tcPr>
                  <w:tcW w:w="841" w:type="dxa"/>
                  <w:tcMar>
                    <w:top w:w="0" w:type="dxa"/>
                    <w:left w:w="57" w:type="dxa"/>
                    <w:bottom w:w="0" w:type="dxa"/>
                    <w:right w:w="57" w:type="dxa"/>
                  </w:tcMar>
                  <w:vAlign w:val="center"/>
                </w:tcPr>
                <w:p w14:paraId="397097CE">
                  <w:pPr>
                    <w:jc w:val="center"/>
                    <w:rPr>
                      <w:color w:val="auto"/>
                      <w:kern w:val="0"/>
                      <w:szCs w:val="21"/>
                      <w:highlight w:val="none"/>
                    </w:rPr>
                  </w:pPr>
                  <w:r>
                    <w:rPr>
                      <w:color w:val="auto"/>
                      <w:kern w:val="0"/>
                      <w:szCs w:val="21"/>
                      <w:highlight w:val="none"/>
                    </w:rPr>
                    <w:t>8.3</w:t>
                  </w:r>
                </w:p>
              </w:tc>
              <w:tc>
                <w:tcPr>
                  <w:tcW w:w="841" w:type="dxa"/>
                  <w:tcMar>
                    <w:top w:w="0" w:type="dxa"/>
                    <w:left w:w="57" w:type="dxa"/>
                    <w:bottom w:w="0" w:type="dxa"/>
                    <w:right w:w="57" w:type="dxa"/>
                  </w:tcMar>
                  <w:vAlign w:val="center"/>
                </w:tcPr>
                <w:p w14:paraId="59969D9D">
                  <w:pPr>
                    <w:jc w:val="center"/>
                    <w:rPr>
                      <w:color w:val="auto"/>
                      <w:kern w:val="0"/>
                      <w:szCs w:val="21"/>
                      <w:highlight w:val="none"/>
                    </w:rPr>
                  </w:pPr>
                  <w:r>
                    <w:rPr>
                      <w:color w:val="auto"/>
                      <w:kern w:val="0"/>
                      <w:szCs w:val="21"/>
                      <w:highlight w:val="none"/>
                    </w:rPr>
                    <w:t>8.7</w:t>
                  </w:r>
                </w:p>
              </w:tc>
              <w:tc>
                <w:tcPr>
                  <w:tcW w:w="841" w:type="dxa"/>
                  <w:tcMar>
                    <w:top w:w="0" w:type="dxa"/>
                    <w:left w:w="57" w:type="dxa"/>
                    <w:bottom w:w="0" w:type="dxa"/>
                    <w:right w:w="57" w:type="dxa"/>
                  </w:tcMar>
                  <w:vAlign w:val="center"/>
                </w:tcPr>
                <w:p w14:paraId="42DB594F">
                  <w:pPr>
                    <w:jc w:val="center"/>
                    <w:rPr>
                      <w:color w:val="auto"/>
                      <w:kern w:val="0"/>
                      <w:szCs w:val="21"/>
                      <w:highlight w:val="none"/>
                    </w:rPr>
                  </w:pPr>
                  <w:r>
                    <w:rPr>
                      <w:color w:val="auto"/>
                      <w:kern w:val="0"/>
                      <w:szCs w:val="21"/>
                      <w:highlight w:val="none"/>
                    </w:rPr>
                    <w:t>8.8</w:t>
                  </w:r>
                </w:p>
              </w:tc>
              <w:tc>
                <w:tcPr>
                  <w:tcW w:w="841" w:type="dxa"/>
                  <w:tcMar>
                    <w:top w:w="0" w:type="dxa"/>
                    <w:left w:w="57" w:type="dxa"/>
                    <w:bottom w:w="0" w:type="dxa"/>
                    <w:right w:w="57" w:type="dxa"/>
                  </w:tcMar>
                  <w:vAlign w:val="center"/>
                </w:tcPr>
                <w:p w14:paraId="370E8E30">
                  <w:pPr>
                    <w:jc w:val="center"/>
                    <w:rPr>
                      <w:color w:val="auto"/>
                      <w:kern w:val="0"/>
                      <w:szCs w:val="21"/>
                      <w:highlight w:val="none"/>
                    </w:rPr>
                  </w:pPr>
                  <w:r>
                    <w:rPr>
                      <w:color w:val="auto"/>
                      <w:kern w:val="0"/>
                      <w:szCs w:val="21"/>
                      <w:highlight w:val="none"/>
                    </w:rPr>
                    <w:t>8.5</w:t>
                  </w:r>
                </w:p>
              </w:tc>
              <w:tc>
                <w:tcPr>
                  <w:tcW w:w="841" w:type="dxa"/>
                  <w:tcMar>
                    <w:top w:w="0" w:type="dxa"/>
                    <w:left w:w="57" w:type="dxa"/>
                    <w:bottom w:w="0" w:type="dxa"/>
                    <w:right w:w="57" w:type="dxa"/>
                  </w:tcMar>
                  <w:vAlign w:val="center"/>
                </w:tcPr>
                <w:p w14:paraId="3F1B8E8A">
                  <w:pPr>
                    <w:widowControl/>
                    <w:jc w:val="center"/>
                    <w:textAlignment w:val="center"/>
                    <w:rPr>
                      <w:color w:val="auto"/>
                      <w:kern w:val="0"/>
                      <w:szCs w:val="21"/>
                      <w:highlight w:val="none"/>
                    </w:rPr>
                  </w:pPr>
                  <w:r>
                    <w:rPr>
                      <w:color w:val="auto"/>
                      <w:kern w:val="0"/>
                      <w:szCs w:val="21"/>
                      <w:highlight w:val="none"/>
                      <w:lang w:bidi="ar"/>
                    </w:rPr>
                    <w:t>8.6</w:t>
                  </w:r>
                </w:p>
              </w:tc>
            </w:tr>
            <w:tr w14:paraId="3732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53A9A3EE">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54A0058D">
                  <w:pPr>
                    <w:widowControl/>
                    <w:jc w:val="center"/>
                    <w:rPr>
                      <w:color w:val="auto"/>
                      <w:kern w:val="0"/>
                      <w:szCs w:val="21"/>
                      <w:highlight w:val="none"/>
                    </w:rPr>
                  </w:pPr>
                </w:p>
              </w:tc>
              <w:tc>
                <w:tcPr>
                  <w:tcW w:w="802" w:type="dxa"/>
                  <w:tcMar>
                    <w:top w:w="0" w:type="dxa"/>
                    <w:left w:w="57" w:type="dxa"/>
                    <w:bottom w:w="0" w:type="dxa"/>
                    <w:right w:w="57" w:type="dxa"/>
                  </w:tcMar>
                  <w:vAlign w:val="center"/>
                </w:tcPr>
                <w:p w14:paraId="23CCDF11">
                  <w:pPr>
                    <w:jc w:val="center"/>
                    <w:rPr>
                      <w:color w:val="auto"/>
                      <w:kern w:val="0"/>
                      <w:szCs w:val="21"/>
                      <w:highlight w:val="none"/>
                    </w:rPr>
                  </w:pPr>
                  <w:r>
                    <w:rPr>
                      <w:color w:val="auto"/>
                      <w:kern w:val="0"/>
                      <w:szCs w:val="21"/>
                      <w:highlight w:val="none"/>
                    </w:rPr>
                    <w:t>BOD</w:t>
                  </w:r>
                  <w:r>
                    <w:rPr>
                      <w:color w:val="auto"/>
                      <w:kern w:val="0"/>
                      <w:szCs w:val="21"/>
                      <w:highlight w:val="none"/>
                      <w:vertAlign w:val="subscript"/>
                    </w:rPr>
                    <w:t>5</w:t>
                  </w:r>
                </w:p>
              </w:tc>
              <w:tc>
                <w:tcPr>
                  <w:tcW w:w="935" w:type="dxa"/>
                  <w:tcMar>
                    <w:top w:w="0" w:type="dxa"/>
                    <w:left w:w="57" w:type="dxa"/>
                    <w:bottom w:w="0" w:type="dxa"/>
                    <w:right w:w="57" w:type="dxa"/>
                  </w:tcMar>
                  <w:vAlign w:val="center"/>
                </w:tcPr>
                <w:p w14:paraId="6FA83EA7">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55F1FD9A">
                  <w:pPr>
                    <w:jc w:val="center"/>
                    <w:rPr>
                      <w:color w:val="auto"/>
                      <w:kern w:val="0"/>
                      <w:szCs w:val="21"/>
                      <w:highlight w:val="none"/>
                    </w:rPr>
                  </w:pPr>
                  <w:r>
                    <w:rPr>
                      <w:color w:val="auto"/>
                      <w:kern w:val="0"/>
                      <w:szCs w:val="21"/>
                      <w:highlight w:val="none"/>
                    </w:rPr>
                    <w:t>2.6</w:t>
                  </w:r>
                </w:p>
              </w:tc>
              <w:tc>
                <w:tcPr>
                  <w:tcW w:w="841" w:type="dxa"/>
                  <w:tcMar>
                    <w:top w:w="0" w:type="dxa"/>
                    <w:left w:w="57" w:type="dxa"/>
                    <w:bottom w:w="0" w:type="dxa"/>
                    <w:right w:w="57" w:type="dxa"/>
                  </w:tcMar>
                  <w:vAlign w:val="center"/>
                </w:tcPr>
                <w:p w14:paraId="26A59C16">
                  <w:pPr>
                    <w:jc w:val="center"/>
                    <w:rPr>
                      <w:color w:val="auto"/>
                      <w:kern w:val="0"/>
                      <w:szCs w:val="21"/>
                      <w:highlight w:val="none"/>
                    </w:rPr>
                  </w:pPr>
                  <w:r>
                    <w:rPr>
                      <w:color w:val="auto"/>
                      <w:kern w:val="0"/>
                      <w:szCs w:val="21"/>
                      <w:highlight w:val="none"/>
                    </w:rPr>
                    <w:t>2.2</w:t>
                  </w:r>
                </w:p>
              </w:tc>
              <w:tc>
                <w:tcPr>
                  <w:tcW w:w="841" w:type="dxa"/>
                  <w:tcMar>
                    <w:top w:w="0" w:type="dxa"/>
                    <w:left w:w="57" w:type="dxa"/>
                    <w:bottom w:w="0" w:type="dxa"/>
                    <w:right w:w="57" w:type="dxa"/>
                  </w:tcMar>
                  <w:vAlign w:val="center"/>
                </w:tcPr>
                <w:p w14:paraId="61E69CEB">
                  <w:pPr>
                    <w:jc w:val="center"/>
                    <w:rPr>
                      <w:color w:val="auto"/>
                      <w:kern w:val="0"/>
                      <w:szCs w:val="21"/>
                      <w:highlight w:val="none"/>
                    </w:rPr>
                  </w:pPr>
                  <w:r>
                    <w:rPr>
                      <w:color w:val="auto"/>
                      <w:kern w:val="0"/>
                      <w:szCs w:val="21"/>
                      <w:highlight w:val="none"/>
                    </w:rPr>
                    <w:t>2.3</w:t>
                  </w:r>
                </w:p>
              </w:tc>
              <w:tc>
                <w:tcPr>
                  <w:tcW w:w="841" w:type="dxa"/>
                  <w:tcMar>
                    <w:top w:w="0" w:type="dxa"/>
                    <w:left w:w="57" w:type="dxa"/>
                    <w:bottom w:w="0" w:type="dxa"/>
                    <w:right w:w="57" w:type="dxa"/>
                  </w:tcMar>
                  <w:vAlign w:val="center"/>
                </w:tcPr>
                <w:p w14:paraId="190EC6C9">
                  <w:pPr>
                    <w:jc w:val="center"/>
                    <w:rPr>
                      <w:color w:val="auto"/>
                      <w:kern w:val="0"/>
                      <w:szCs w:val="21"/>
                      <w:highlight w:val="none"/>
                    </w:rPr>
                  </w:pPr>
                  <w:r>
                    <w:rPr>
                      <w:color w:val="auto"/>
                      <w:kern w:val="0"/>
                      <w:szCs w:val="21"/>
                      <w:highlight w:val="none"/>
                    </w:rPr>
                    <w:t>2.9</w:t>
                  </w:r>
                </w:p>
              </w:tc>
              <w:tc>
                <w:tcPr>
                  <w:tcW w:w="841" w:type="dxa"/>
                  <w:tcMar>
                    <w:top w:w="0" w:type="dxa"/>
                    <w:left w:w="57" w:type="dxa"/>
                    <w:bottom w:w="0" w:type="dxa"/>
                    <w:right w:w="57" w:type="dxa"/>
                  </w:tcMar>
                  <w:vAlign w:val="center"/>
                </w:tcPr>
                <w:p w14:paraId="64B4104A">
                  <w:pPr>
                    <w:widowControl/>
                    <w:jc w:val="center"/>
                    <w:textAlignment w:val="center"/>
                    <w:rPr>
                      <w:color w:val="auto"/>
                      <w:kern w:val="0"/>
                      <w:szCs w:val="21"/>
                      <w:highlight w:val="none"/>
                    </w:rPr>
                  </w:pPr>
                  <w:r>
                    <w:rPr>
                      <w:color w:val="auto"/>
                      <w:kern w:val="0"/>
                      <w:szCs w:val="21"/>
                      <w:highlight w:val="none"/>
                      <w:lang w:bidi="ar"/>
                    </w:rPr>
                    <w:t>2.5</w:t>
                  </w:r>
                </w:p>
              </w:tc>
            </w:tr>
            <w:tr w14:paraId="63C9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1B157249">
                  <w:pPr>
                    <w:jc w:val="center"/>
                    <w:rPr>
                      <w:color w:val="auto"/>
                      <w:szCs w:val="21"/>
                      <w:highlight w:val="none"/>
                    </w:rPr>
                  </w:pPr>
                </w:p>
              </w:tc>
              <w:tc>
                <w:tcPr>
                  <w:tcW w:w="1240" w:type="dxa"/>
                  <w:vMerge w:val="continue"/>
                  <w:tcMar>
                    <w:top w:w="0" w:type="dxa"/>
                    <w:left w:w="57" w:type="dxa"/>
                    <w:bottom w:w="0" w:type="dxa"/>
                    <w:right w:w="57" w:type="dxa"/>
                  </w:tcMar>
                  <w:vAlign w:val="center"/>
                </w:tcPr>
                <w:p w14:paraId="668D9435">
                  <w:pPr>
                    <w:jc w:val="center"/>
                    <w:rPr>
                      <w:color w:val="auto"/>
                      <w:szCs w:val="21"/>
                      <w:highlight w:val="none"/>
                    </w:rPr>
                  </w:pPr>
                </w:p>
              </w:tc>
              <w:tc>
                <w:tcPr>
                  <w:tcW w:w="802" w:type="dxa"/>
                  <w:tcMar>
                    <w:top w:w="0" w:type="dxa"/>
                    <w:left w:w="57" w:type="dxa"/>
                    <w:bottom w:w="0" w:type="dxa"/>
                    <w:right w:w="57" w:type="dxa"/>
                  </w:tcMar>
                  <w:vAlign w:val="center"/>
                </w:tcPr>
                <w:p w14:paraId="43D29F9B">
                  <w:pPr>
                    <w:jc w:val="center"/>
                    <w:rPr>
                      <w:color w:val="auto"/>
                      <w:kern w:val="0"/>
                      <w:szCs w:val="21"/>
                      <w:highlight w:val="none"/>
                    </w:rPr>
                  </w:pPr>
                  <w:r>
                    <w:rPr>
                      <w:color w:val="auto"/>
                      <w:kern w:val="0"/>
                      <w:szCs w:val="21"/>
                      <w:highlight w:val="none"/>
                    </w:rPr>
                    <w:t>COD</w:t>
                  </w:r>
                </w:p>
              </w:tc>
              <w:tc>
                <w:tcPr>
                  <w:tcW w:w="935" w:type="dxa"/>
                  <w:tcMar>
                    <w:top w:w="0" w:type="dxa"/>
                    <w:left w:w="57" w:type="dxa"/>
                    <w:bottom w:w="0" w:type="dxa"/>
                    <w:right w:w="57" w:type="dxa"/>
                  </w:tcMar>
                  <w:vAlign w:val="center"/>
                </w:tcPr>
                <w:p w14:paraId="7C565B63">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4F20C63E">
                  <w:pPr>
                    <w:jc w:val="center"/>
                    <w:rPr>
                      <w:color w:val="auto"/>
                      <w:kern w:val="0"/>
                      <w:szCs w:val="21"/>
                      <w:highlight w:val="none"/>
                    </w:rPr>
                  </w:pPr>
                  <w:r>
                    <w:rPr>
                      <w:color w:val="auto"/>
                      <w:kern w:val="0"/>
                      <w:szCs w:val="21"/>
                      <w:highlight w:val="none"/>
                    </w:rPr>
                    <w:t>10</w:t>
                  </w:r>
                </w:p>
              </w:tc>
              <w:tc>
                <w:tcPr>
                  <w:tcW w:w="841" w:type="dxa"/>
                  <w:tcMar>
                    <w:top w:w="0" w:type="dxa"/>
                    <w:left w:w="57" w:type="dxa"/>
                    <w:bottom w:w="0" w:type="dxa"/>
                    <w:right w:w="57" w:type="dxa"/>
                  </w:tcMar>
                  <w:vAlign w:val="center"/>
                </w:tcPr>
                <w:p w14:paraId="550078A8">
                  <w:pPr>
                    <w:jc w:val="center"/>
                    <w:rPr>
                      <w:color w:val="auto"/>
                      <w:kern w:val="0"/>
                      <w:szCs w:val="21"/>
                      <w:highlight w:val="none"/>
                    </w:rPr>
                  </w:pPr>
                  <w:r>
                    <w:rPr>
                      <w:color w:val="auto"/>
                      <w:kern w:val="0"/>
                      <w:szCs w:val="21"/>
                      <w:highlight w:val="none"/>
                    </w:rPr>
                    <w:t>8</w:t>
                  </w:r>
                </w:p>
              </w:tc>
              <w:tc>
                <w:tcPr>
                  <w:tcW w:w="841" w:type="dxa"/>
                  <w:tcMar>
                    <w:top w:w="0" w:type="dxa"/>
                    <w:left w:w="57" w:type="dxa"/>
                    <w:bottom w:w="0" w:type="dxa"/>
                    <w:right w:w="57" w:type="dxa"/>
                  </w:tcMar>
                  <w:vAlign w:val="center"/>
                </w:tcPr>
                <w:p w14:paraId="7582C11D">
                  <w:pPr>
                    <w:jc w:val="center"/>
                    <w:rPr>
                      <w:color w:val="auto"/>
                      <w:kern w:val="0"/>
                      <w:szCs w:val="21"/>
                      <w:highlight w:val="none"/>
                    </w:rPr>
                  </w:pPr>
                  <w:r>
                    <w:rPr>
                      <w:color w:val="auto"/>
                      <w:kern w:val="0"/>
                      <w:szCs w:val="21"/>
                      <w:highlight w:val="none"/>
                    </w:rPr>
                    <w:t>10</w:t>
                  </w:r>
                </w:p>
              </w:tc>
              <w:tc>
                <w:tcPr>
                  <w:tcW w:w="841" w:type="dxa"/>
                  <w:tcMar>
                    <w:top w:w="0" w:type="dxa"/>
                    <w:left w:w="57" w:type="dxa"/>
                    <w:bottom w:w="0" w:type="dxa"/>
                    <w:right w:w="57" w:type="dxa"/>
                  </w:tcMar>
                  <w:vAlign w:val="center"/>
                </w:tcPr>
                <w:p w14:paraId="3B198B2E">
                  <w:pPr>
                    <w:jc w:val="center"/>
                    <w:rPr>
                      <w:color w:val="auto"/>
                      <w:kern w:val="0"/>
                      <w:szCs w:val="21"/>
                      <w:highlight w:val="none"/>
                    </w:rPr>
                  </w:pPr>
                  <w:r>
                    <w:rPr>
                      <w:color w:val="auto"/>
                      <w:kern w:val="0"/>
                      <w:szCs w:val="21"/>
                      <w:highlight w:val="none"/>
                    </w:rPr>
                    <w:t>11</w:t>
                  </w:r>
                </w:p>
              </w:tc>
              <w:tc>
                <w:tcPr>
                  <w:tcW w:w="841" w:type="dxa"/>
                  <w:tcMar>
                    <w:top w:w="0" w:type="dxa"/>
                    <w:left w:w="57" w:type="dxa"/>
                    <w:bottom w:w="0" w:type="dxa"/>
                    <w:right w:w="57" w:type="dxa"/>
                  </w:tcMar>
                  <w:vAlign w:val="center"/>
                </w:tcPr>
                <w:p w14:paraId="5830326E">
                  <w:pPr>
                    <w:widowControl/>
                    <w:jc w:val="center"/>
                    <w:textAlignment w:val="center"/>
                    <w:rPr>
                      <w:color w:val="auto"/>
                      <w:kern w:val="0"/>
                      <w:szCs w:val="21"/>
                      <w:highlight w:val="none"/>
                    </w:rPr>
                  </w:pPr>
                  <w:r>
                    <w:rPr>
                      <w:color w:val="auto"/>
                      <w:kern w:val="0"/>
                      <w:szCs w:val="21"/>
                      <w:highlight w:val="none"/>
                      <w:lang w:bidi="ar"/>
                    </w:rPr>
                    <w:t>9.75</w:t>
                  </w:r>
                </w:p>
              </w:tc>
            </w:tr>
            <w:tr w14:paraId="2274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949" w:type="dxa"/>
                  <w:vMerge w:val="continue"/>
                  <w:tcMar>
                    <w:top w:w="0" w:type="dxa"/>
                    <w:left w:w="57" w:type="dxa"/>
                    <w:bottom w:w="0" w:type="dxa"/>
                    <w:right w:w="57" w:type="dxa"/>
                  </w:tcMar>
                </w:tcPr>
                <w:p w14:paraId="3762F1BA">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166DFD1B">
                  <w:pPr>
                    <w:widowControl/>
                    <w:jc w:val="center"/>
                    <w:rPr>
                      <w:color w:val="auto"/>
                      <w:kern w:val="0"/>
                      <w:szCs w:val="21"/>
                      <w:highlight w:val="none"/>
                    </w:rPr>
                  </w:pPr>
                </w:p>
              </w:tc>
              <w:tc>
                <w:tcPr>
                  <w:tcW w:w="802" w:type="dxa"/>
                  <w:tcMar>
                    <w:top w:w="0" w:type="dxa"/>
                    <w:left w:w="57" w:type="dxa"/>
                    <w:bottom w:w="0" w:type="dxa"/>
                    <w:right w:w="57" w:type="dxa"/>
                  </w:tcMar>
                  <w:vAlign w:val="center"/>
                </w:tcPr>
                <w:p w14:paraId="3B992800">
                  <w:pPr>
                    <w:jc w:val="center"/>
                    <w:rPr>
                      <w:color w:val="auto"/>
                      <w:kern w:val="0"/>
                      <w:szCs w:val="21"/>
                      <w:highlight w:val="none"/>
                    </w:rPr>
                  </w:pPr>
                  <w:r>
                    <w:rPr>
                      <w:color w:val="auto"/>
                      <w:kern w:val="0"/>
                      <w:szCs w:val="21"/>
                      <w:highlight w:val="none"/>
                    </w:rPr>
                    <w:t>氨氮</w:t>
                  </w:r>
                </w:p>
              </w:tc>
              <w:tc>
                <w:tcPr>
                  <w:tcW w:w="935" w:type="dxa"/>
                  <w:tcMar>
                    <w:top w:w="0" w:type="dxa"/>
                    <w:left w:w="57" w:type="dxa"/>
                    <w:bottom w:w="0" w:type="dxa"/>
                    <w:right w:w="57" w:type="dxa"/>
                  </w:tcMar>
                  <w:vAlign w:val="center"/>
                </w:tcPr>
                <w:p w14:paraId="0E064CEB">
                  <w:pPr>
                    <w:jc w:val="center"/>
                    <w:rPr>
                      <w:color w:val="auto"/>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382F62CA">
                  <w:pPr>
                    <w:jc w:val="center"/>
                    <w:rPr>
                      <w:color w:val="auto"/>
                      <w:kern w:val="0"/>
                      <w:szCs w:val="21"/>
                      <w:highlight w:val="none"/>
                    </w:rPr>
                  </w:pPr>
                  <w:r>
                    <w:rPr>
                      <w:color w:val="auto"/>
                      <w:kern w:val="0"/>
                      <w:szCs w:val="21"/>
                      <w:highlight w:val="none"/>
                    </w:rPr>
                    <w:t>0.031</w:t>
                  </w:r>
                </w:p>
              </w:tc>
              <w:tc>
                <w:tcPr>
                  <w:tcW w:w="841" w:type="dxa"/>
                  <w:tcMar>
                    <w:top w:w="0" w:type="dxa"/>
                    <w:left w:w="57" w:type="dxa"/>
                    <w:bottom w:w="0" w:type="dxa"/>
                    <w:right w:w="57" w:type="dxa"/>
                  </w:tcMar>
                  <w:vAlign w:val="center"/>
                </w:tcPr>
                <w:p w14:paraId="5FDEF684">
                  <w:pPr>
                    <w:jc w:val="center"/>
                    <w:rPr>
                      <w:color w:val="auto"/>
                      <w:kern w:val="0"/>
                      <w:szCs w:val="21"/>
                      <w:highlight w:val="none"/>
                    </w:rPr>
                  </w:pPr>
                  <w:r>
                    <w:rPr>
                      <w:color w:val="auto"/>
                      <w:kern w:val="0"/>
                      <w:szCs w:val="21"/>
                      <w:highlight w:val="none"/>
                    </w:rPr>
                    <w:t>0.034</w:t>
                  </w:r>
                </w:p>
              </w:tc>
              <w:tc>
                <w:tcPr>
                  <w:tcW w:w="841" w:type="dxa"/>
                  <w:tcMar>
                    <w:top w:w="0" w:type="dxa"/>
                    <w:left w:w="57" w:type="dxa"/>
                    <w:bottom w:w="0" w:type="dxa"/>
                    <w:right w:w="57" w:type="dxa"/>
                  </w:tcMar>
                  <w:vAlign w:val="center"/>
                </w:tcPr>
                <w:p w14:paraId="5FB522E5">
                  <w:pPr>
                    <w:jc w:val="center"/>
                    <w:rPr>
                      <w:color w:val="auto"/>
                      <w:kern w:val="0"/>
                      <w:szCs w:val="21"/>
                      <w:highlight w:val="none"/>
                    </w:rPr>
                  </w:pPr>
                  <w:r>
                    <w:rPr>
                      <w:color w:val="auto"/>
                      <w:kern w:val="0"/>
                      <w:szCs w:val="21"/>
                      <w:highlight w:val="none"/>
                    </w:rPr>
                    <w:t>0.036</w:t>
                  </w:r>
                </w:p>
              </w:tc>
              <w:tc>
                <w:tcPr>
                  <w:tcW w:w="841" w:type="dxa"/>
                  <w:tcMar>
                    <w:top w:w="0" w:type="dxa"/>
                    <w:left w:w="57" w:type="dxa"/>
                    <w:bottom w:w="0" w:type="dxa"/>
                    <w:right w:w="57" w:type="dxa"/>
                  </w:tcMar>
                  <w:vAlign w:val="center"/>
                </w:tcPr>
                <w:p w14:paraId="2FDDB8D8">
                  <w:pPr>
                    <w:jc w:val="center"/>
                    <w:rPr>
                      <w:color w:val="auto"/>
                      <w:kern w:val="0"/>
                      <w:szCs w:val="21"/>
                      <w:highlight w:val="none"/>
                    </w:rPr>
                  </w:pPr>
                  <w:r>
                    <w:rPr>
                      <w:color w:val="auto"/>
                      <w:kern w:val="0"/>
                      <w:szCs w:val="21"/>
                      <w:highlight w:val="none"/>
                    </w:rPr>
                    <w:t>0.028</w:t>
                  </w:r>
                </w:p>
              </w:tc>
              <w:tc>
                <w:tcPr>
                  <w:tcW w:w="841" w:type="dxa"/>
                  <w:tcMar>
                    <w:top w:w="0" w:type="dxa"/>
                    <w:left w:w="57" w:type="dxa"/>
                    <w:bottom w:w="0" w:type="dxa"/>
                    <w:right w:w="57" w:type="dxa"/>
                  </w:tcMar>
                  <w:vAlign w:val="center"/>
                </w:tcPr>
                <w:p w14:paraId="638ACB39">
                  <w:pPr>
                    <w:widowControl/>
                    <w:jc w:val="center"/>
                    <w:textAlignment w:val="center"/>
                    <w:rPr>
                      <w:color w:val="auto"/>
                      <w:kern w:val="0"/>
                      <w:szCs w:val="21"/>
                      <w:highlight w:val="none"/>
                    </w:rPr>
                  </w:pPr>
                  <w:r>
                    <w:rPr>
                      <w:color w:val="auto"/>
                      <w:kern w:val="0"/>
                      <w:szCs w:val="21"/>
                      <w:highlight w:val="none"/>
                      <w:lang w:bidi="ar"/>
                    </w:rPr>
                    <w:t>0.032</w:t>
                  </w:r>
                </w:p>
              </w:tc>
            </w:tr>
            <w:tr w14:paraId="7C62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 w:hRule="atLeast"/>
                <w:jc w:val="center"/>
              </w:trPr>
              <w:tc>
                <w:tcPr>
                  <w:tcW w:w="949" w:type="dxa"/>
                  <w:vMerge w:val="continue"/>
                  <w:tcMar>
                    <w:top w:w="0" w:type="dxa"/>
                    <w:left w:w="57" w:type="dxa"/>
                    <w:bottom w:w="0" w:type="dxa"/>
                    <w:right w:w="57" w:type="dxa"/>
                  </w:tcMar>
                </w:tcPr>
                <w:p w14:paraId="09E96C57">
                  <w:pPr>
                    <w:widowControl/>
                    <w:jc w:val="center"/>
                    <w:rPr>
                      <w:color w:val="auto"/>
                      <w:kern w:val="0"/>
                      <w:szCs w:val="21"/>
                      <w:highlight w:val="none"/>
                    </w:rPr>
                  </w:pPr>
                </w:p>
              </w:tc>
              <w:tc>
                <w:tcPr>
                  <w:tcW w:w="1240" w:type="dxa"/>
                  <w:vMerge w:val="continue"/>
                  <w:tcMar>
                    <w:top w:w="0" w:type="dxa"/>
                    <w:left w:w="57" w:type="dxa"/>
                    <w:bottom w:w="0" w:type="dxa"/>
                    <w:right w:w="57" w:type="dxa"/>
                  </w:tcMar>
                  <w:vAlign w:val="center"/>
                </w:tcPr>
                <w:p w14:paraId="361E62E6">
                  <w:pPr>
                    <w:widowControl/>
                    <w:jc w:val="center"/>
                    <w:rPr>
                      <w:color w:val="auto"/>
                      <w:kern w:val="0"/>
                      <w:szCs w:val="21"/>
                      <w:highlight w:val="none"/>
                    </w:rPr>
                  </w:pPr>
                </w:p>
              </w:tc>
              <w:tc>
                <w:tcPr>
                  <w:tcW w:w="802" w:type="dxa"/>
                  <w:tcMar>
                    <w:top w:w="0" w:type="dxa"/>
                    <w:left w:w="57" w:type="dxa"/>
                    <w:bottom w:w="0" w:type="dxa"/>
                    <w:right w:w="57" w:type="dxa"/>
                  </w:tcMar>
                  <w:vAlign w:val="center"/>
                </w:tcPr>
                <w:p w14:paraId="3E7D335E">
                  <w:pPr>
                    <w:jc w:val="center"/>
                    <w:rPr>
                      <w:color w:val="auto"/>
                      <w:kern w:val="0"/>
                      <w:szCs w:val="21"/>
                      <w:highlight w:val="none"/>
                    </w:rPr>
                  </w:pPr>
                  <w:r>
                    <w:rPr>
                      <w:color w:val="auto"/>
                      <w:kern w:val="0"/>
                      <w:szCs w:val="21"/>
                      <w:highlight w:val="none"/>
                    </w:rPr>
                    <w:t>悬浮物</w:t>
                  </w:r>
                </w:p>
              </w:tc>
              <w:tc>
                <w:tcPr>
                  <w:tcW w:w="935" w:type="dxa"/>
                  <w:tcMar>
                    <w:top w:w="0" w:type="dxa"/>
                    <w:left w:w="57" w:type="dxa"/>
                    <w:bottom w:w="0" w:type="dxa"/>
                    <w:right w:w="57" w:type="dxa"/>
                  </w:tcMar>
                  <w:vAlign w:val="center"/>
                </w:tcPr>
                <w:p w14:paraId="69761B4F">
                  <w:pPr>
                    <w:jc w:val="center"/>
                    <w:rPr>
                      <w:color w:val="auto"/>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707CF704">
                  <w:pPr>
                    <w:jc w:val="center"/>
                    <w:rPr>
                      <w:color w:val="auto"/>
                      <w:kern w:val="0"/>
                      <w:szCs w:val="21"/>
                      <w:highlight w:val="none"/>
                    </w:rPr>
                  </w:pPr>
                  <w:r>
                    <w:rPr>
                      <w:color w:val="auto"/>
                      <w:kern w:val="0"/>
                      <w:szCs w:val="21"/>
                      <w:highlight w:val="none"/>
                    </w:rPr>
                    <w:t>7</w:t>
                  </w:r>
                </w:p>
              </w:tc>
              <w:tc>
                <w:tcPr>
                  <w:tcW w:w="841" w:type="dxa"/>
                  <w:tcMar>
                    <w:top w:w="0" w:type="dxa"/>
                    <w:left w:w="57" w:type="dxa"/>
                    <w:bottom w:w="0" w:type="dxa"/>
                    <w:right w:w="57" w:type="dxa"/>
                  </w:tcMar>
                  <w:vAlign w:val="center"/>
                </w:tcPr>
                <w:p w14:paraId="762426DE">
                  <w:pPr>
                    <w:jc w:val="center"/>
                    <w:rPr>
                      <w:color w:val="auto"/>
                      <w:kern w:val="0"/>
                      <w:szCs w:val="21"/>
                      <w:highlight w:val="none"/>
                    </w:rPr>
                  </w:pPr>
                  <w:r>
                    <w:rPr>
                      <w:color w:val="auto"/>
                      <w:kern w:val="0"/>
                      <w:szCs w:val="21"/>
                      <w:highlight w:val="none"/>
                    </w:rPr>
                    <w:t>9</w:t>
                  </w:r>
                </w:p>
              </w:tc>
              <w:tc>
                <w:tcPr>
                  <w:tcW w:w="841" w:type="dxa"/>
                  <w:tcMar>
                    <w:top w:w="0" w:type="dxa"/>
                    <w:left w:w="57" w:type="dxa"/>
                    <w:bottom w:w="0" w:type="dxa"/>
                    <w:right w:w="57" w:type="dxa"/>
                  </w:tcMar>
                  <w:vAlign w:val="center"/>
                </w:tcPr>
                <w:p w14:paraId="31CE0E40">
                  <w:pPr>
                    <w:jc w:val="center"/>
                    <w:rPr>
                      <w:color w:val="auto"/>
                      <w:kern w:val="0"/>
                      <w:szCs w:val="21"/>
                      <w:highlight w:val="none"/>
                    </w:rPr>
                  </w:pPr>
                  <w:r>
                    <w:rPr>
                      <w:color w:val="auto"/>
                      <w:kern w:val="0"/>
                      <w:szCs w:val="21"/>
                      <w:highlight w:val="none"/>
                    </w:rPr>
                    <w:t>10</w:t>
                  </w:r>
                </w:p>
              </w:tc>
              <w:tc>
                <w:tcPr>
                  <w:tcW w:w="841" w:type="dxa"/>
                  <w:tcMar>
                    <w:top w:w="0" w:type="dxa"/>
                    <w:left w:w="57" w:type="dxa"/>
                    <w:bottom w:w="0" w:type="dxa"/>
                    <w:right w:w="57" w:type="dxa"/>
                  </w:tcMar>
                  <w:vAlign w:val="center"/>
                </w:tcPr>
                <w:p w14:paraId="4666FBAC">
                  <w:pPr>
                    <w:jc w:val="center"/>
                    <w:rPr>
                      <w:color w:val="auto"/>
                      <w:kern w:val="0"/>
                      <w:szCs w:val="21"/>
                      <w:highlight w:val="none"/>
                    </w:rPr>
                  </w:pPr>
                  <w:r>
                    <w:rPr>
                      <w:color w:val="auto"/>
                      <w:kern w:val="0"/>
                      <w:szCs w:val="21"/>
                      <w:highlight w:val="none"/>
                    </w:rPr>
                    <w:t>6</w:t>
                  </w:r>
                </w:p>
              </w:tc>
              <w:tc>
                <w:tcPr>
                  <w:tcW w:w="841" w:type="dxa"/>
                  <w:tcMar>
                    <w:top w:w="0" w:type="dxa"/>
                    <w:left w:w="57" w:type="dxa"/>
                    <w:bottom w:w="0" w:type="dxa"/>
                    <w:right w:w="57" w:type="dxa"/>
                  </w:tcMar>
                  <w:vAlign w:val="center"/>
                </w:tcPr>
                <w:p w14:paraId="55D00376">
                  <w:pPr>
                    <w:widowControl/>
                    <w:jc w:val="center"/>
                    <w:textAlignment w:val="center"/>
                    <w:rPr>
                      <w:color w:val="auto"/>
                      <w:kern w:val="0"/>
                      <w:szCs w:val="21"/>
                      <w:highlight w:val="none"/>
                    </w:rPr>
                  </w:pPr>
                  <w:r>
                    <w:rPr>
                      <w:color w:val="auto"/>
                      <w:kern w:val="0"/>
                      <w:szCs w:val="21"/>
                      <w:highlight w:val="none"/>
                      <w:lang w:bidi="ar"/>
                    </w:rPr>
                    <w:t>8</w:t>
                  </w:r>
                </w:p>
              </w:tc>
            </w:tr>
            <w:tr w14:paraId="4551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 w:hRule="atLeast"/>
                <w:jc w:val="center"/>
              </w:trPr>
              <w:tc>
                <w:tcPr>
                  <w:tcW w:w="949" w:type="dxa"/>
                  <w:vMerge w:val="continue"/>
                  <w:tcMar>
                    <w:top w:w="0" w:type="dxa"/>
                    <w:left w:w="57" w:type="dxa"/>
                    <w:bottom w:w="0" w:type="dxa"/>
                    <w:right w:w="57" w:type="dxa"/>
                  </w:tcMar>
                </w:tcPr>
                <w:p w14:paraId="7FC8A68E">
                  <w:pPr>
                    <w:jc w:val="center"/>
                    <w:rPr>
                      <w:color w:val="auto"/>
                      <w:szCs w:val="21"/>
                      <w:highlight w:val="none"/>
                    </w:rPr>
                  </w:pPr>
                </w:p>
              </w:tc>
              <w:tc>
                <w:tcPr>
                  <w:tcW w:w="1240" w:type="dxa"/>
                  <w:vMerge w:val="continue"/>
                  <w:tcMar>
                    <w:top w:w="0" w:type="dxa"/>
                    <w:left w:w="57" w:type="dxa"/>
                    <w:bottom w:w="0" w:type="dxa"/>
                    <w:right w:w="57" w:type="dxa"/>
                  </w:tcMar>
                  <w:vAlign w:val="center"/>
                </w:tcPr>
                <w:p w14:paraId="14C7FA8A">
                  <w:pPr>
                    <w:jc w:val="center"/>
                    <w:rPr>
                      <w:color w:val="auto"/>
                      <w:szCs w:val="21"/>
                      <w:highlight w:val="none"/>
                    </w:rPr>
                  </w:pPr>
                </w:p>
              </w:tc>
              <w:tc>
                <w:tcPr>
                  <w:tcW w:w="802" w:type="dxa"/>
                  <w:tcMar>
                    <w:top w:w="0" w:type="dxa"/>
                    <w:left w:w="57" w:type="dxa"/>
                    <w:bottom w:w="0" w:type="dxa"/>
                    <w:right w:w="57" w:type="dxa"/>
                  </w:tcMar>
                  <w:vAlign w:val="center"/>
                </w:tcPr>
                <w:p w14:paraId="28381797">
                  <w:pPr>
                    <w:jc w:val="center"/>
                    <w:rPr>
                      <w:color w:val="auto"/>
                      <w:kern w:val="0"/>
                      <w:szCs w:val="21"/>
                      <w:highlight w:val="none"/>
                    </w:rPr>
                  </w:pPr>
                  <w:r>
                    <w:rPr>
                      <w:color w:val="auto"/>
                      <w:kern w:val="0"/>
                      <w:szCs w:val="21"/>
                      <w:highlight w:val="none"/>
                    </w:rPr>
                    <w:t>溶解性总固体</w:t>
                  </w:r>
                </w:p>
              </w:tc>
              <w:tc>
                <w:tcPr>
                  <w:tcW w:w="935" w:type="dxa"/>
                  <w:tcMar>
                    <w:top w:w="0" w:type="dxa"/>
                    <w:left w:w="57" w:type="dxa"/>
                    <w:bottom w:w="0" w:type="dxa"/>
                    <w:right w:w="57" w:type="dxa"/>
                  </w:tcMar>
                  <w:vAlign w:val="center"/>
                </w:tcPr>
                <w:p w14:paraId="41A9A665">
                  <w:pPr>
                    <w:jc w:val="center"/>
                    <w:rPr>
                      <w:color w:val="auto"/>
                      <w:kern w:val="0"/>
                      <w:szCs w:val="21"/>
                      <w:highlight w:val="none"/>
                    </w:rPr>
                  </w:pPr>
                  <w:r>
                    <w:rPr>
                      <w:color w:val="auto"/>
                      <w:szCs w:val="21"/>
                      <w:highlight w:val="none"/>
                    </w:rPr>
                    <w:t>mg/L</w:t>
                  </w:r>
                </w:p>
              </w:tc>
              <w:tc>
                <w:tcPr>
                  <w:tcW w:w="841" w:type="dxa"/>
                  <w:tcMar>
                    <w:top w:w="0" w:type="dxa"/>
                    <w:left w:w="57" w:type="dxa"/>
                    <w:bottom w:w="0" w:type="dxa"/>
                    <w:right w:w="57" w:type="dxa"/>
                  </w:tcMar>
                  <w:vAlign w:val="center"/>
                </w:tcPr>
                <w:p w14:paraId="4142D7FB">
                  <w:pPr>
                    <w:jc w:val="center"/>
                    <w:rPr>
                      <w:color w:val="auto"/>
                      <w:kern w:val="0"/>
                      <w:szCs w:val="21"/>
                      <w:highlight w:val="none"/>
                    </w:rPr>
                  </w:pPr>
                  <w:r>
                    <w:rPr>
                      <w:color w:val="auto"/>
                      <w:kern w:val="0"/>
                      <w:szCs w:val="21"/>
                      <w:highlight w:val="none"/>
                    </w:rPr>
                    <w:t>328</w:t>
                  </w:r>
                </w:p>
              </w:tc>
              <w:tc>
                <w:tcPr>
                  <w:tcW w:w="841" w:type="dxa"/>
                  <w:tcMar>
                    <w:top w:w="0" w:type="dxa"/>
                    <w:left w:w="57" w:type="dxa"/>
                    <w:bottom w:w="0" w:type="dxa"/>
                    <w:right w:w="57" w:type="dxa"/>
                  </w:tcMar>
                  <w:vAlign w:val="center"/>
                </w:tcPr>
                <w:p w14:paraId="153B3C1A">
                  <w:pPr>
                    <w:jc w:val="center"/>
                    <w:rPr>
                      <w:color w:val="auto"/>
                      <w:kern w:val="0"/>
                      <w:szCs w:val="21"/>
                      <w:highlight w:val="none"/>
                    </w:rPr>
                  </w:pPr>
                  <w:r>
                    <w:rPr>
                      <w:color w:val="auto"/>
                      <w:kern w:val="0"/>
                      <w:szCs w:val="21"/>
                      <w:highlight w:val="none"/>
                    </w:rPr>
                    <w:t>322</w:t>
                  </w:r>
                </w:p>
              </w:tc>
              <w:tc>
                <w:tcPr>
                  <w:tcW w:w="841" w:type="dxa"/>
                  <w:tcMar>
                    <w:top w:w="0" w:type="dxa"/>
                    <w:left w:w="57" w:type="dxa"/>
                    <w:bottom w:w="0" w:type="dxa"/>
                    <w:right w:w="57" w:type="dxa"/>
                  </w:tcMar>
                  <w:vAlign w:val="center"/>
                </w:tcPr>
                <w:p w14:paraId="116063F8">
                  <w:pPr>
                    <w:jc w:val="center"/>
                    <w:rPr>
                      <w:color w:val="auto"/>
                      <w:kern w:val="0"/>
                      <w:szCs w:val="21"/>
                      <w:highlight w:val="none"/>
                    </w:rPr>
                  </w:pPr>
                  <w:r>
                    <w:rPr>
                      <w:color w:val="auto"/>
                      <w:kern w:val="0"/>
                      <w:szCs w:val="21"/>
                      <w:highlight w:val="none"/>
                    </w:rPr>
                    <w:t>319</w:t>
                  </w:r>
                </w:p>
              </w:tc>
              <w:tc>
                <w:tcPr>
                  <w:tcW w:w="841" w:type="dxa"/>
                  <w:tcMar>
                    <w:top w:w="0" w:type="dxa"/>
                    <w:left w:w="57" w:type="dxa"/>
                    <w:bottom w:w="0" w:type="dxa"/>
                    <w:right w:w="57" w:type="dxa"/>
                  </w:tcMar>
                  <w:vAlign w:val="center"/>
                </w:tcPr>
                <w:p w14:paraId="67D9E76D">
                  <w:pPr>
                    <w:jc w:val="center"/>
                    <w:rPr>
                      <w:color w:val="auto"/>
                      <w:kern w:val="0"/>
                      <w:szCs w:val="21"/>
                      <w:highlight w:val="none"/>
                    </w:rPr>
                  </w:pPr>
                  <w:r>
                    <w:rPr>
                      <w:color w:val="auto"/>
                      <w:kern w:val="0"/>
                      <w:szCs w:val="21"/>
                      <w:highlight w:val="none"/>
                    </w:rPr>
                    <w:t>310</w:t>
                  </w:r>
                </w:p>
              </w:tc>
              <w:tc>
                <w:tcPr>
                  <w:tcW w:w="841" w:type="dxa"/>
                  <w:tcMar>
                    <w:top w:w="0" w:type="dxa"/>
                    <w:left w:w="57" w:type="dxa"/>
                    <w:bottom w:w="0" w:type="dxa"/>
                    <w:right w:w="57" w:type="dxa"/>
                  </w:tcMar>
                  <w:vAlign w:val="center"/>
                </w:tcPr>
                <w:p w14:paraId="10C64229">
                  <w:pPr>
                    <w:widowControl/>
                    <w:jc w:val="center"/>
                    <w:textAlignment w:val="center"/>
                    <w:rPr>
                      <w:color w:val="auto"/>
                      <w:kern w:val="0"/>
                      <w:szCs w:val="21"/>
                      <w:highlight w:val="none"/>
                    </w:rPr>
                  </w:pPr>
                  <w:r>
                    <w:rPr>
                      <w:color w:val="auto"/>
                      <w:kern w:val="0"/>
                      <w:szCs w:val="21"/>
                      <w:highlight w:val="none"/>
                      <w:lang w:bidi="ar"/>
                    </w:rPr>
                    <w:t>320</w:t>
                  </w:r>
                </w:p>
              </w:tc>
            </w:tr>
          </w:tbl>
          <w:p w14:paraId="08338B11">
            <w:pPr>
              <w:adjustRightInd w:val="0"/>
              <w:snapToGrid w:val="0"/>
              <w:spacing w:line="360" w:lineRule="auto"/>
              <w:jc w:val="center"/>
              <w:rPr>
                <w:b/>
                <w:color w:val="auto"/>
                <w:kern w:val="0"/>
                <w:sz w:val="24"/>
                <w:highlight w:val="none"/>
              </w:rPr>
            </w:pPr>
            <w:r>
              <w:rPr>
                <w:b/>
                <w:color w:val="auto"/>
                <w:kern w:val="0"/>
                <w:sz w:val="24"/>
                <w:highlight w:val="none"/>
              </w:rPr>
              <w:t>表4</w:t>
            </w:r>
            <w:r>
              <w:rPr>
                <w:rFonts w:hint="eastAsia"/>
                <w:b/>
                <w:color w:val="auto"/>
                <w:kern w:val="0"/>
                <w:sz w:val="24"/>
                <w:highlight w:val="none"/>
              </w:rPr>
              <w:t>-1</w:t>
            </w:r>
            <w:r>
              <w:rPr>
                <w:rFonts w:hint="eastAsia"/>
                <w:b/>
                <w:color w:val="auto"/>
                <w:kern w:val="0"/>
                <w:sz w:val="24"/>
                <w:highlight w:val="none"/>
                <w:lang w:val="en-US" w:eastAsia="zh-CN"/>
              </w:rPr>
              <w:t>3</w:t>
            </w:r>
            <w:r>
              <w:rPr>
                <w:b/>
                <w:color w:val="auto"/>
                <w:kern w:val="0"/>
                <w:sz w:val="24"/>
                <w:highlight w:val="none"/>
              </w:rPr>
              <w:t xml:space="preserve">  混合水样监测结果一览表</w:t>
            </w:r>
          </w:p>
          <w:tbl>
            <w:tblPr>
              <w:tblStyle w:val="26"/>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631"/>
              <w:gridCol w:w="1267"/>
              <w:gridCol w:w="876"/>
              <w:gridCol w:w="905"/>
              <w:gridCol w:w="837"/>
              <w:gridCol w:w="837"/>
              <w:gridCol w:w="837"/>
              <w:gridCol w:w="837"/>
              <w:gridCol w:w="1370"/>
            </w:tblGrid>
            <w:tr w14:paraId="2473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2" w:type="dxa"/>
                  <w:vMerge w:val="restart"/>
                  <w:tcMar>
                    <w:top w:w="0" w:type="dxa"/>
                    <w:left w:w="57" w:type="dxa"/>
                    <w:bottom w:w="0" w:type="dxa"/>
                    <w:right w:w="57" w:type="dxa"/>
                  </w:tcMar>
                  <w:vAlign w:val="center"/>
                </w:tcPr>
                <w:p w14:paraId="01ED7D7B">
                  <w:pPr>
                    <w:widowControl/>
                    <w:jc w:val="center"/>
                    <w:rPr>
                      <w:color w:val="auto"/>
                      <w:kern w:val="0"/>
                      <w:szCs w:val="21"/>
                      <w:highlight w:val="none"/>
                    </w:rPr>
                  </w:pPr>
                  <w:r>
                    <w:rPr>
                      <w:color w:val="auto"/>
                      <w:kern w:val="0"/>
                      <w:szCs w:val="21"/>
                      <w:highlight w:val="none"/>
                    </w:rPr>
                    <w:t>监测项目</w:t>
                  </w:r>
                </w:p>
              </w:tc>
              <w:tc>
                <w:tcPr>
                  <w:tcW w:w="1267" w:type="dxa"/>
                  <w:vMerge w:val="restart"/>
                  <w:tcMar>
                    <w:top w:w="0" w:type="dxa"/>
                    <w:left w:w="57" w:type="dxa"/>
                    <w:bottom w:w="0" w:type="dxa"/>
                    <w:right w:w="57" w:type="dxa"/>
                  </w:tcMar>
                  <w:vAlign w:val="center"/>
                </w:tcPr>
                <w:p w14:paraId="57BC349C">
                  <w:pPr>
                    <w:widowControl/>
                    <w:jc w:val="center"/>
                    <w:rPr>
                      <w:color w:val="auto"/>
                      <w:kern w:val="0"/>
                      <w:szCs w:val="21"/>
                      <w:highlight w:val="none"/>
                    </w:rPr>
                  </w:pPr>
                  <w:r>
                    <w:rPr>
                      <w:color w:val="auto"/>
                      <w:kern w:val="0"/>
                      <w:szCs w:val="21"/>
                      <w:highlight w:val="none"/>
                    </w:rPr>
                    <w:t>监测时间</w:t>
                  </w:r>
                </w:p>
              </w:tc>
              <w:tc>
                <w:tcPr>
                  <w:tcW w:w="876" w:type="dxa"/>
                  <w:vMerge w:val="restart"/>
                  <w:tcMar>
                    <w:top w:w="0" w:type="dxa"/>
                    <w:left w:w="57" w:type="dxa"/>
                    <w:bottom w:w="0" w:type="dxa"/>
                    <w:right w:w="57" w:type="dxa"/>
                  </w:tcMar>
                  <w:vAlign w:val="center"/>
                </w:tcPr>
                <w:p w14:paraId="60D502EA">
                  <w:pPr>
                    <w:jc w:val="center"/>
                    <w:rPr>
                      <w:color w:val="auto"/>
                      <w:kern w:val="0"/>
                      <w:szCs w:val="21"/>
                      <w:highlight w:val="none"/>
                    </w:rPr>
                  </w:pPr>
                  <w:r>
                    <w:rPr>
                      <w:color w:val="auto"/>
                      <w:kern w:val="0"/>
                      <w:szCs w:val="21"/>
                      <w:highlight w:val="none"/>
                    </w:rPr>
                    <w:t>检测项目</w:t>
                  </w:r>
                </w:p>
              </w:tc>
              <w:tc>
                <w:tcPr>
                  <w:tcW w:w="905" w:type="dxa"/>
                  <w:vMerge w:val="restart"/>
                  <w:tcMar>
                    <w:top w:w="0" w:type="dxa"/>
                    <w:left w:w="57" w:type="dxa"/>
                    <w:bottom w:w="0" w:type="dxa"/>
                    <w:right w:w="57" w:type="dxa"/>
                  </w:tcMar>
                  <w:vAlign w:val="center"/>
                </w:tcPr>
                <w:p w14:paraId="019C1A30">
                  <w:pPr>
                    <w:jc w:val="center"/>
                    <w:rPr>
                      <w:color w:val="auto"/>
                      <w:kern w:val="0"/>
                      <w:szCs w:val="21"/>
                      <w:highlight w:val="none"/>
                    </w:rPr>
                  </w:pPr>
                  <w:r>
                    <w:rPr>
                      <w:color w:val="auto"/>
                      <w:szCs w:val="21"/>
                      <w:highlight w:val="none"/>
                    </w:rPr>
                    <w:t>单位</w:t>
                  </w:r>
                </w:p>
              </w:tc>
              <w:tc>
                <w:tcPr>
                  <w:tcW w:w="4718" w:type="dxa"/>
                  <w:gridSpan w:val="5"/>
                  <w:tcMar>
                    <w:top w:w="0" w:type="dxa"/>
                    <w:left w:w="57" w:type="dxa"/>
                    <w:bottom w:w="0" w:type="dxa"/>
                    <w:right w:w="57" w:type="dxa"/>
                  </w:tcMar>
                  <w:vAlign w:val="center"/>
                </w:tcPr>
                <w:p w14:paraId="7CB42F80">
                  <w:pPr>
                    <w:widowControl/>
                    <w:jc w:val="center"/>
                    <w:rPr>
                      <w:color w:val="auto"/>
                      <w:kern w:val="0"/>
                      <w:szCs w:val="21"/>
                      <w:highlight w:val="none"/>
                    </w:rPr>
                  </w:pPr>
                  <w:r>
                    <w:rPr>
                      <w:color w:val="auto"/>
                      <w:kern w:val="0"/>
                      <w:szCs w:val="21"/>
                      <w:highlight w:val="none"/>
                    </w:rPr>
                    <w:t>监测结果</w:t>
                  </w:r>
                </w:p>
              </w:tc>
            </w:tr>
            <w:tr w14:paraId="34B5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632" w:type="dxa"/>
                  <w:vMerge w:val="continue"/>
                  <w:tcMar>
                    <w:top w:w="0" w:type="dxa"/>
                    <w:left w:w="57" w:type="dxa"/>
                    <w:bottom w:w="0" w:type="dxa"/>
                    <w:right w:w="57" w:type="dxa"/>
                  </w:tcMar>
                  <w:vAlign w:val="center"/>
                </w:tcPr>
                <w:p w14:paraId="4B7A3A68">
                  <w:pPr>
                    <w:widowControl/>
                    <w:jc w:val="center"/>
                    <w:rPr>
                      <w:color w:val="auto"/>
                      <w:szCs w:val="21"/>
                      <w:highlight w:val="none"/>
                    </w:rPr>
                  </w:pPr>
                </w:p>
              </w:tc>
              <w:tc>
                <w:tcPr>
                  <w:tcW w:w="1267" w:type="dxa"/>
                  <w:vMerge w:val="continue"/>
                  <w:tcMar>
                    <w:top w:w="0" w:type="dxa"/>
                    <w:left w:w="57" w:type="dxa"/>
                    <w:bottom w:w="0" w:type="dxa"/>
                    <w:right w:w="57" w:type="dxa"/>
                  </w:tcMar>
                  <w:vAlign w:val="center"/>
                </w:tcPr>
                <w:p w14:paraId="6BD64EE6">
                  <w:pPr>
                    <w:widowControl/>
                    <w:jc w:val="center"/>
                    <w:rPr>
                      <w:color w:val="auto"/>
                      <w:szCs w:val="21"/>
                      <w:highlight w:val="none"/>
                    </w:rPr>
                  </w:pPr>
                </w:p>
              </w:tc>
              <w:tc>
                <w:tcPr>
                  <w:tcW w:w="876" w:type="dxa"/>
                  <w:vMerge w:val="continue"/>
                  <w:tcMar>
                    <w:top w:w="0" w:type="dxa"/>
                    <w:left w:w="57" w:type="dxa"/>
                    <w:bottom w:w="0" w:type="dxa"/>
                    <w:right w:w="57" w:type="dxa"/>
                  </w:tcMar>
                  <w:vAlign w:val="center"/>
                </w:tcPr>
                <w:p w14:paraId="215BC903">
                  <w:pPr>
                    <w:widowControl/>
                    <w:jc w:val="center"/>
                    <w:rPr>
                      <w:color w:val="auto"/>
                      <w:szCs w:val="21"/>
                      <w:highlight w:val="none"/>
                    </w:rPr>
                  </w:pPr>
                </w:p>
              </w:tc>
              <w:tc>
                <w:tcPr>
                  <w:tcW w:w="905" w:type="dxa"/>
                  <w:vMerge w:val="continue"/>
                  <w:tcMar>
                    <w:top w:w="0" w:type="dxa"/>
                    <w:left w:w="57" w:type="dxa"/>
                    <w:bottom w:w="0" w:type="dxa"/>
                    <w:right w:w="57" w:type="dxa"/>
                  </w:tcMar>
                  <w:vAlign w:val="center"/>
                </w:tcPr>
                <w:p w14:paraId="77F8E636">
                  <w:pPr>
                    <w:widowControl/>
                    <w:jc w:val="center"/>
                    <w:rPr>
                      <w:color w:val="auto"/>
                      <w:szCs w:val="21"/>
                      <w:highlight w:val="none"/>
                    </w:rPr>
                  </w:pPr>
                </w:p>
              </w:tc>
              <w:tc>
                <w:tcPr>
                  <w:tcW w:w="837" w:type="dxa"/>
                  <w:tcMar>
                    <w:top w:w="0" w:type="dxa"/>
                    <w:left w:w="57" w:type="dxa"/>
                    <w:bottom w:w="0" w:type="dxa"/>
                    <w:right w:w="57" w:type="dxa"/>
                  </w:tcMar>
                  <w:vAlign w:val="center"/>
                </w:tcPr>
                <w:p w14:paraId="67E679EE">
                  <w:pPr>
                    <w:widowControl/>
                    <w:jc w:val="center"/>
                    <w:rPr>
                      <w:color w:val="auto"/>
                      <w:kern w:val="0"/>
                      <w:szCs w:val="21"/>
                      <w:highlight w:val="none"/>
                    </w:rPr>
                  </w:pPr>
                  <w:r>
                    <w:rPr>
                      <w:color w:val="auto"/>
                      <w:kern w:val="0"/>
                      <w:szCs w:val="21"/>
                      <w:highlight w:val="none"/>
                    </w:rPr>
                    <w:t>第一次</w:t>
                  </w:r>
                </w:p>
              </w:tc>
              <w:tc>
                <w:tcPr>
                  <w:tcW w:w="837" w:type="dxa"/>
                  <w:tcMar>
                    <w:top w:w="0" w:type="dxa"/>
                    <w:left w:w="57" w:type="dxa"/>
                    <w:bottom w:w="0" w:type="dxa"/>
                    <w:right w:w="57" w:type="dxa"/>
                  </w:tcMar>
                  <w:vAlign w:val="center"/>
                </w:tcPr>
                <w:p w14:paraId="32AEA424">
                  <w:pPr>
                    <w:widowControl/>
                    <w:jc w:val="center"/>
                    <w:rPr>
                      <w:color w:val="auto"/>
                      <w:kern w:val="0"/>
                      <w:szCs w:val="21"/>
                      <w:highlight w:val="none"/>
                    </w:rPr>
                  </w:pPr>
                  <w:r>
                    <w:rPr>
                      <w:color w:val="auto"/>
                      <w:kern w:val="0"/>
                      <w:szCs w:val="21"/>
                      <w:highlight w:val="none"/>
                    </w:rPr>
                    <w:t>第二次</w:t>
                  </w:r>
                </w:p>
              </w:tc>
              <w:tc>
                <w:tcPr>
                  <w:tcW w:w="837" w:type="dxa"/>
                  <w:tcMar>
                    <w:top w:w="0" w:type="dxa"/>
                    <w:left w:w="57" w:type="dxa"/>
                    <w:bottom w:w="0" w:type="dxa"/>
                    <w:right w:w="57" w:type="dxa"/>
                  </w:tcMar>
                  <w:vAlign w:val="center"/>
                </w:tcPr>
                <w:p w14:paraId="4738BD0B">
                  <w:pPr>
                    <w:widowControl/>
                    <w:jc w:val="center"/>
                    <w:rPr>
                      <w:color w:val="auto"/>
                      <w:kern w:val="0"/>
                      <w:szCs w:val="21"/>
                      <w:highlight w:val="none"/>
                    </w:rPr>
                  </w:pPr>
                  <w:r>
                    <w:rPr>
                      <w:color w:val="auto"/>
                      <w:kern w:val="0"/>
                      <w:szCs w:val="21"/>
                      <w:highlight w:val="none"/>
                    </w:rPr>
                    <w:t>第三次</w:t>
                  </w:r>
                </w:p>
              </w:tc>
              <w:tc>
                <w:tcPr>
                  <w:tcW w:w="837" w:type="dxa"/>
                  <w:tcMar>
                    <w:top w:w="0" w:type="dxa"/>
                    <w:left w:w="57" w:type="dxa"/>
                    <w:bottom w:w="0" w:type="dxa"/>
                    <w:right w:w="57" w:type="dxa"/>
                  </w:tcMar>
                  <w:vAlign w:val="center"/>
                </w:tcPr>
                <w:p w14:paraId="2E611E91">
                  <w:pPr>
                    <w:widowControl/>
                    <w:jc w:val="center"/>
                    <w:rPr>
                      <w:color w:val="auto"/>
                      <w:kern w:val="0"/>
                      <w:szCs w:val="21"/>
                      <w:highlight w:val="none"/>
                    </w:rPr>
                  </w:pPr>
                  <w:r>
                    <w:rPr>
                      <w:color w:val="auto"/>
                      <w:kern w:val="0"/>
                      <w:szCs w:val="21"/>
                      <w:highlight w:val="none"/>
                    </w:rPr>
                    <w:t>第四次</w:t>
                  </w:r>
                </w:p>
              </w:tc>
              <w:tc>
                <w:tcPr>
                  <w:tcW w:w="1370" w:type="dxa"/>
                  <w:tcMar>
                    <w:top w:w="0" w:type="dxa"/>
                    <w:left w:w="57" w:type="dxa"/>
                    <w:bottom w:w="0" w:type="dxa"/>
                    <w:right w:w="57" w:type="dxa"/>
                  </w:tcMar>
                  <w:vAlign w:val="center"/>
                </w:tcPr>
                <w:p w14:paraId="565C6476">
                  <w:pPr>
                    <w:widowControl/>
                    <w:jc w:val="center"/>
                    <w:rPr>
                      <w:color w:val="auto"/>
                      <w:kern w:val="0"/>
                      <w:szCs w:val="21"/>
                      <w:highlight w:val="none"/>
                    </w:rPr>
                  </w:pPr>
                  <w:r>
                    <w:rPr>
                      <w:color w:val="auto"/>
                      <w:kern w:val="0"/>
                      <w:szCs w:val="21"/>
                      <w:highlight w:val="none"/>
                    </w:rPr>
                    <w:t>平均值</w:t>
                  </w:r>
                </w:p>
              </w:tc>
            </w:tr>
            <w:tr w14:paraId="537A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restart"/>
                  <w:tcMar>
                    <w:top w:w="0" w:type="dxa"/>
                    <w:left w:w="57" w:type="dxa"/>
                    <w:bottom w:w="0" w:type="dxa"/>
                    <w:right w:w="57" w:type="dxa"/>
                  </w:tcMar>
                  <w:vAlign w:val="center"/>
                </w:tcPr>
                <w:p w14:paraId="72DD4D26">
                  <w:pPr>
                    <w:widowControl/>
                    <w:jc w:val="center"/>
                    <w:rPr>
                      <w:color w:val="auto"/>
                      <w:kern w:val="0"/>
                      <w:szCs w:val="21"/>
                      <w:highlight w:val="none"/>
                    </w:rPr>
                  </w:pPr>
                  <w:r>
                    <w:rPr>
                      <w:rFonts w:hint="eastAsia"/>
                      <w:color w:val="auto"/>
                      <w:kern w:val="0"/>
                      <w:szCs w:val="21"/>
                      <w:highlight w:val="none"/>
                      <w:lang w:eastAsia="zh-CN"/>
                    </w:rPr>
                    <w:t>蒸汽发生器</w:t>
                  </w:r>
                  <w:r>
                    <w:rPr>
                      <w:color w:val="auto"/>
                      <w:kern w:val="0"/>
                      <w:szCs w:val="21"/>
                      <w:highlight w:val="none"/>
                    </w:rPr>
                    <w:t>废水、软水制备弃水及软水制备清洗废水混合水样</w:t>
                  </w:r>
                </w:p>
                <w:p w14:paraId="3B4C7BC1">
                  <w:pPr>
                    <w:widowControl/>
                    <w:jc w:val="center"/>
                    <w:rPr>
                      <w:color w:val="auto"/>
                      <w:kern w:val="0"/>
                      <w:szCs w:val="21"/>
                      <w:highlight w:val="none"/>
                    </w:rPr>
                  </w:pPr>
                </w:p>
              </w:tc>
              <w:tc>
                <w:tcPr>
                  <w:tcW w:w="1267" w:type="dxa"/>
                  <w:vMerge w:val="restart"/>
                  <w:tcMar>
                    <w:top w:w="0" w:type="dxa"/>
                    <w:left w:w="57" w:type="dxa"/>
                    <w:bottom w:w="0" w:type="dxa"/>
                    <w:right w:w="57" w:type="dxa"/>
                  </w:tcMar>
                  <w:vAlign w:val="center"/>
                </w:tcPr>
                <w:p w14:paraId="1310F70C">
                  <w:pPr>
                    <w:widowControl/>
                    <w:jc w:val="center"/>
                    <w:rPr>
                      <w:color w:val="auto"/>
                      <w:kern w:val="0"/>
                      <w:szCs w:val="21"/>
                      <w:highlight w:val="none"/>
                    </w:rPr>
                  </w:pPr>
                  <w:r>
                    <w:rPr>
                      <w:color w:val="auto"/>
                      <w:szCs w:val="21"/>
                      <w:highlight w:val="none"/>
                    </w:rPr>
                    <w:t>2022.4.24</w:t>
                  </w:r>
                </w:p>
              </w:tc>
              <w:tc>
                <w:tcPr>
                  <w:tcW w:w="876" w:type="dxa"/>
                  <w:tcMar>
                    <w:top w:w="0" w:type="dxa"/>
                    <w:left w:w="57" w:type="dxa"/>
                    <w:bottom w:w="0" w:type="dxa"/>
                    <w:right w:w="57" w:type="dxa"/>
                  </w:tcMar>
                  <w:vAlign w:val="center"/>
                </w:tcPr>
                <w:p w14:paraId="767CC121">
                  <w:pPr>
                    <w:jc w:val="center"/>
                    <w:rPr>
                      <w:color w:val="auto"/>
                      <w:kern w:val="0"/>
                      <w:szCs w:val="21"/>
                      <w:highlight w:val="none"/>
                    </w:rPr>
                  </w:pPr>
                  <w:r>
                    <w:rPr>
                      <w:color w:val="auto"/>
                      <w:kern w:val="0"/>
                      <w:szCs w:val="21"/>
                      <w:highlight w:val="none"/>
                    </w:rPr>
                    <w:t>pH</w:t>
                  </w:r>
                </w:p>
              </w:tc>
              <w:tc>
                <w:tcPr>
                  <w:tcW w:w="905" w:type="dxa"/>
                  <w:tcMar>
                    <w:top w:w="0" w:type="dxa"/>
                    <w:left w:w="57" w:type="dxa"/>
                    <w:bottom w:w="0" w:type="dxa"/>
                    <w:right w:w="57" w:type="dxa"/>
                  </w:tcMar>
                  <w:vAlign w:val="center"/>
                </w:tcPr>
                <w:p w14:paraId="6519A094">
                  <w:pPr>
                    <w:jc w:val="center"/>
                    <w:rPr>
                      <w:color w:val="auto"/>
                      <w:kern w:val="0"/>
                      <w:szCs w:val="21"/>
                      <w:highlight w:val="none"/>
                    </w:rPr>
                  </w:pPr>
                  <w:r>
                    <w:rPr>
                      <w:color w:val="auto"/>
                      <w:szCs w:val="21"/>
                      <w:highlight w:val="none"/>
                    </w:rPr>
                    <w:t>无量纲</w:t>
                  </w:r>
                </w:p>
              </w:tc>
              <w:tc>
                <w:tcPr>
                  <w:tcW w:w="837" w:type="dxa"/>
                  <w:tcMar>
                    <w:top w:w="0" w:type="dxa"/>
                    <w:left w:w="57" w:type="dxa"/>
                    <w:bottom w:w="0" w:type="dxa"/>
                    <w:right w:w="57" w:type="dxa"/>
                  </w:tcMar>
                  <w:vAlign w:val="center"/>
                </w:tcPr>
                <w:p w14:paraId="3C5E6166">
                  <w:pPr>
                    <w:jc w:val="center"/>
                    <w:rPr>
                      <w:color w:val="auto"/>
                      <w:kern w:val="0"/>
                      <w:szCs w:val="21"/>
                      <w:highlight w:val="none"/>
                    </w:rPr>
                  </w:pPr>
                  <w:r>
                    <w:rPr>
                      <w:color w:val="auto"/>
                      <w:kern w:val="0"/>
                      <w:szCs w:val="21"/>
                      <w:highlight w:val="none"/>
                    </w:rPr>
                    <w:t>10.3</w:t>
                  </w:r>
                </w:p>
              </w:tc>
              <w:tc>
                <w:tcPr>
                  <w:tcW w:w="837" w:type="dxa"/>
                  <w:tcMar>
                    <w:top w:w="0" w:type="dxa"/>
                    <w:left w:w="57" w:type="dxa"/>
                    <w:bottom w:w="0" w:type="dxa"/>
                    <w:right w:w="57" w:type="dxa"/>
                  </w:tcMar>
                  <w:vAlign w:val="center"/>
                </w:tcPr>
                <w:p w14:paraId="5FE1A8E2">
                  <w:pPr>
                    <w:jc w:val="center"/>
                    <w:rPr>
                      <w:color w:val="auto"/>
                      <w:kern w:val="0"/>
                      <w:szCs w:val="21"/>
                      <w:highlight w:val="none"/>
                    </w:rPr>
                  </w:pPr>
                  <w:r>
                    <w:rPr>
                      <w:color w:val="auto"/>
                      <w:kern w:val="0"/>
                      <w:szCs w:val="21"/>
                      <w:highlight w:val="none"/>
                    </w:rPr>
                    <w:t>10.8</w:t>
                  </w:r>
                </w:p>
              </w:tc>
              <w:tc>
                <w:tcPr>
                  <w:tcW w:w="837" w:type="dxa"/>
                  <w:tcMar>
                    <w:top w:w="0" w:type="dxa"/>
                    <w:left w:w="57" w:type="dxa"/>
                    <w:bottom w:w="0" w:type="dxa"/>
                    <w:right w:w="57" w:type="dxa"/>
                  </w:tcMar>
                  <w:vAlign w:val="center"/>
                </w:tcPr>
                <w:p w14:paraId="5A2EF7E5">
                  <w:pPr>
                    <w:jc w:val="center"/>
                    <w:rPr>
                      <w:color w:val="auto"/>
                      <w:kern w:val="0"/>
                      <w:szCs w:val="21"/>
                      <w:highlight w:val="none"/>
                    </w:rPr>
                  </w:pPr>
                  <w:r>
                    <w:rPr>
                      <w:color w:val="auto"/>
                      <w:kern w:val="0"/>
                      <w:szCs w:val="21"/>
                      <w:highlight w:val="none"/>
                    </w:rPr>
                    <w:t>9.8</w:t>
                  </w:r>
                </w:p>
              </w:tc>
              <w:tc>
                <w:tcPr>
                  <w:tcW w:w="837" w:type="dxa"/>
                  <w:tcMar>
                    <w:top w:w="0" w:type="dxa"/>
                    <w:left w:w="57" w:type="dxa"/>
                    <w:bottom w:w="0" w:type="dxa"/>
                    <w:right w:w="57" w:type="dxa"/>
                  </w:tcMar>
                  <w:vAlign w:val="center"/>
                </w:tcPr>
                <w:p w14:paraId="22824436">
                  <w:pPr>
                    <w:jc w:val="center"/>
                    <w:rPr>
                      <w:color w:val="auto"/>
                      <w:kern w:val="0"/>
                      <w:szCs w:val="21"/>
                      <w:highlight w:val="none"/>
                    </w:rPr>
                  </w:pPr>
                  <w:r>
                    <w:rPr>
                      <w:color w:val="auto"/>
                      <w:kern w:val="0"/>
                      <w:szCs w:val="21"/>
                      <w:highlight w:val="none"/>
                    </w:rPr>
                    <w:t>9.9</w:t>
                  </w:r>
                </w:p>
              </w:tc>
              <w:tc>
                <w:tcPr>
                  <w:tcW w:w="1370" w:type="dxa"/>
                  <w:tcMar>
                    <w:top w:w="0" w:type="dxa"/>
                    <w:left w:w="57" w:type="dxa"/>
                    <w:bottom w:w="0" w:type="dxa"/>
                    <w:right w:w="57" w:type="dxa"/>
                  </w:tcMar>
                  <w:vAlign w:val="center"/>
                </w:tcPr>
                <w:p w14:paraId="11217A69">
                  <w:pPr>
                    <w:jc w:val="center"/>
                    <w:rPr>
                      <w:color w:val="auto"/>
                      <w:kern w:val="0"/>
                      <w:szCs w:val="21"/>
                      <w:highlight w:val="none"/>
                    </w:rPr>
                  </w:pPr>
                  <w:r>
                    <w:rPr>
                      <w:color w:val="auto"/>
                      <w:kern w:val="0"/>
                      <w:szCs w:val="21"/>
                      <w:highlight w:val="none"/>
                    </w:rPr>
                    <w:t>10.2</w:t>
                  </w:r>
                </w:p>
              </w:tc>
            </w:tr>
            <w:tr w14:paraId="682F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25809F2C">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0EE06B7A">
                  <w:pPr>
                    <w:widowControl/>
                    <w:jc w:val="center"/>
                    <w:rPr>
                      <w:color w:val="auto"/>
                      <w:kern w:val="0"/>
                      <w:szCs w:val="21"/>
                      <w:highlight w:val="none"/>
                    </w:rPr>
                  </w:pPr>
                </w:p>
              </w:tc>
              <w:tc>
                <w:tcPr>
                  <w:tcW w:w="876" w:type="dxa"/>
                  <w:tcMar>
                    <w:top w:w="0" w:type="dxa"/>
                    <w:left w:w="57" w:type="dxa"/>
                    <w:bottom w:w="0" w:type="dxa"/>
                    <w:right w:w="57" w:type="dxa"/>
                  </w:tcMar>
                  <w:vAlign w:val="center"/>
                </w:tcPr>
                <w:p w14:paraId="5619B5DF">
                  <w:pPr>
                    <w:jc w:val="center"/>
                    <w:rPr>
                      <w:color w:val="auto"/>
                      <w:kern w:val="0"/>
                      <w:szCs w:val="21"/>
                      <w:highlight w:val="none"/>
                      <w:vertAlign w:val="subscript"/>
                    </w:rPr>
                  </w:pPr>
                  <w:r>
                    <w:rPr>
                      <w:color w:val="auto"/>
                      <w:kern w:val="0"/>
                      <w:szCs w:val="21"/>
                      <w:highlight w:val="none"/>
                    </w:rPr>
                    <w:t>COD</w:t>
                  </w:r>
                </w:p>
              </w:tc>
              <w:tc>
                <w:tcPr>
                  <w:tcW w:w="905" w:type="dxa"/>
                  <w:tcMar>
                    <w:top w:w="0" w:type="dxa"/>
                    <w:left w:w="57" w:type="dxa"/>
                    <w:bottom w:w="0" w:type="dxa"/>
                    <w:right w:w="57" w:type="dxa"/>
                  </w:tcMar>
                  <w:vAlign w:val="center"/>
                </w:tcPr>
                <w:p w14:paraId="255DAFBD">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21864601">
                  <w:pPr>
                    <w:jc w:val="center"/>
                    <w:rPr>
                      <w:color w:val="auto"/>
                      <w:kern w:val="0"/>
                      <w:szCs w:val="21"/>
                      <w:highlight w:val="none"/>
                    </w:rPr>
                  </w:pPr>
                  <w:r>
                    <w:rPr>
                      <w:color w:val="auto"/>
                      <w:kern w:val="0"/>
                      <w:szCs w:val="21"/>
                      <w:highlight w:val="none"/>
                    </w:rPr>
                    <w:t>156</w:t>
                  </w:r>
                </w:p>
              </w:tc>
              <w:tc>
                <w:tcPr>
                  <w:tcW w:w="837" w:type="dxa"/>
                  <w:tcMar>
                    <w:top w:w="0" w:type="dxa"/>
                    <w:left w:w="57" w:type="dxa"/>
                    <w:bottom w:w="0" w:type="dxa"/>
                    <w:right w:w="57" w:type="dxa"/>
                  </w:tcMar>
                  <w:vAlign w:val="center"/>
                </w:tcPr>
                <w:p w14:paraId="379BCFD0">
                  <w:pPr>
                    <w:jc w:val="center"/>
                    <w:rPr>
                      <w:color w:val="auto"/>
                      <w:kern w:val="0"/>
                      <w:szCs w:val="21"/>
                      <w:highlight w:val="none"/>
                    </w:rPr>
                  </w:pPr>
                  <w:r>
                    <w:rPr>
                      <w:color w:val="auto"/>
                      <w:kern w:val="0"/>
                      <w:szCs w:val="21"/>
                      <w:highlight w:val="none"/>
                    </w:rPr>
                    <w:t>178</w:t>
                  </w:r>
                </w:p>
              </w:tc>
              <w:tc>
                <w:tcPr>
                  <w:tcW w:w="837" w:type="dxa"/>
                  <w:tcMar>
                    <w:top w:w="0" w:type="dxa"/>
                    <w:left w:w="57" w:type="dxa"/>
                    <w:bottom w:w="0" w:type="dxa"/>
                    <w:right w:w="57" w:type="dxa"/>
                  </w:tcMar>
                  <w:vAlign w:val="center"/>
                </w:tcPr>
                <w:p w14:paraId="7F359CBD">
                  <w:pPr>
                    <w:jc w:val="center"/>
                    <w:rPr>
                      <w:color w:val="auto"/>
                      <w:kern w:val="0"/>
                      <w:szCs w:val="21"/>
                      <w:highlight w:val="none"/>
                    </w:rPr>
                  </w:pPr>
                  <w:r>
                    <w:rPr>
                      <w:color w:val="auto"/>
                      <w:kern w:val="0"/>
                      <w:szCs w:val="21"/>
                      <w:highlight w:val="none"/>
                    </w:rPr>
                    <w:t>174</w:t>
                  </w:r>
                </w:p>
              </w:tc>
              <w:tc>
                <w:tcPr>
                  <w:tcW w:w="837" w:type="dxa"/>
                  <w:tcMar>
                    <w:top w:w="0" w:type="dxa"/>
                    <w:left w:w="57" w:type="dxa"/>
                    <w:bottom w:w="0" w:type="dxa"/>
                    <w:right w:w="57" w:type="dxa"/>
                  </w:tcMar>
                  <w:vAlign w:val="center"/>
                </w:tcPr>
                <w:p w14:paraId="739FA634">
                  <w:pPr>
                    <w:jc w:val="center"/>
                    <w:rPr>
                      <w:color w:val="auto"/>
                      <w:kern w:val="0"/>
                      <w:szCs w:val="21"/>
                      <w:highlight w:val="none"/>
                    </w:rPr>
                  </w:pPr>
                  <w:r>
                    <w:rPr>
                      <w:color w:val="auto"/>
                      <w:kern w:val="0"/>
                      <w:szCs w:val="21"/>
                      <w:highlight w:val="none"/>
                    </w:rPr>
                    <w:t>165</w:t>
                  </w:r>
                </w:p>
              </w:tc>
              <w:tc>
                <w:tcPr>
                  <w:tcW w:w="1370" w:type="dxa"/>
                  <w:tcMar>
                    <w:top w:w="0" w:type="dxa"/>
                    <w:left w:w="57" w:type="dxa"/>
                    <w:bottom w:w="0" w:type="dxa"/>
                    <w:right w:w="57" w:type="dxa"/>
                  </w:tcMar>
                  <w:vAlign w:val="center"/>
                </w:tcPr>
                <w:p w14:paraId="1CCA00B0">
                  <w:pPr>
                    <w:jc w:val="center"/>
                    <w:rPr>
                      <w:color w:val="auto"/>
                      <w:kern w:val="0"/>
                      <w:szCs w:val="21"/>
                      <w:highlight w:val="none"/>
                    </w:rPr>
                  </w:pPr>
                  <w:r>
                    <w:rPr>
                      <w:color w:val="auto"/>
                      <w:kern w:val="0"/>
                      <w:szCs w:val="21"/>
                      <w:highlight w:val="none"/>
                    </w:rPr>
                    <w:t>168.25</w:t>
                  </w:r>
                </w:p>
              </w:tc>
            </w:tr>
            <w:tr w14:paraId="2448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07FB6718">
                  <w:pPr>
                    <w:jc w:val="center"/>
                    <w:rPr>
                      <w:color w:val="auto"/>
                      <w:szCs w:val="21"/>
                      <w:highlight w:val="none"/>
                    </w:rPr>
                  </w:pPr>
                </w:p>
              </w:tc>
              <w:tc>
                <w:tcPr>
                  <w:tcW w:w="1267" w:type="dxa"/>
                  <w:vMerge w:val="continue"/>
                  <w:tcMar>
                    <w:top w:w="0" w:type="dxa"/>
                    <w:left w:w="57" w:type="dxa"/>
                    <w:bottom w:w="0" w:type="dxa"/>
                    <w:right w:w="57" w:type="dxa"/>
                  </w:tcMar>
                  <w:vAlign w:val="center"/>
                </w:tcPr>
                <w:p w14:paraId="44E0B199">
                  <w:pPr>
                    <w:jc w:val="center"/>
                    <w:rPr>
                      <w:color w:val="auto"/>
                      <w:szCs w:val="21"/>
                      <w:highlight w:val="none"/>
                    </w:rPr>
                  </w:pPr>
                </w:p>
              </w:tc>
              <w:tc>
                <w:tcPr>
                  <w:tcW w:w="876" w:type="dxa"/>
                  <w:tcMar>
                    <w:top w:w="0" w:type="dxa"/>
                    <w:left w:w="57" w:type="dxa"/>
                    <w:bottom w:w="0" w:type="dxa"/>
                    <w:right w:w="57" w:type="dxa"/>
                  </w:tcMar>
                  <w:vAlign w:val="center"/>
                </w:tcPr>
                <w:p w14:paraId="6AF87E37">
                  <w:pPr>
                    <w:jc w:val="center"/>
                    <w:rPr>
                      <w:color w:val="auto"/>
                      <w:kern w:val="0"/>
                      <w:szCs w:val="21"/>
                      <w:highlight w:val="none"/>
                    </w:rPr>
                  </w:pPr>
                  <w:r>
                    <w:rPr>
                      <w:color w:val="auto"/>
                      <w:kern w:val="0"/>
                      <w:szCs w:val="21"/>
                      <w:highlight w:val="none"/>
                    </w:rPr>
                    <w:t>BOD</w:t>
                  </w:r>
                  <w:r>
                    <w:rPr>
                      <w:color w:val="auto"/>
                      <w:kern w:val="0"/>
                      <w:szCs w:val="21"/>
                      <w:highlight w:val="none"/>
                      <w:vertAlign w:val="subscript"/>
                    </w:rPr>
                    <w:t>5</w:t>
                  </w:r>
                </w:p>
              </w:tc>
              <w:tc>
                <w:tcPr>
                  <w:tcW w:w="905" w:type="dxa"/>
                  <w:tcMar>
                    <w:top w:w="0" w:type="dxa"/>
                    <w:left w:w="57" w:type="dxa"/>
                    <w:bottom w:w="0" w:type="dxa"/>
                    <w:right w:w="57" w:type="dxa"/>
                  </w:tcMar>
                  <w:vAlign w:val="center"/>
                </w:tcPr>
                <w:p w14:paraId="528DF9B1">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3CAEBA5B">
                  <w:pPr>
                    <w:jc w:val="center"/>
                    <w:rPr>
                      <w:color w:val="auto"/>
                      <w:kern w:val="0"/>
                      <w:szCs w:val="21"/>
                      <w:highlight w:val="none"/>
                    </w:rPr>
                  </w:pPr>
                  <w:r>
                    <w:rPr>
                      <w:color w:val="auto"/>
                      <w:kern w:val="0"/>
                      <w:szCs w:val="21"/>
                      <w:highlight w:val="none"/>
                    </w:rPr>
                    <w:t>51.9</w:t>
                  </w:r>
                </w:p>
              </w:tc>
              <w:tc>
                <w:tcPr>
                  <w:tcW w:w="837" w:type="dxa"/>
                  <w:tcMar>
                    <w:top w:w="0" w:type="dxa"/>
                    <w:left w:w="57" w:type="dxa"/>
                    <w:bottom w:w="0" w:type="dxa"/>
                    <w:right w:w="57" w:type="dxa"/>
                  </w:tcMar>
                  <w:vAlign w:val="center"/>
                </w:tcPr>
                <w:p w14:paraId="4C29855D">
                  <w:pPr>
                    <w:jc w:val="center"/>
                    <w:rPr>
                      <w:color w:val="auto"/>
                      <w:kern w:val="0"/>
                      <w:szCs w:val="21"/>
                      <w:highlight w:val="none"/>
                    </w:rPr>
                  </w:pPr>
                  <w:r>
                    <w:rPr>
                      <w:color w:val="auto"/>
                      <w:kern w:val="0"/>
                      <w:szCs w:val="21"/>
                      <w:highlight w:val="none"/>
                    </w:rPr>
                    <w:t>55.3</w:t>
                  </w:r>
                </w:p>
              </w:tc>
              <w:tc>
                <w:tcPr>
                  <w:tcW w:w="837" w:type="dxa"/>
                  <w:tcMar>
                    <w:top w:w="0" w:type="dxa"/>
                    <w:left w:w="57" w:type="dxa"/>
                    <w:bottom w:w="0" w:type="dxa"/>
                    <w:right w:w="57" w:type="dxa"/>
                  </w:tcMar>
                  <w:vAlign w:val="center"/>
                </w:tcPr>
                <w:p w14:paraId="333F64A5">
                  <w:pPr>
                    <w:jc w:val="center"/>
                    <w:rPr>
                      <w:color w:val="auto"/>
                      <w:kern w:val="0"/>
                      <w:szCs w:val="21"/>
                      <w:highlight w:val="none"/>
                    </w:rPr>
                  </w:pPr>
                  <w:r>
                    <w:rPr>
                      <w:color w:val="auto"/>
                      <w:kern w:val="0"/>
                      <w:szCs w:val="21"/>
                      <w:highlight w:val="none"/>
                    </w:rPr>
                    <w:t>48.7</w:t>
                  </w:r>
                </w:p>
              </w:tc>
              <w:tc>
                <w:tcPr>
                  <w:tcW w:w="837" w:type="dxa"/>
                  <w:tcMar>
                    <w:top w:w="0" w:type="dxa"/>
                    <w:left w:w="57" w:type="dxa"/>
                    <w:bottom w:w="0" w:type="dxa"/>
                    <w:right w:w="57" w:type="dxa"/>
                  </w:tcMar>
                  <w:vAlign w:val="center"/>
                </w:tcPr>
                <w:p w14:paraId="1FBF03C9">
                  <w:pPr>
                    <w:jc w:val="center"/>
                    <w:rPr>
                      <w:color w:val="auto"/>
                      <w:kern w:val="0"/>
                      <w:szCs w:val="21"/>
                      <w:highlight w:val="none"/>
                    </w:rPr>
                  </w:pPr>
                  <w:r>
                    <w:rPr>
                      <w:color w:val="auto"/>
                      <w:kern w:val="0"/>
                      <w:szCs w:val="21"/>
                      <w:highlight w:val="none"/>
                    </w:rPr>
                    <w:t>42.5</w:t>
                  </w:r>
                </w:p>
              </w:tc>
              <w:tc>
                <w:tcPr>
                  <w:tcW w:w="1370" w:type="dxa"/>
                  <w:tcMar>
                    <w:top w:w="0" w:type="dxa"/>
                    <w:left w:w="57" w:type="dxa"/>
                    <w:bottom w:w="0" w:type="dxa"/>
                    <w:right w:w="57" w:type="dxa"/>
                  </w:tcMar>
                  <w:vAlign w:val="center"/>
                </w:tcPr>
                <w:p w14:paraId="071EE665">
                  <w:pPr>
                    <w:jc w:val="center"/>
                    <w:rPr>
                      <w:color w:val="auto"/>
                      <w:kern w:val="0"/>
                      <w:szCs w:val="21"/>
                      <w:highlight w:val="none"/>
                    </w:rPr>
                  </w:pPr>
                  <w:r>
                    <w:rPr>
                      <w:color w:val="auto"/>
                      <w:kern w:val="0"/>
                      <w:szCs w:val="21"/>
                      <w:highlight w:val="none"/>
                    </w:rPr>
                    <w:t>49.6</w:t>
                  </w:r>
                </w:p>
              </w:tc>
            </w:tr>
            <w:tr w14:paraId="3965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0E48D3B2">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1F17FB2C">
                  <w:pPr>
                    <w:widowControl/>
                    <w:jc w:val="center"/>
                    <w:rPr>
                      <w:color w:val="auto"/>
                      <w:kern w:val="0"/>
                      <w:szCs w:val="21"/>
                      <w:highlight w:val="none"/>
                    </w:rPr>
                  </w:pPr>
                </w:p>
              </w:tc>
              <w:tc>
                <w:tcPr>
                  <w:tcW w:w="876" w:type="dxa"/>
                  <w:tcMar>
                    <w:top w:w="0" w:type="dxa"/>
                    <w:left w:w="57" w:type="dxa"/>
                    <w:bottom w:w="0" w:type="dxa"/>
                    <w:right w:w="57" w:type="dxa"/>
                  </w:tcMar>
                  <w:vAlign w:val="center"/>
                </w:tcPr>
                <w:p w14:paraId="30A9C599">
                  <w:pPr>
                    <w:jc w:val="center"/>
                    <w:rPr>
                      <w:color w:val="auto"/>
                      <w:kern w:val="0"/>
                      <w:szCs w:val="21"/>
                      <w:highlight w:val="none"/>
                    </w:rPr>
                  </w:pPr>
                  <w:r>
                    <w:rPr>
                      <w:color w:val="auto"/>
                      <w:kern w:val="0"/>
                      <w:szCs w:val="21"/>
                      <w:highlight w:val="none"/>
                    </w:rPr>
                    <w:t>氨氮</w:t>
                  </w:r>
                </w:p>
              </w:tc>
              <w:tc>
                <w:tcPr>
                  <w:tcW w:w="905" w:type="dxa"/>
                  <w:tcMar>
                    <w:top w:w="0" w:type="dxa"/>
                    <w:left w:w="57" w:type="dxa"/>
                    <w:bottom w:w="0" w:type="dxa"/>
                    <w:right w:w="57" w:type="dxa"/>
                  </w:tcMar>
                  <w:vAlign w:val="center"/>
                </w:tcPr>
                <w:p w14:paraId="4EAC6E67">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3092745F">
                  <w:pPr>
                    <w:jc w:val="center"/>
                    <w:rPr>
                      <w:color w:val="auto"/>
                      <w:kern w:val="0"/>
                      <w:szCs w:val="21"/>
                      <w:highlight w:val="none"/>
                    </w:rPr>
                  </w:pPr>
                  <w:r>
                    <w:rPr>
                      <w:color w:val="auto"/>
                      <w:kern w:val="0"/>
                      <w:szCs w:val="21"/>
                      <w:highlight w:val="none"/>
                    </w:rPr>
                    <w:t>0.052</w:t>
                  </w:r>
                </w:p>
              </w:tc>
              <w:tc>
                <w:tcPr>
                  <w:tcW w:w="837" w:type="dxa"/>
                  <w:tcMar>
                    <w:top w:w="0" w:type="dxa"/>
                    <w:left w:w="57" w:type="dxa"/>
                    <w:bottom w:w="0" w:type="dxa"/>
                    <w:right w:w="57" w:type="dxa"/>
                  </w:tcMar>
                  <w:vAlign w:val="center"/>
                </w:tcPr>
                <w:p w14:paraId="13839492">
                  <w:pPr>
                    <w:jc w:val="center"/>
                    <w:rPr>
                      <w:color w:val="auto"/>
                      <w:kern w:val="0"/>
                      <w:szCs w:val="21"/>
                      <w:highlight w:val="none"/>
                    </w:rPr>
                  </w:pPr>
                  <w:r>
                    <w:rPr>
                      <w:color w:val="auto"/>
                      <w:kern w:val="0"/>
                      <w:szCs w:val="21"/>
                      <w:highlight w:val="none"/>
                    </w:rPr>
                    <w:t>0.048</w:t>
                  </w:r>
                </w:p>
              </w:tc>
              <w:tc>
                <w:tcPr>
                  <w:tcW w:w="837" w:type="dxa"/>
                  <w:tcMar>
                    <w:top w:w="0" w:type="dxa"/>
                    <w:left w:w="57" w:type="dxa"/>
                    <w:bottom w:w="0" w:type="dxa"/>
                    <w:right w:w="57" w:type="dxa"/>
                  </w:tcMar>
                  <w:vAlign w:val="center"/>
                </w:tcPr>
                <w:p w14:paraId="396EEEEF">
                  <w:pPr>
                    <w:jc w:val="center"/>
                    <w:rPr>
                      <w:color w:val="auto"/>
                      <w:kern w:val="0"/>
                      <w:szCs w:val="21"/>
                      <w:highlight w:val="none"/>
                    </w:rPr>
                  </w:pPr>
                  <w:r>
                    <w:rPr>
                      <w:color w:val="auto"/>
                      <w:kern w:val="0"/>
                      <w:szCs w:val="21"/>
                      <w:highlight w:val="none"/>
                    </w:rPr>
                    <w:t>0.058</w:t>
                  </w:r>
                </w:p>
              </w:tc>
              <w:tc>
                <w:tcPr>
                  <w:tcW w:w="837" w:type="dxa"/>
                  <w:tcMar>
                    <w:top w:w="0" w:type="dxa"/>
                    <w:left w:w="57" w:type="dxa"/>
                    <w:bottom w:w="0" w:type="dxa"/>
                    <w:right w:w="57" w:type="dxa"/>
                  </w:tcMar>
                  <w:vAlign w:val="center"/>
                </w:tcPr>
                <w:p w14:paraId="23D996CC">
                  <w:pPr>
                    <w:jc w:val="center"/>
                    <w:rPr>
                      <w:color w:val="auto"/>
                      <w:kern w:val="0"/>
                      <w:szCs w:val="21"/>
                      <w:highlight w:val="none"/>
                    </w:rPr>
                  </w:pPr>
                  <w:r>
                    <w:rPr>
                      <w:color w:val="auto"/>
                      <w:kern w:val="0"/>
                      <w:szCs w:val="21"/>
                      <w:highlight w:val="none"/>
                    </w:rPr>
                    <w:t>0.050</w:t>
                  </w:r>
                </w:p>
              </w:tc>
              <w:tc>
                <w:tcPr>
                  <w:tcW w:w="1370" w:type="dxa"/>
                  <w:tcMar>
                    <w:top w:w="0" w:type="dxa"/>
                    <w:left w:w="57" w:type="dxa"/>
                    <w:bottom w:w="0" w:type="dxa"/>
                    <w:right w:w="57" w:type="dxa"/>
                  </w:tcMar>
                  <w:vAlign w:val="center"/>
                </w:tcPr>
                <w:p w14:paraId="24572B16">
                  <w:pPr>
                    <w:jc w:val="center"/>
                    <w:rPr>
                      <w:color w:val="auto"/>
                      <w:kern w:val="0"/>
                      <w:szCs w:val="21"/>
                      <w:highlight w:val="none"/>
                    </w:rPr>
                  </w:pPr>
                  <w:r>
                    <w:rPr>
                      <w:color w:val="auto"/>
                      <w:kern w:val="0"/>
                      <w:szCs w:val="21"/>
                      <w:highlight w:val="none"/>
                    </w:rPr>
                    <w:t>0.052</w:t>
                  </w:r>
                </w:p>
              </w:tc>
            </w:tr>
            <w:tr w14:paraId="0B14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 w:hRule="atLeast"/>
                <w:jc w:val="center"/>
              </w:trPr>
              <w:tc>
                <w:tcPr>
                  <w:tcW w:w="632" w:type="dxa"/>
                  <w:vMerge w:val="continue"/>
                  <w:tcMar>
                    <w:top w:w="0" w:type="dxa"/>
                    <w:left w:w="57" w:type="dxa"/>
                    <w:bottom w:w="0" w:type="dxa"/>
                    <w:right w:w="57" w:type="dxa"/>
                  </w:tcMar>
                </w:tcPr>
                <w:p w14:paraId="7F0F9521">
                  <w:pPr>
                    <w:jc w:val="center"/>
                    <w:rPr>
                      <w:color w:val="auto"/>
                      <w:szCs w:val="21"/>
                      <w:highlight w:val="none"/>
                    </w:rPr>
                  </w:pPr>
                </w:p>
              </w:tc>
              <w:tc>
                <w:tcPr>
                  <w:tcW w:w="1267" w:type="dxa"/>
                  <w:vMerge w:val="continue"/>
                  <w:tcMar>
                    <w:top w:w="0" w:type="dxa"/>
                    <w:left w:w="57" w:type="dxa"/>
                    <w:bottom w:w="0" w:type="dxa"/>
                    <w:right w:w="57" w:type="dxa"/>
                  </w:tcMar>
                  <w:vAlign w:val="center"/>
                </w:tcPr>
                <w:p w14:paraId="73F2E2B5">
                  <w:pPr>
                    <w:jc w:val="center"/>
                    <w:rPr>
                      <w:color w:val="auto"/>
                      <w:szCs w:val="21"/>
                      <w:highlight w:val="none"/>
                    </w:rPr>
                  </w:pPr>
                </w:p>
              </w:tc>
              <w:tc>
                <w:tcPr>
                  <w:tcW w:w="876" w:type="dxa"/>
                  <w:tcMar>
                    <w:top w:w="0" w:type="dxa"/>
                    <w:left w:w="57" w:type="dxa"/>
                    <w:bottom w:w="0" w:type="dxa"/>
                    <w:right w:w="57" w:type="dxa"/>
                  </w:tcMar>
                  <w:vAlign w:val="center"/>
                </w:tcPr>
                <w:p w14:paraId="00E55C3B">
                  <w:pPr>
                    <w:jc w:val="center"/>
                    <w:rPr>
                      <w:color w:val="auto"/>
                      <w:kern w:val="0"/>
                      <w:szCs w:val="21"/>
                      <w:highlight w:val="none"/>
                    </w:rPr>
                  </w:pPr>
                  <w:r>
                    <w:rPr>
                      <w:color w:val="auto"/>
                      <w:kern w:val="0"/>
                      <w:szCs w:val="21"/>
                      <w:highlight w:val="none"/>
                    </w:rPr>
                    <w:t>悬浮物</w:t>
                  </w:r>
                </w:p>
              </w:tc>
              <w:tc>
                <w:tcPr>
                  <w:tcW w:w="905" w:type="dxa"/>
                  <w:tcMar>
                    <w:top w:w="0" w:type="dxa"/>
                    <w:left w:w="57" w:type="dxa"/>
                    <w:bottom w:w="0" w:type="dxa"/>
                    <w:right w:w="57" w:type="dxa"/>
                  </w:tcMar>
                  <w:vAlign w:val="center"/>
                </w:tcPr>
                <w:p w14:paraId="0CBA2AF0">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0007D69B">
                  <w:pPr>
                    <w:jc w:val="center"/>
                    <w:rPr>
                      <w:color w:val="auto"/>
                      <w:kern w:val="0"/>
                      <w:szCs w:val="21"/>
                      <w:highlight w:val="none"/>
                    </w:rPr>
                  </w:pPr>
                  <w:r>
                    <w:rPr>
                      <w:color w:val="auto"/>
                      <w:kern w:val="0"/>
                      <w:szCs w:val="21"/>
                      <w:highlight w:val="none"/>
                    </w:rPr>
                    <w:t>6</w:t>
                  </w:r>
                </w:p>
              </w:tc>
              <w:tc>
                <w:tcPr>
                  <w:tcW w:w="837" w:type="dxa"/>
                  <w:tcMar>
                    <w:top w:w="0" w:type="dxa"/>
                    <w:left w:w="57" w:type="dxa"/>
                    <w:bottom w:w="0" w:type="dxa"/>
                    <w:right w:w="57" w:type="dxa"/>
                  </w:tcMar>
                  <w:vAlign w:val="center"/>
                </w:tcPr>
                <w:p w14:paraId="39198E65">
                  <w:pPr>
                    <w:jc w:val="center"/>
                    <w:rPr>
                      <w:color w:val="auto"/>
                      <w:kern w:val="0"/>
                      <w:szCs w:val="21"/>
                      <w:highlight w:val="none"/>
                    </w:rPr>
                  </w:pPr>
                  <w:r>
                    <w:rPr>
                      <w:color w:val="auto"/>
                      <w:kern w:val="0"/>
                      <w:szCs w:val="21"/>
                      <w:highlight w:val="none"/>
                    </w:rPr>
                    <w:t>10</w:t>
                  </w:r>
                </w:p>
              </w:tc>
              <w:tc>
                <w:tcPr>
                  <w:tcW w:w="837" w:type="dxa"/>
                  <w:tcMar>
                    <w:top w:w="0" w:type="dxa"/>
                    <w:left w:w="57" w:type="dxa"/>
                    <w:bottom w:w="0" w:type="dxa"/>
                    <w:right w:w="57" w:type="dxa"/>
                  </w:tcMar>
                  <w:vAlign w:val="center"/>
                </w:tcPr>
                <w:p w14:paraId="0D45201B">
                  <w:pPr>
                    <w:jc w:val="center"/>
                    <w:rPr>
                      <w:color w:val="auto"/>
                      <w:kern w:val="0"/>
                      <w:szCs w:val="21"/>
                      <w:highlight w:val="none"/>
                    </w:rPr>
                  </w:pPr>
                  <w:r>
                    <w:rPr>
                      <w:color w:val="auto"/>
                      <w:kern w:val="0"/>
                      <w:szCs w:val="21"/>
                      <w:highlight w:val="none"/>
                    </w:rPr>
                    <w:t>15</w:t>
                  </w:r>
                </w:p>
              </w:tc>
              <w:tc>
                <w:tcPr>
                  <w:tcW w:w="837" w:type="dxa"/>
                  <w:tcMar>
                    <w:top w:w="0" w:type="dxa"/>
                    <w:left w:w="57" w:type="dxa"/>
                    <w:bottom w:w="0" w:type="dxa"/>
                    <w:right w:w="57" w:type="dxa"/>
                  </w:tcMar>
                  <w:vAlign w:val="center"/>
                </w:tcPr>
                <w:p w14:paraId="3CE29EA5">
                  <w:pPr>
                    <w:jc w:val="center"/>
                    <w:rPr>
                      <w:color w:val="auto"/>
                      <w:kern w:val="0"/>
                      <w:szCs w:val="21"/>
                      <w:highlight w:val="none"/>
                    </w:rPr>
                  </w:pPr>
                  <w:r>
                    <w:rPr>
                      <w:color w:val="auto"/>
                      <w:kern w:val="0"/>
                      <w:szCs w:val="21"/>
                      <w:highlight w:val="none"/>
                    </w:rPr>
                    <w:t>9</w:t>
                  </w:r>
                </w:p>
              </w:tc>
              <w:tc>
                <w:tcPr>
                  <w:tcW w:w="1370" w:type="dxa"/>
                  <w:tcMar>
                    <w:top w:w="0" w:type="dxa"/>
                    <w:left w:w="57" w:type="dxa"/>
                    <w:bottom w:w="0" w:type="dxa"/>
                    <w:right w:w="57" w:type="dxa"/>
                  </w:tcMar>
                  <w:vAlign w:val="center"/>
                </w:tcPr>
                <w:p w14:paraId="393510CD">
                  <w:pPr>
                    <w:jc w:val="center"/>
                    <w:rPr>
                      <w:color w:val="auto"/>
                      <w:kern w:val="0"/>
                      <w:szCs w:val="21"/>
                      <w:highlight w:val="none"/>
                    </w:rPr>
                  </w:pPr>
                  <w:r>
                    <w:rPr>
                      <w:color w:val="auto"/>
                      <w:kern w:val="0"/>
                      <w:szCs w:val="21"/>
                      <w:highlight w:val="none"/>
                    </w:rPr>
                    <w:t>10</w:t>
                  </w:r>
                </w:p>
              </w:tc>
            </w:tr>
            <w:tr w14:paraId="1247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4" w:hRule="atLeast"/>
                <w:jc w:val="center"/>
              </w:trPr>
              <w:tc>
                <w:tcPr>
                  <w:tcW w:w="632" w:type="dxa"/>
                  <w:vMerge w:val="continue"/>
                  <w:tcMar>
                    <w:top w:w="0" w:type="dxa"/>
                    <w:left w:w="57" w:type="dxa"/>
                    <w:bottom w:w="0" w:type="dxa"/>
                    <w:right w:w="57" w:type="dxa"/>
                  </w:tcMar>
                </w:tcPr>
                <w:p w14:paraId="1BF32F2C">
                  <w:pPr>
                    <w:jc w:val="center"/>
                    <w:rPr>
                      <w:color w:val="auto"/>
                      <w:szCs w:val="21"/>
                      <w:highlight w:val="none"/>
                    </w:rPr>
                  </w:pPr>
                </w:p>
              </w:tc>
              <w:tc>
                <w:tcPr>
                  <w:tcW w:w="1267" w:type="dxa"/>
                  <w:vMerge w:val="continue"/>
                  <w:tcMar>
                    <w:top w:w="0" w:type="dxa"/>
                    <w:left w:w="57" w:type="dxa"/>
                    <w:bottom w:w="0" w:type="dxa"/>
                    <w:right w:w="57" w:type="dxa"/>
                  </w:tcMar>
                  <w:vAlign w:val="center"/>
                </w:tcPr>
                <w:p w14:paraId="6E169917">
                  <w:pPr>
                    <w:jc w:val="center"/>
                    <w:rPr>
                      <w:color w:val="auto"/>
                      <w:szCs w:val="21"/>
                      <w:highlight w:val="none"/>
                    </w:rPr>
                  </w:pPr>
                </w:p>
              </w:tc>
              <w:tc>
                <w:tcPr>
                  <w:tcW w:w="876" w:type="dxa"/>
                  <w:tcMar>
                    <w:top w:w="0" w:type="dxa"/>
                    <w:left w:w="57" w:type="dxa"/>
                    <w:bottom w:w="0" w:type="dxa"/>
                    <w:right w:w="57" w:type="dxa"/>
                  </w:tcMar>
                  <w:vAlign w:val="center"/>
                </w:tcPr>
                <w:p w14:paraId="3C547857">
                  <w:pPr>
                    <w:jc w:val="center"/>
                    <w:rPr>
                      <w:color w:val="auto"/>
                      <w:kern w:val="0"/>
                      <w:szCs w:val="21"/>
                      <w:highlight w:val="none"/>
                    </w:rPr>
                  </w:pPr>
                  <w:r>
                    <w:rPr>
                      <w:color w:val="auto"/>
                      <w:kern w:val="0"/>
                      <w:szCs w:val="21"/>
                      <w:highlight w:val="none"/>
                    </w:rPr>
                    <w:t>溶解性总固体</w:t>
                  </w:r>
                </w:p>
              </w:tc>
              <w:tc>
                <w:tcPr>
                  <w:tcW w:w="905" w:type="dxa"/>
                  <w:tcMar>
                    <w:top w:w="0" w:type="dxa"/>
                    <w:left w:w="57" w:type="dxa"/>
                    <w:bottom w:w="0" w:type="dxa"/>
                    <w:right w:w="57" w:type="dxa"/>
                  </w:tcMar>
                  <w:vAlign w:val="center"/>
                </w:tcPr>
                <w:p w14:paraId="2DFCC02F">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5433E10D">
                  <w:pPr>
                    <w:jc w:val="center"/>
                    <w:rPr>
                      <w:color w:val="auto"/>
                      <w:kern w:val="0"/>
                      <w:szCs w:val="21"/>
                      <w:highlight w:val="none"/>
                    </w:rPr>
                  </w:pPr>
                  <w:r>
                    <w:rPr>
                      <w:color w:val="auto"/>
                      <w:kern w:val="0"/>
                      <w:szCs w:val="21"/>
                      <w:highlight w:val="none"/>
                    </w:rPr>
                    <w:t>3289</w:t>
                  </w:r>
                </w:p>
              </w:tc>
              <w:tc>
                <w:tcPr>
                  <w:tcW w:w="837" w:type="dxa"/>
                  <w:tcMar>
                    <w:top w:w="0" w:type="dxa"/>
                    <w:left w:w="57" w:type="dxa"/>
                    <w:bottom w:w="0" w:type="dxa"/>
                    <w:right w:w="57" w:type="dxa"/>
                  </w:tcMar>
                  <w:vAlign w:val="center"/>
                </w:tcPr>
                <w:p w14:paraId="7F388BBD">
                  <w:pPr>
                    <w:jc w:val="center"/>
                    <w:rPr>
                      <w:color w:val="auto"/>
                      <w:kern w:val="0"/>
                      <w:szCs w:val="21"/>
                      <w:highlight w:val="none"/>
                    </w:rPr>
                  </w:pPr>
                  <w:r>
                    <w:rPr>
                      <w:color w:val="auto"/>
                      <w:kern w:val="0"/>
                      <w:szCs w:val="21"/>
                      <w:highlight w:val="none"/>
                    </w:rPr>
                    <w:t>3287</w:t>
                  </w:r>
                </w:p>
              </w:tc>
              <w:tc>
                <w:tcPr>
                  <w:tcW w:w="837" w:type="dxa"/>
                  <w:tcMar>
                    <w:top w:w="0" w:type="dxa"/>
                    <w:left w:w="57" w:type="dxa"/>
                    <w:bottom w:w="0" w:type="dxa"/>
                    <w:right w:w="57" w:type="dxa"/>
                  </w:tcMar>
                  <w:vAlign w:val="center"/>
                </w:tcPr>
                <w:p w14:paraId="748A3E13">
                  <w:pPr>
                    <w:jc w:val="center"/>
                    <w:rPr>
                      <w:color w:val="auto"/>
                      <w:kern w:val="0"/>
                      <w:szCs w:val="21"/>
                      <w:highlight w:val="none"/>
                    </w:rPr>
                  </w:pPr>
                  <w:r>
                    <w:rPr>
                      <w:color w:val="auto"/>
                      <w:kern w:val="0"/>
                      <w:szCs w:val="21"/>
                      <w:highlight w:val="none"/>
                    </w:rPr>
                    <w:t>3295</w:t>
                  </w:r>
                </w:p>
              </w:tc>
              <w:tc>
                <w:tcPr>
                  <w:tcW w:w="837" w:type="dxa"/>
                  <w:tcMar>
                    <w:top w:w="0" w:type="dxa"/>
                    <w:left w:w="57" w:type="dxa"/>
                    <w:bottom w:w="0" w:type="dxa"/>
                    <w:right w:w="57" w:type="dxa"/>
                  </w:tcMar>
                  <w:vAlign w:val="center"/>
                </w:tcPr>
                <w:p w14:paraId="590DB3CC">
                  <w:pPr>
                    <w:jc w:val="center"/>
                    <w:rPr>
                      <w:color w:val="auto"/>
                      <w:kern w:val="0"/>
                      <w:szCs w:val="21"/>
                      <w:highlight w:val="none"/>
                    </w:rPr>
                  </w:pPr>
                  <w:r>
                    <w:rPr>
                      <w:color w:val="auto"/>
                      <w:kern w:val="0"/>
                      <w:szCs w:val="21"/>
                      <w:highlight w:val="none"/>
                    </w:rPr>
                    <w:t>3264</w:t>
                  </w:r>
                </w:p>
              </w:tc>
              <w:tc>
                <w:tcPr>
                  <w:tcW w:w="1370" w:type="dxa"/>
                  <w:tcMar>
                    <w:top w:w="0" w:type="dxa"/>
                    <w:left w:w="57" w:type="dxa"/>
                    <w:bottom w:w="0" w:type="dxa"/>
                    <w:right w:w="57" w:type="dxa"/>
                  </w:tcMar>
                  <w:vAlign w:val="center"/>
                </w:tcPr>
                <w:p w14:paraId="6B793CDF">
                  <w:pPr>
                    <w:jc w:val="center"/>
                    <w:rPr>
                      <w:color w:val="auto"/>
                      <w:kern w:val="0"/>
                      <w:szCs w:val="21"/>
                      <w:highlight w:val="none"/>
                    </w:rPr>
                  </w:pPr>
                  <w:r>
                    <w:rPr>
                      <w:color w:val="auto"/>
                      <w:kern w:val="0"/>
                      <w:szCs w:val="21"/>
                      <w:highlight w:val="none"/>
                    </w:rPr>
                    <w:t>3283.75</w:t>
                  </w:r>
                </w:p>
              </w:tc>
            </w:tr>
            <w:tr w14:paraId="76EE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vAlign w:val="center"/>
                </w:tcPr>
                <w:p w14:paraId="714CAFF1">
                  <w:pPr>
                    <w:widowControl/>
                    <w:jc w:val="center"/>
                    <w:rPr>
                      <w:color w:val="auto"/>
                      <w:kern w:val="0"/>
                      <w:szCs w:val="21"/>
                      <w:highlight w:val="none"/>
                    </w:rPr>
                  </w:pPr>
                </w:p>
              </w:tc>
              <w:tc>
                <w:tcPr>
                  <w:tcW w:w="1267" w:type="dxa"/>
                  <w:vMerge w:val="restart"/>
                  <w:tcMar>
                    <w:top w:w="0" w:type="dxa"/>
                    <w:left w:w="57" w:type="dxa"/>
                    <w:bottom w:w="0" w:type="dxa"/>
                    <w:right w:w="57" w:type="dxa"/>
                  </w:tcMar>
                  <w:vAlign w:val="center"/>
                </w:tcPr>
                <w:p w14:paraId="1F719247">
                  <w:pPr>
                    <w:pStyle w:val="24"/>
                    <w:ind w:firstLine="0" w:firstLineChars="0"/>
                    <w:jc w:val="center"/>
                    <w:rPr>
                      <w:color w:val="auto"/>
                      <w:szCs w:val="21"/>
                      <w:highlight w:val="none"/>
                    </w:rPr>
                  </w:pPr>
                  <w:r>
                    <w:rPr>
                      <w:color w:val="auto"/>
                      <w:szCs w:val="21"/>
                      <w:highlight w:val="none"/>
                    </w:rPr>
                    <w:t>2022.4.25</w:t>
                  </w:r>
                </w:p>
              </w:tc>
              <w:tc>
                <w:tcPr>
                  <w:tcW w:w="876" w:type="dxa"/>
                  <w:tcMar>
                    <w:top w:w="0" w:type="dxa"/>
                    <w:left w:w="57" w:type="dxa"/>
                    <w:bottom w:w="0" w:type="dxa"/>
                    <w:right w:w="57" w:type="dxa"/>
                  </w:tcMar>
                  <w:vAlign w:val="center"/>
                </w:tcPr>
                <w:p w14:paraId="416379D3">
                  <w:pPr>
                    <w:jc w:val="center"/>
                    <w:rPr>
                      <w:color w:val="auto"/>
                      <w:kern w:val="0"/>
                      <w:szCs w:val="21"/>
                      <w:highlight w:val="none"/>
                    </w:rPr>
                  </w:pPr>
                  <w:r>
                    <w:rPr>
                      <w:color w:val="auto"/>
                      <w:kern w:val="0"/>
                      <w:szCs w:val="21"/>
                      <w:highlight w:val="none"/>
                    </w:rPr>
                    <w:t>pH</w:t>
                  </w:r>
                </w:p>
              </w:tc>
              <w:tc>
                <w:tcPr>
                  <w:tcW w:w="905" w:type="dxa"/>
                  <w:tcMar>
                    <w:top w:w="0" w:type="dxa"/>
                    <w:left w:w="57" w:type="dxa"/>
                    <w:bottom w:w="0" w:type="dxa"/>
                    <w:right w:w="57" w:type="dxa"/>
                  </w:tcMar>
                  <w:vAlign w:val="center"/>
                </w:tcPr>
                <w:p w14:paraId="418AFE35">
                  <w:pPr>
                    <w:jc w:val="center"/>
                    <w:rPr>
                      <w:color w:val="auto"/>
                      <w:kern w:val="0"/>
                      <w:szCs w:val="21"/>
                      <w:highlight w:val="none"/>
                    </w:rPr>
                  </w:pPr>
                  <w:r>
                    <w:rPr>
                      <w:color w:val="auto"/>
                      <w:szCs w:val="21"/>
                      <w:highlight w:val="none"/>
                    </w:rPr>
                    <w:t>无量纲</w:t>
                  </w:r>
                </w:p>
              </w:tc>
              <w:tc>
                <w:tcPr>
                  <w:tcW w:w="837" w:type="dxa"/>
                  <w:tcMar>
                    <w:top w:w="0" w:type="dxa"/>
                    <w:left w:w="57" w:type="dxa"/>
                    <w:bottom w:w="0" w:type="dxa"/>
                    <w:right w:w="57" w:type="dxa"/>
                  </w:tcMar>
                  <w:vAlign w:val="center"/>
                </w:tcPr>
                <w:p w14:paraId="6D5E9A35">
                  <w:pPr>
                    <w:jc w:val="center"/>
                    <w:rPr>
                      <w:color w:val="auto"/>
                      <w:kern w:val="0"/>
                      <w:szCs w:val="21"/>
                      <w:highlight w:val="none"/>
                    </w:rPr>
                  </w:pPr>
                  <w:r>
                    <w:rPr>
                      <w:color w:val="auto"/>
                      <w:kern w:val="0"/>
                      <w:szCs w:val="21"/>
                      <w:highlight w:val="none"/>
                    </w:rPr>
                    <w:t>10.2</w:t>
                  </w:r>
                </w:p>
              </w:tc>
              <w:tc>
                <w:tcPr>
                  <w:tcW w:w="837" w:type="dxa"/>
                  <w:tcMar>
                    <w:top w:w="0" w:type="dxa"/>
                    <w:left w:w="57" w:type="dxa"/>
                    <w:bottom w:w="0" w:type="dxa"/>
                    <w:right w:w="57" w:type="dxa"/>
                  </w:tcMar>
                  <w:vAlign w:val="center"/>
                </w:tcPr>
                <w:p w14:paraId="4E6901FA">
                  <w:pPr>
                    <w:jc w:val="center"/>
                    <w:rPr>
                      <w:color w:val="auto"/>
                      <w:kern w:val="0"/>
                      <w:szCs w:val="21"/>
                      <w:highlight w:val="none"/>
                    </w:rPr>
                  </w:pPr>
                  <w:r>
                    <w:rPr>
                      <w:color w:val="auto"/>
                      <w:kern w:val="0"/>
                      <w:szCs w:val="21"/>
                      <w:highlight w:val="none"/>
                    </w:rPr>
                    <w:t>10.4</w:t>
                  </w:r>
                </w:p>
              </w:tc>
              <w:tc>
                <w:tcPr>
                  <w:tcW w:w="837" w:type="dxa"/>
                  <w:tcMar>
                    <w:top w:w="0" w:type="dxa"/>
                    <w:left w:w="57" w:type="dxa"/>
                    <w:bottom w:w="0" w:type="dxa"/>
                    <w:right w:w="57" w:type="dxa"/>
                  </w:tcMar>
                  <w:vAlign w:val="center"/>
                </w:tcPr>
                <w:p w14:paraId="49A2C267">
                  <w:pPr>
                    <w:jc w:val="center"/>
                    <w:rPr>
                      <w:color w:val="auto"/>
                      <w:kern w:val="0"/>
                      <w:szCs w:val="21"/>
                      <w:highlight w:val="none"/>
                    </w:rPr>
                  </w:pPr>
                  <w:r>
                    <w:rPr>
                      <w:color w:val="auto"/>
                      <w:kern w:val="0"/>
                      <w:szCs w:val="21"/>
                      <w:highlight w:val="none"/>
                    </w:rPr>
                    <w:t>10.0</w:t>
                  </w:r>
                </w:p>
              </w:tc>
              <w:tc>
                <w:tcPr>
                  <w:tcW w:w="837" w:type="dxa"/>
                  <w:tcMar>
                    <w:top w:w="0" w:type="dxa"/>
                    <w:left w:w="57" w:type="dxa"/>
                    <w:bottom w:w="0" w:type="dxa"/>
                    <w:right w:w="57" w:type="dxa"/>
                  </w:tcMar>
                  <w:vAlign w:val="center"/>
                </w:tcPr>
                <w:p w14:paraId="6BDAAAE1">
                  <w:pPr>
                    <w:jc w:val="center"/>
                    <w:rPr>
                      <w:color w:val="auto"/>
                      <w:kern w:val="0"/>
                      <w:szCs w:val="21"/>
                      <w:highlight w:val="none"/>
                    </w:rPr>
                  </w:pPr>
                  <w:r>
                    <w:rPr>
                      <w:color w:val="auto"/>
                      <w:kern w:val="0"/>
                      <w:szCs w:val="21"/>
                      <w:highlight w:val="none"/>
                    </w:rPr>
                    <w:t>9.8</w:t>
                  </w:r>
                </w:p>
              </w:tc>
              <w:tc>
                <w:tcPr>
                  <w:tcW w:w="1370" w:type="dxa"/>
                  <w:tcMar>
                    <w:top w:w="0" w:type="dxa"/>
                    <w:left w:w="57" w:type="dxa"/>
                    <w:bottom w:w="0" w:type="dxa"/>
                    <w:right w:w="57" w:type="dxa"/>
                  </w:tcMar>
                  <w:vAlign w:val="center"/>
                </w:tcPr>
                <w:p w14:paraId="3F1CC086">
                  <w:pPr>
                    <w:jc w:val="center"/>
                    <w:rPr>
                      <w:color w:val="auto"/>
                      <w:kern w:val="0"/>
                      <w:szCs w:val="21"/>
                      <w:highlight w:val="none"/>
                    </w:rPr>
                  </w:pPr>
                  <w:r>
                    <w:rPr>
                      <w:color w:val="auto"/>
                      <w:kern w:val="0"/>
                      <w:szCs w:val="21"/>
                      <w:highlight w:val="none"/>
                    </w:rPr>
                    <w:t>10.1</w:t>
                  </w:r>
                </w:p>
              </w:tc>
            </w:tr>
            <w:tr w14:paraId="01D2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173E530A">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31180F5F">
                  <w:pPr>
                    <w:widowControl/>
                    <w:jc w:val="center"/>
                    <w:rPr>
                      <w:color w:val="auto"/>
                      <w:kern w:val="0"/>
                      <w:szCs w:val="21"/>
                      <w:highlight w:val="none"/>
                    </w:rPr>
                  </w:pPr>
                </w:p>
              </w:tc>
              <w:tc>
                <w:tcPr>
                  <w:tcW w:w="876" w:type="dxa"/>
                  <w:tcMar>
                    <w:top w:w="0" w:type="dxa"/>
                    <w:left w:w="57" w:type="dxa"/>
                    <w:bottom w:w="0" w:type="dxa"/>
                    <w:right w:w="57" w:type="dxa"/>
                  </w:tcMar>
                  <w:vAlign w:val="center"/>
                </w:tcPr>
                <w:p w14:paraId="06FB67FE">
                  <w:pPr>
                    <w:jc w:val="center"/>
                    <w:rPr>
                      <w:color w:val="auto"/>
                      <w:kern w:val="0"/>
                      <w:szCs w:val="21"/>
                      <w:highlight w:val="none"/>
                    </w:rPr>
                  </w:pPr>
                  <w:r>
                    <w:rPr>
                      <w:color w:val="auto"/>
                      <w:kern w:val="0"/>
                      <w:szCs w:val="21"/>
                      <w:highlight w:val="none"/>
                    </w:rPr>
                    <w:t>COD</w:t>
                  </w:r>
                </w:p>
              </w:tc>
              <w:tc>
                <w:tcPr>
                  <w:tcW w:w="905" w:type="dxa"/>
                  <w:tcMar>
                    <w:top w:w="0" w:type="dxa"/>
                    <w:left w:w="57" w:type="dxa"/>
                    <w:bottom w:w="0" w:type="dxa"/>
                    <w:right w:w="57" w:type="dxa"/>
                  </w:tcMar>
                  <w:vAlign w:val="center"/>
                </w:tcPr>
                <w:p w14:paraId="668AC337">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71C1AA81">
                  <w:pPr>
                    <w:jc w:val="center"/>
                    <w:rPr>
                      <w:color w:val="auto"/>
                      <w:kern w:val="0"/>
                      <w:szCs w:val="21"/>
                      <w:highlight w:val="none"/>
                    </w:rPr>
                  </w:pPr>
                  <w:r>
                    <w:rPr>
                      <w:color w:val="auto"/>
                      <w:kern w:val="0"/>
                      <w:szCs w:val="21"/>
                      <w:highlight w:val="none"/>
                    </w:rPr>
                    <w:t>158</w:t>
                  </w:r>
                </w:p>
              </w:tc>
              <w:tc>
                <w:tcPr>
                  <w:tcW w:w="837" w:type="dxa"/>
                  <w:tcMar>
                    <w:top w:w="0" w:type="dxa"/>
                    <w:left w:w="57" w:type="dxa"/>
                    <w:bottom w:w="0" w:type="dxa"/>
                    <w:right w:w="57" w:type="dxa"/>
                  </w:tcMar>
                  <w:vAlign w:val="center"/>
                </w:tcPr>
                <w:p w14:paraId="3A3CC51B">
                  <w:pPr>
                    <w:jc w:val="center"/>
                    <w:rPr>
                      <w:color w:val="auto"/>
                      <w:kern w:val="0"/>
                      <w:szCs w:val="21"/>
                      <w:highlight w:val="none"/>
                    </w:rPr>
                  </w:pPr>
                  <w:r>
                    <w:rPr>
                      <w:color w:val="auto"/>
                      <w:kern w:val="0"/>
                      <w:szCs w:val="21"/>
                      <w:highlight w:val="none"/>
                    </w:rPr>
                    <w:t>175</w:t>
                  </w:r>
                </w:p>
              </w:tc>
              <w:tc>
                <w:tcPr>
                  <w:tcW w:w="837" w:type="dxa"/>
                  <w:tcMar>
                    <w:top w:w="0" w:type="dxa"/>
                    <w:left w:w="57" w:type="dxa"/>
                    <w:bottom w:w="0" w:type="dxa"/>
                    <w:right w:w="57" w:type="dxa"/>
                  </w:tcMar>
                  <w:vAlign w:val="center"/>
                </w:tcPr>
                <w:p w14:paraId="47569D01">
                  <w:pPr>
                    <w:jc w:val="center"/>
                    <w:rPr>
                      <w:color w:val="auto"/>
                      <w:kern w:val="0"/>
                      <w:szCs w:val="21"/>
                      <w:highlight w:val="none"/>
                    </w:rPr>
                  </w:pPr>
                  <w:r>
                    <w:rPr>
                      <w:color w:val="auto"/>
                      <w:kern w:val="0"/>
                      <w:szCs w:val="21"/>
                      <w:highlight w:val="none"/>
                    </w:rPr>
                    <w:t>161</w:t>
                  </w:r>
                </w:p>
              </w:tc>
              <w:tc>
                <w:tcPr>
                  <w:tcW w:w="837" w:type="dxa"/>
                  <w:tcMar>
                    <w:top w:w="0" w:type="dxa"/>
                    <w:left w:w="57" w:type="dxa"/>
                    <w:bottom w:w="0" w:type="dxa"/>
                    <w:right w:w="57" w:type="dxa"/>
                  </w:tcMar>
                  <w:vAlign w:val="center"/>
                </w:tcPr>
                <w:p w14:paraId="6382A728">
                  <w:pPr>
                    <w:jc w:val="center"/>
                    <w:rPr>
                      <w:color w:val="auto"/>
                      <w:kern w:val="0"/>
                      <w:szCs w:val="21"/>
                      <w:highlight w:val="none"/>
                    </w:rPr>
                  </w:pPr>
                  <w:r>
                    <w:rPr>
                      <w:color w:val="auto"/>
                      <w:kern w:val="0"/>
                      <w:szCs w:val="21"/>
                      <w:highlight w:val="none"/>
                    </w:rPr>
                    <w:t>154</w:t>
                  </w:r>
                </w:p>
              </w:tc>
              <w:tc>
                <w:tcPr>
                  <w:tcW w:w="1370" w:type="dxa"/>
                  <w:tcMar>
                    <w:top w:w="0" w:type="dxa"/>
                    <w:left w:w="57" w:type="dxa"/>
                    <w:bottom w:w="0" w:type="dxa"/>
                    <w:right w:w="57" w:type="dxa"/>
                  </w:tcMar>
                  <w:vAlign w:val="center"/>
                </w:tcPr>
                <w:p w14:paraId="1B2BC2ED">
                  <w:pPr>
                    <w:jc w:val="center"/>
                    <w:rPr>
                      <w:color w:val="auto"/>
                      <w:kern w:val="0"/>
                      <w:szCs w:val="21"/>
                      <w:highlight w:val="none"/>
                    </w:rPr>
                  </w:pPr>
                  <w:r>
                    <w:rPr>
                      <w:color w:val="auto"/>
                      <w:kern w:val="0"/>
                      <w:szCs w:val="21"/>
                      <w:highlight w:val="none"/>
                    </w:rPr>
                    <w:t>162</w:t>
                  </w:r>
                </w:p>
              </w:tc>
            </w:tr>
            <w:tr w14:paraId="465C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1F527E7E">
                  <w:pPr>
                    <w:jc w:val="center"/>
                    <w:rPr>
                      <w:color w:val="auto"/>
                      <w:szCs w:val="21"/>
                      <w:highlight w:val="none"/>
                    </w:rPr>
                  </w:pPr>
                </w:p>
              </w:tc>
              <w:tc>
                <w:tcPr>
                  <w:tcW w:w="1267" w:type="dxa"/>
                  <w:vMerge w:val="continue"/>
                  <w:tcMar>
                    <w:top w:w="0" w:type="dxa"/>
                    <w:left w:w="57" w:type="dxa"/>
                    <w:bottom w:w="0" w:type="dxa"/>
                    <w:right w:w="57" w:type="dxa"/>
                  </w:tcMar>
                  <w:vAlign w:val="center"/>
                </w:tcPr>
                <w:p w14:paraId="55039878">
                  <w:pPr>
                    <w:jc w:val="center"/>
                    <w:rPr>
                      <w:color w:val="auto"/>
                      <w:szCs w:val="21"/>
                      <w:highlight w:val="none"/>
                    </w:rPr>
                  </w:pPr>
                </w:p>
              </w:tc>
              <w:tc>
                <w:tcPr>
                  <w:tcW w:w="876" w:type="dxa"/>
                  <w:tcMar>
                    <w:top w:w="0" w:type="dxa"/>
                    <w:left w:w="57" w:type="dxa"/>
                    <w:bottom w:w="0" w:type="dxa"/>
                    <w:right w:w="57" w:type="dxa"/>
                  </w:tcMar>
                  <w:vAlign w:val="center"/>
                </w:tcPr>
                <w:p w14:paraId="636CCA8E">
                  <w:pPr>
                    <w:jc w:val="center"/>
                    <w:rPr>
                      <w:color w:val="auto"/>
                      <w:kern w:val="0"/>
                      <w:szCs w:val="21"/>
                      <w:highlight w:val="none"/>
                    </w:rPr>
                  </w:pPr>
                  <w:r>
                    <w:rPr>
                      <w:color w:val="auto"/>
                      <w:kern w:val="0"/>
                      <w:szCs w:val="21"/>
                      <w:highlight w:val="none"/>
                    </w:rPr>
                    <w:t>BOD</w:t>
                  </w:r>
                  <w:r>
                    <w:rPr>
                      <w:color w:val="auto"/>
                      <w:kern w:val="0"/>
                      <w:szCs w:val="21"/>
                      <w:highlight w:val="none"/>
                      <w:vertAlign w:val="subscript"/>
                    </w:rPr>
                    <w:t>5</w:t>
                  </w:r>
                </w:p>
              </w:tc>
              <w:tc>
                <w:tcPr>
                  <w:tcW w:w="905" w:type="dxa"/>
                  <w:tcMar>
                    <w:top w:w="0" w:type="dxa"/>
                    <w:left w:w="57" w:type="dxa"/>
                    <w:bottom w:w="0" w:type="dxa"/>
                    <w:right w:w="57" w:type="dxa"/>
                  </w:tcMar>
                  <w:vAlign w:val="center"/>
                </w:tcPr>
                <w:p w14:paraId="46A1783D">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784224EE">
                  <w:pPr>
                    <w:jc w:val="center"/>
                    <w:rPr>
                      <w:color w:val="auto"/>
                      <w:kern w:val="0"/>
                      <w:szCs w:val="21"/>
                      <w:highlight w:val="none"/>
                    </w:rPr>
                  </w:pPr>
                  <w:r>
                    <w:rPr>
                      <w:color w:val="auto"/>
                      <w:kern w:val="0"/>
                      <w:szCs w:val="21"/>
                      <w:highlight w:val="none"/>
                    </w:rPr>
                    <w:t>50.4</w:t>
                  </w:r>
                </w:p>
              </w:tc>
              <w:tc>
                <w:tcPr>
                  <w:tcW w:w="837" w:type="dxa"/>
                  <w:tcMar>
                    <w:top w:w="0" w:type="dxa"/>
                    <w:left w:w="57" w:type="dxa"/>
                    <w:bottom w:w="0" w:type="dxa"/>
                    <w:right w:w="57" w:type="dxa"/>
                  </w:tcMar>
                  <w:vAlign w:val="center"/>
                </w:tcPr>
                <w:p w14:paraId="677FFE59">
                  <w:pPr>
                    <w:jc w:val="center"/>
                    <w:rPr>
                      <w:color w:val="auto"/>
                      <w:kern w:val="0"/>
                      <w:szCs w:val="21"/>
                      <w:highlight w:val="none"/>
                    </w:rPr>
                  </w:pPr>
                  <w:r>
                    <w:rPr>
                      <w:color w:val="auto"/>
                      <w:kern w:val="0"/>
                      <w:szCs w:val="21"/>
                      <w:highlight w:val="none"/>
                    </w:rPr>
                    <w:t>56.8</w:t>
                  </w:r>
                </w:p>
              </w:tc>
              <w:tc>
                <w:tcPr>
                  <w:tcW w:w="837" w:type="dxa"/>
                  <w:tcMar>
                    <w:top w:w="0" w:type="dxa"/>
                    <w:left w:w="57" w:type="dxa"/>
                    <w:bottom w:w="0" w:type="dxa"/>
                    <w:right w:w="57" w:type="dxa"/>
                  </w:tcMar>
                  <w:vAlign w:val="center"/>
                </w:tcPr>
                <w:p w14:paraId="68FD92CE">
                  <w:pPr>
                    <w:jc w:val="center"/>
                    <w:rPr>
                      <w:color w:val="auto"/>
                      <w:kern w:val="0"/>
                      <w:szCs w:val="21"/>
                      <w:highlight w:val="none"/>
                    </w:rPr>
                  </w:pPr>
                  <w:r>
                    <w:rPr>
                      <w:color w:val="auto"/>
                      <w:kern w:val="0"/>
                      <w:szCs w:val="21"/>
                      <w:highlight w:val="none"/>
                    </w:rPr>
                    <w:t>48.0</w:t>
                  </w:r>
                </w:p>
              </w:tc>
              <w:tc>
                <w:tcPr>
                  <w:tcW w:w="837" w:type="dxa"/>
                  <w:tcMar>
                    <w:top w:w="0" w:type="dxa"/>
                    <w:left w:w="57" w:type="dxa"/>
                    <w:bottom w:w="0" w:type="dxa"/>
                    <w:right w:w="57" w:type="dxa"/>
                  </w:tcMar>
                  <w:vAlign w:val="center"/>
                </w:tcPr>
                <w:p w14:paraId="0DA93A71">
                  <w:pPr>
                    <w:jc w:val="center"/>
                    <w:rPr>
                      <w:color w:val="auto"/>
                      <w:kern w:val="0"/>
                      <w:szCs w:val="21"/>
                      <w:highlight w:val="none"/>
                    </w:rPr>
                  </w:pPr>
                  <w:r>
                    <w:rPr>
                      <w:color w:val="auto"/>
                      <w:kern w:val="0"/>
                      <w:szCs w:val="21"/>
                      <w:highlight w:val="none"/>
                    </w:rPr>
                    <w:t>53.6</w:t>
                  </w:r>
                </w:p>
              </w:tc>
              <w:tc>
                <w:tcPr>
                  <w:tcW w:w="1370" w:type="dxa"/>
                  <w:tcMar>
                    <w:top w:w="0" w:type="dxa"/>
                    <w:left w:w="57" w:type="dxa"/>
                    <w:bottom w:w="0" w:type="dxa"/>
                    <w:right w:w="57" w:type="dxa"/>
                  </w:tcMar>
                  <w:vAlign w:val="center"/>
                </w:tcPr>
                <w:p w14:paraId="7EBB5D74">
                  <w:pPr>
                    <w:jc w:val="center"/>
                    <w:rPr>
                      <w:color w:val="auto"/>
                      <w:kern w:val="0"/>
                      <w:szCs w:val="21"/>
                      <w:highlight w:val="none"/>
                    </w:rPr>
                  </w:pPr>
                  <w:r>
                    <w:rPr>
                      <w:color w:val="auto"/>
                      <w:kern w:val="0"/>
                      <w:szCs w:val="21"/>
                      <w:highlight w:val="none"/>
                    </w:rPr>
                    <w:t>52.2</w:t>
                  </w:r>
                </w:p>
              </w:tc>
            </w:tr>
            <w:tr w14:paraId="5EBE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9" w:hRule="atLeast"/>
                <w:jc w:val="center"/>
              </w:trPr>
              <w:tc>
                <w:tcPr>
                  <w:tcW w:w="632" w:type="dxa"/>
                  <w:vMerge w:val="continue"/>
                  <w:tcMar>
                    <w:top w:w="0" w:type="dxa"/>
                    <w:left w:w="57" w:type="dxa"/>
                    <w:bottom w:w="0" w:type="dxa"/>
                    <w:right w:w="57" w:type="dxa"/>
                  </w:tcMar>
                </w:tcPr>
                <w:p w14:paraId="517881C1">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47EAA612">
                  <w:pPr>
                    <w:widowControl/>
                    <w:jc w:val="center"/>
                    <w:rPr>
                      <w:color w:val="auto"/>
                      <w:kern w:val="0"/>
                      <w:szCs w:val="21"/>
                      <w:highlight w:val="none"/>
                    </w:rPr>
                  </w:pPr>
                </w:p>
              </w:tc>
              <w:tc>
                <w:tcPr>
                  <w:tcW w:w="876" w:type="dxa"/>
                  <w:tcMar>
                    <w:top w:w="0" w:type="dxa"/>
                    <w:left w:w="57" w:type="dxa"/>
                    <w:bottom w:w="0" w:type="dxa"/>
                    <w:right w:w="57" w:type="dxa"/>
                  </w:tcMar>
                  <w:vAlign w:val="center"/>
                </w:tcPr>
                <w:p w14:paraId="44A582C8">
                  <w:pPr>
                    <w:jc w:val="center"/>
                    <w:rPr>
                      <w:color w:val="auto"/>
                      <w:kern w:val="0"/>
                      <w:szCs w:val="21"/>
                      <w:highlight w:val="none"/>
                    </w:rPr>
                  </w:pPr>
                  <w:r>
                    <w:rPr>
                      <w:color w:val="auto"/>
                      <w:kern w:val="0"/>
                      <w:szCs w:val="21"/>
                      <w:highlight w:val="none"/>
                    </w:rPr>
                    <w:t>氨氮</w:t>
                  </w:r>
                </w:p>
              </w:tc>
              <w:tc>
                <w:tcPr>
                  <w:tcW w:w="905" w:type="dxa"/>
                  <w:tcMar>
                    <w:top w:w="0" w:type="dxa"/>
                    <w:left w:w="57" w:type="dxa"/>
                    <w:bottom w:w="0" w:type="dxa"/>
                    <w:right w:w="57" w:type="dxa"/>
                  </w:tcMar>
                  <w:vAlign w:val="center"/>
                </w:tcPr>
                <w:p w14:paraId="4E984309">
                  <w:pPr>
                    <w:jc w:val="center"/>
                    <w:rPr>
                      <w:color w:val="auto"/>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6356ED25">
                  <w:pPr>
                    <w:jc w:val="center"/>
                    <w:rPr>
                      <w:color w:val="auto"/>
                      <w:kern w:val="0"/>
                      <w:szCs w:val="21"/>
                      <w:highlight w:val="none"/>
                    </w:rPr>
                  </w:pPr>
                  <w:r>
                    <w:rPr>
                      <w:color w:val="auto"/>
                      <w:kern w:val="0"/>
                      <w:szCs w:val="21"/>
                      <w:highlight w:val="none"/>
                    </w:rPr>
                    <w:t>0.055</w:t>
                  </w:r>
                </w:p>
              </w:tc>
              <w:tc>
                <w:tcPr>
                  <w:tcW w:w="837" w:type="dxa"/>
                  <w:tcMar>
                    <w:top w:w="0" w:type="dxa"/>
                    <w:left w:w="57" w:type="dxa"/>
                    <w:bottom w:w="0" w:type="dxa"/>
                    <w:right w:w="57" w:type="dxa"/>
                  </w:tcMar>
                  <w:vAlign w:val="center"/>
                </w:tcPr>
                <w:p w14:paraId="0E7C8603">
                  <w:pPr>
                    <w:jc w:val="center"/>
                    <w:rPr>
                      <w:color w:val="auto"/>
                      <w:kern w:val="0"/>
                      <w:szCs w:val="21"/>
                      <w:highlight w:val="none"/>
                    </w:rPr>
                  </w:pPr>
                  <w:r>
                    <w:rPr>
                      <w:color w:val="auto"/>
                      <w:kern w:val="0"/>
                      <w:szCs w:val="21"/>
                      <w:highlight w:val="none"/>
                    </w:rPr>
                    <w:t>0.048</w:t>
                  </w:r>
                </w:p>
              </w:tc>
              <w:tc>
                <w:tcPr>
                  <w:tcW w:w="837" w:type="dxa"/>
                  <w:tcMar>
                    <w:top w:w="0" w:type="dxa"/>
                    <w:left w:w="57" w:type="dxa"/>
                    <w:bottom w:w="0" w:type="dxa"/>
                    <w:right w:w="57" w:type="dxa"/>
                  </w:tcMar>
                  <w:vAlign w:val="center"/>
                </w:tcPr>
                <w:p w14:paraId="64C1C08F">
                  <w:pPr>
                    <w:jc w:val="center"/>
                    <w:rPr>
                      <w:color w:val="auto"/>
                      <w:kern w:val="0"/>
                      <w:szCs w:val="21"/>
                      <w:highlight w:val="none"/>
                    </w:rPr>
                  </w:pPr>
                  <w:r>
                    <w:rPr>
                      <w:color w:val="auto"/>
                      <w:kern w:val="0"/>
                      <w:szCs w:val="21"/>
                      <w:highlight w:val="none"/>
                    </w:rPr>
                    <w:t>0.046</w:t>
                  </w:r>
                </w:p>
              </w:tc>
              <w:tc>
                <w:tcPr>
                  <w:tcW w:w="837" w:type="dxa"/>
                  <w:tcMar>
                    <w:top w:w="0" w:type="dxa"/>
                    <w:left w:w="57" w:type="dxa"/>
                    <w:bottom w:w="0" w:type="dxa"/>
                    <w:right w:w="57" w:type="dxa"/>
                  </w:tcMar>
                  <w:vAlign w:val="center"/>
                </w:tcPr>
                <w:p w14:paraId="1B079708">
                  <w:pPr>
                    <w:jc w:val="center"/>
                    <w:rPr>
                      <w:color w:val="auto"/>
                      <w:kern w:val="0"/>
                      <w:szCs w:val="21"/>
                      <w:highlight w:val="none"/>
                    </w:rPr>
                  </w:pPr>
                  <w:r>
                    <w:rPr>
                      <w:color w:val="auto"/>
                      <w:kern w:val="0"/>
                      <w:szCs w:val="21"/>
                      <w:highlight w:val="none"/>
                    </w:rPr>
                    <w:t>0.045</w:t>
                  </w:r>
                </w:p>
              </w:tc>
              <w:tc>
                <w:tcPr>
                  <w:tcW w:w="1370" w:type="dxa"/>
                  <w:tcMar>
                    <w:top w:w="0" w:type="dxa"/>
                    <w:left w:w="57" w:type="dxa"/>
                    <w:bottom w:w="0" w:type="dxa"/>
                    <w:right w:w="57" w:type="dxa"/>
                  </w:tcMar>
                  <w:vAlign w:val="center"/>
                </w:tcPr>
                <w:p w14:paraId="59931F7A">
                  <w:pPr>
                    <w:jc w:val="center"/>
                    <w:rPr>
                      <w:color w:val="auto"/>
                      <w:kern w:val="0"/>
                      <w:szCs w:val="21"/>
                      <w:highlight w:val="none"/>
                    </w:rPr>
                  </w:pPr>
                  <w:r>
                    <w:rPr>
                      <w:color w:val="auto"/>
                      <w:kern w:val="0"/>
                      <w:szCs w:val="21"/>
                      <w:highlight w:val="none"/>
                    </w:rPr>
                    <w:t>0.0485</w:t>
                  </w:r>
                </w:p>
              </w:tc>
            </w:tr>
            <w:tr w14:paraId="2BFB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 w:hRule="atLeast"/>
                <w:jc w:val="center"/>
              </w:trPr>
              <w:tc>
                <w:tcPr>
                  <w:tcW w:w="632" w:type="dxa"/>
                  <w:vMerge w:val="continue"/>
                  <w:tcMar>
                    <w:top w:w="0" w:type="dxa"/>
                    <w:left w:w="57" w:type="dxa"/>
                    <w:bottom w:w="0" w:type="dxa"/>
                    <w:right w:w="57" w:type="dxa"/>
                  </w:tcMar>
                </w:tcPr>
                <w:p w14:paraId="5EA1BB70">
                  <w:pPr>
                    <w:widowControl/>
                    <w:jc w:val="center"/>
                    <w:rPr>
                      <w:color w:val="auto"/>
                      <w:kern w:val="0"/>
                      <w:szCs w:val="21"/>
                      <w:highlight w:val="none"/>
                    </w:rPr>
                  </w:pPr>
                </w:p>
              </w:tc>
              <w:tc>
                <w:tcPr>
                  <w:tcW w:w="1267" w:type="dxa"/>
                  <w:vMerge w:val="continue"/>
                  <w:tcMar>
                    <w:top w:w="0" w:type="dxa"/>
                    <w:left w:w="57" w:type="dxa"/>
                    <w:bottom w:w="0" w:type="dxa"/>
                    <w:right w:w="57" w:type="dxa"/>
                  </w:tcMar>
                  <w:vAlign w:val="center"/>
                </w:tcPr>
                <w:p w14:paraId="426538D8">
                  <w:pPr>
                    <w:widowControl/>
                    <w:jc w:val="center"/>
                    <w:rPr>
                      <w:color w:val="auto"/>
                      <w:kern w:val="0"/>
                      <w:szCs w:val="21"/>
                      <w:highlight w:val="none"/>
                    </w:rPr>
                  </w:pPr>
                </w:p>
              </w:tc>
              <w:tc>
                <w:tcPr>
                  <w:tcW w:w="876" w:type="dxa"/>
                  <w:tcMar>
                    <w:top w:w="0" w:type="dxa"/>
                    <w:left w:w="57" w:type="dxa"/>
                    <w:bottom w:w="0" w:type="dxa"/>
                    <w:right w:w="57" w:type="dxa"/>
                  </w:tcMar>
                  <w:vAlign w:val="center"/>
                </w:tcPr>
                <w:p w14:paraId="4D6B8970">
                  <w:pPr>
                    <w:jc w:val="center"/>
                    <w:rPr>
                      <w:color w:val="auto"/>
                      <w:kern w:val="0"/>
                      <w:szCs w:val="21"/>
                      <w:highlight w:val="none"/>
                    </w:rPr>
                  </w:pPr>
                  <w:r>
                    <w:rPr>
                      <w:color w:val="auto"/>
                      <w:kern w:val="0"/>
                      <w:szCs w:val="21"/>
                      <w:highlight w:val="none"/>
                    </w:rPr>
                    <w:t>悬浮物</w:t>
                  </w:r>
                </w:p>
              </w:tc>
              <w:tc>
                <w:tcPr>
                  <w:tcW w:w="905" w:type="dxa"/>
                  <w:tcMar>
                    <w:top w:w="0" w:type="dxa"/>
                    <w:left w:w="57" w:type="dxa"/>
                    <w:bottom w:w="0" w:type="dxa"/>
                    <w:right w:w="57" w:type="dxa"/>
                  </w:tcMar>
                  <w:vAlign w:val="center"/>
                </w:tcPr>
                <w:p w14:paraId="36405A09">
                  <w:pPr>
                    <w:jc w:val="center"/>
                    <w:rPr>
                      <w:color w:val="auto"/>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7DB6122D">
                  <w:pPr>
                    <w:jc w:val="center"/>
                    <w:rPr>
                      <w:color w:val="auto"/>
                      <w:kern w:val="0"/>
                      <w:szCs w:val="21"/>
                      <w:highlight w:val="none"/>
                    </w:rPr>
                  </w:pPr>
                  <w:r>
                    <w:rPr>
                      <w:color w:val="auto"/>
                      <w:kern w:val="0"/>
                      <w:szCs w:val="21"/>
                      <w:highlight w:val="none"/>
                    </w:rPr>
                    <w:t>9</w:t>
                  </w:r>
                </w:p>
              </w:tc>
              <w:tc>
                <w:tcPr>
                  <w:tcW w:w="837" w:type="dxa"/>
                  <w:tcMar>
                    <w:top w:w="0" w:type="dxa"/>
                    <w:left w:w="57" w:type="dxa"/>
                    <w:bottom w:w="0" w:type="dxa"/>
                    <w:right w:w="57" w:type="dxa"/>
                  </w:tcMar>
                  <w:vAlign w:val="center"/>
                </w:tcPr>
                <w:p w14:paraId="56FF8997">
                  <w:pPr>
                    <w:jc w:val="center"/>
                    <w:rPr>
                      <w:color w:val="auto"/>
                      <w:kern w:val="0"/>
                      <w:szCs w:val="21"/>
                      <w:highlight w:val="none"/>
                    </w:rPr>
                  </w:pPr>
                  <w:r>
                    <w:rPr>
                      <w:color w:val="auto"/>
                      <w:kern w:val="0"/>
                      <w:szCs w:val="21"/>
                      <w:highlight w:val="none"/>
                    </w:rPr>
                    <w:t>6</w:t>
                  </w:r>
                </w:p>
              </w:tc>
              <w:tc>
                <w:tcPr>
                  <w:tcW w:w="837" w:type="dxa"/>
                  <w:tcMar>
                    <w:top w:w="0" w:type="dxa"/>
                    <w:left w:w="57" w:type="dxa"/>
                    <w:bottom w:w="0" w:type="dxa"/>
                    <w:right w:w="57" w:type="dxa"/>
                  </w:tcMar>
                  <w:vAlign w:val="center"/>
                </w:tcPr>
                <w:p w14:paraId="48A0B3C0">
                  <w:pPr>
                    <w:jc w:val="center"/>
                    <w:rPr>
                      <w:color w:val="auto"/>
                      <w:kern w:val="0"/>
                      <w:szCs w:val="21"/>
                      <w:highlight w:val="none"/>
                    </w:rPr>
                  </w:pPr>
                  <w:r>
                    <w:rPr>
                      <w:color w:val="auto"/>
                      <w:kern w:val="0"/>
                      <w:szCs w:val="21"/>
                      <w:highlight w:val="none"/>
                    </w:rPr>
                    <w:t>13</w:t>
                  </w:r>
                </w:p>
              </w:tc>
              <w:tc>
                <w:tcPr>
                  <w:tcW w:w="837" w:type="dxa"/>
                  <w:tcMar>
                    <w:top w:w="0" w:type="dxa"/>
                    <w:left w:w="57" w:type="dxa"/>
                    <w:bottom w:w="0" w:type="dxa"/>
                    <w:right w:w="57" w:type="dxa"/>
                  </w:tcMar>
                  <w:vAlign w:val="center"/>
                </w:tcPr>
                <w:p w14:paraId="4F63CD60">
                  <w:pPr>
                    <w:jc w:val="center"/>
                    <w:rPr>
                      <w:color w:val="auto"/>
                      <w:kern w:val="0"/>
                      <w:szCs w:val="21"/>
                      <w:highlight w:val="none"/>
                    </w:rPr>
                  </w:pPr>
                  <w:r>
                    <w:rPr>
                      <w:color w:val="auto"/>
                      <w:kern w:val="0"/>
                      <w:szCs w:val="21"/>
                      <w:highlight w:val="none"/>
                    </w:rPr>
                    <w:t>10</w:t>
                  </w:r>
                </w:p>
              </w:tc>
              <w:tc>
                <w:tcPr>
                  <w:tcW w:w="1370" w:type="dxa"/>
                  <w:tcMar>
                    <w:top w:w="0" w:type="dxa"/>
                    <w:left w:w="57" w:type="dxa"/>
                    <w:bottom w:w="0" w:type="dxa"/>
                    <w:right w:w="57" w:type="dxa"/>
                  </w:tcMar>
                  <w:vAlign w:val="center"/>
                </w:tcPr>
                <w:p w14:paraId="78BE0A14">
                  <w:pPr>
                    <w:jc w:val="center"/>
                    <w:rPr>
                      <w:color w:val="auto"/>
                      <w:kern w:val="0"/>
                      <w:szCs w:val="21"/>
                      <w:highlight w:val="none"/>
                    </w:rPr>
                  </w:pPr>
                  <w:r>
                    <w:rPr>
                      <w:color w:val="auto"/>
                      <w:kern w:val="0"/>
                      <w:szCs w:val="21"/>
                      <w:highlight w:val="none"/>
                    </w:rPr>
                    <w:t>9.5</w:t>
                  </w:r>
                </w:p>
              </w:tc>
            </w:tr>
            <w:tr w14:paraId="58BF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 w:hRule="atLeast"/>
                <w:jc w:val="center"/>
              </w:trPr>
              <w:tc>
                <w:tcPr>
                  <w:tcW w:w="632" w:type="dxa"/>
                  <w:vMerge w:val="continue"/>
                  <w:tcMar>
                    <w:top w:w="0" w:type="dxa"/>
                    <w:left w:w="57" w:type="dxa"/>
                    <w:bottom w:w="0" w:type="dxa"/>
                    <w:right w:w="57" w:type="dxa"/>
                  </w:tcMar>
                </w:tcPr>
                <w:p w14:paraId="1F8ADFCB">
                  <w:pPr>
                    <w:jc w:val="center"/>
                    <w:rPr>
                      <w:color w:val="auto"/>
                      <w:szCs w:val="21"/>
                      <w:highlight w:val="none"/>
                    </w:rPr>
                  </w:pPr>
                </w:p>
              </w:tc>
              <w:tc>
                <w:tcPr>
                  <w:tcW w:w="1267" w:type="dxa"/>
                  <w:vMerge w:val="continue"/>
                  <w:tcMar>
                    <w:top w:w="0" w:type="dxa"/>
                    <w:left w:w="57" w:type="dxa"/>
                    <w:bottom w:w="0" w:type="dxa"/>
                    <w:right w:w="57" w:type="dxa"/>
                  </w:tcMar>
                  <w:vAlign w:val="center"/>
                </w:tcPr>
                <w:p w14:paraId="21FD5C57">
                  <w:pPr>
                    <w:jc w:val="center"/>
                    <w:rPr>
                      <w:color w:val="auto"/>
                      <w:szCs w:val="21"/>
                      <w:highlight w:val="none"/>
                    </w:rPr>
                  </w:pPr>
                </w:p>
              </w:tc>
              <w:tc>
                <w:tcPr>
                  <w:tcW w:w="876" w:type="dxa"/>
                  <w:tcMar>
                    <w:top w:w="0" w:type="dxa"/>
                    <w:left w:w="57" w:type="dxa"/>
                    <w:bottom w:w="0" w:type="dxa"/>
                    <w:right w:w="57" w:type="dxa"/>
                  </w:tcMar>
                  <w:vAlign w:val="center"/>
                </w:tcPr>
                <w:p w14:paraId="2A1BD8B3">
                  <w:pPr>
                    <w:jc w:val="center"/>
                    <w:rPr>
                      <w:color w:val="auto"/>
                      <w:kern w:val="0"/>
                      <w:szCs w:val="21"/>
                      <w:highlight w:val="none"/>
                    </w:rPr>
                  </w:pPr>
                  <w:r>
                    <w:rPr>
                      <w:color w:val="auto"/>
                      <w:kern w:val="0"/>
                      <w:szCs w:val="21"/>
                      <w:highlight w:val="none"/>
                    </w:rPr>
                    <w:t>溶解性总固体</w:t>
                  </w:r>
                </w:p>
              </w:tc>
              <w:tc>
                <w:tcPr>
                  <w:tcW w:w="905" w:type="dxa"/>
                  <w:tcMar>
                    <w:top w:w="0" w:type="dxa"/>
                    <w:left w:w="57" w:type="dxa"/>
                    <w:bottom w:w="0" w:type="dxa"/>
                    <w:right w:w="57" w:type="dxa"/>
                  </w:tcMar>
                  <w:vAlign w:val="center"/>
                </w:tcPr>
                <w:p w14:paraId="3943C724">
                  <w:pPr>
                    <w:jc w:val="center"/>
                    <w:rPr>
                      <w:color w:val="auto"/>
                      <w:kern w:val="0"/>
                      <w:szCs w:val="21"/>
                      <w:highlight w:val="none"/>
                    </w:rPr>
                  </w:pPr>
                  <w:r>
                    <w:rPr>
                      <w:color w:val="auto"/>
                      <w:szCs w:val="21"/>
                      <w:highlight w:val="none"/>
                    </w:rPr>
                    <w:t>mg/L</w:t>
                  </w:r>
                </w:p>
              </w:tc>
              <w:tc>
                <w:tcPr>
                  <w:tcW w:w="837" w:type="dxa"/>
                  <w:tcMar>
                    <w:top w:w="0" w:type="dxa"/>
                    <w:left w:w="57" w:type="dxa"/>
                    <w:bottom w:w="0" w:type="dxa"/>
                    <w:right w:w="57" w:type="dxa"/>
                  </w:tcMar>
                  <w:vAlign w:val="center"/>
                </w:tcPr>
                <w:p w14:paraId="258798C8">
                  <w:pPr>
                    <w:jc w:val="center"/>
                    <w:rPr>
                      <w:color w:val="auto"/>
                      <w:kern w:val="0"/>
                      <w:szCs w:val="21"/>
                      <w:highlight w:val="none"/>
                    </w:rPr>
                  </w:pPr>
                  <w:r>
                    <w:rPr>
                      <w:color w:val="auto"/>
                      <w:kern w:val="0"/>
                      <w:szCs w:val="21"/>
                      <w:highlight w:val="none"/>
                    </w:rPr>
                    <w:t>3291</w:t>
                  </w:r>
                </w:p>
              </w:tc>
              <w:tc>
                <w:tcPr>
                  <w:tcW w:w="837" w:type="dxa"/>
                  <w:tcMar>
                    <w:top w:w="0" w:type="dxa"/>
                    <w:left w:w="57" w:type="dxa"/>
                    <w:bottom w:w="0" w:type="dxa"/>
                    <w:right w:w="57" w:type="dxa"/>
                  </w:tcMar>
                  <w:vAlign w:val="center"/>
                </w:tcPr>
                <w:p w14:paraId="25219B11">
                  <w:pPr>
                    <w:jc w:val="center"/>
                    <w:rPr>
                      <w:color w:val="auto"/>
                      <w:kern w:val="0"/>
                      <w:szCs w:val="21"/>
                      <w:highlight w:val="none"/>
                    </w:rPr>
                  </w:pPr>
                  <w:r>
                    <w:rPr>
                      <w:color w:val="auto"/>
                      <w:kern w:val="0"/>
                      <w:szCs w:val="21"/>
                      <w:highlight w:val="none"/>
                    </w:rPr>
                    <w:t>3281</w:t>
                  </w:r>
                </w:p>
              </w:tc>
              <w:tc>
                <w:tcPr>
                  <w:tcW w:w="837" w:type="dxa"/>
                  <w:tcMar>
                    <w:top w:w="0" w:type="dxa"/>
                    <w:left w:w="57" w:type="dxa"/>
                    <w:bottom w:w="0" w:type="dxa"/>
                    <w:right w:w="57" w:type="dxa"/>
                  </w:tcMar>
                  <w:vAlign w:val="center"/>
                </w:tcPr>
                <w:p w14:paraId="52E53821">
                  <w:pPr>
                    <w:jc w:val="center"/>
                    <w:rPr>
                      <w:color w:val="auto"/>
                      <w:kern w:val="0"/>
                      <w:szCs w:val="21"/>
                      <w:highlight w:val="none"/>
                    </w:rPr>
                  </w:pPr>
                  <w:r>
                    <w:rPr>
                      <w:color w:val="auto"/>
                      <w:kern w:val="0"/>
                      <w:szCs w:val="21"/>
                      <w:highlight w:val="none"/>
                    </w:rPr>
                    <w:t>3278</w:t>
                  </w:r>
                </w:p>
              </w:tc>
              <w:tc>
                <w:tcPr>
                  <w:tcW w:w="837" w:type="dxa"/>
                  <w:tcMar>
                    <w:top w:w="0" w:type="dxa"/>
                    <w:left w:w="57" w:type="dxa"/>
                    <w:bottom w:w="0" w:type="dxa"/>
                    <w:right w:w="57" w:type="dxa"/>
                  </w:tcMar>
                  <w:vAlign w:val="center"/>
                </w:tcPr>
                <w:p w14:paraId="038C0AC1">
                  <w:pPr>
                    <w:jc w:val="center"/>
                    <w:rPr>
                      <w:color w:val="auto"/>
                      <w:kern w:val="0"/>
                      <w:szCs w:val="21"/>
                      <w:highlight w:val="none"/>
                    </w:rPr>
                  </w:pPr>
                  <w:r>
                    <w:rPr>
                      <w:color w:val="auto"/>
                      <w:kern w:val="0"/>
                      <w:szCs w:val="21"/>
                      <w:highlight w:val="none"/>
                    </w:rPr>
                    <w:t>3260</w:t>
                  </w:r>
                </w:p>
              </w:tc>
              <w:tc>
                <w:tcPr>
                  <w:tcW w:w="1370" w:type="dxa"/>
                  <w:tcMar>
                    <w:top w:w="0" w:type="dxa"/>
                    <w:left w:w="57" w:type="dxa"/>
                    <w:bottom w:w="0" w:type="dxa"/>
                    <w:right w:w="57" w:type="dxa"/>
                  </w:tcMar>
                  <w:vAlign w:val="center"/>
                </w:tcPr>
                <w:p w14:paraId="6EFB63BA">
                  <w:pPr>
                    <w:jc w:val="center"/>
                    <w:rPr>
                      <w:color w:val="auto"/>
                      <w:kern w:val="0"/>
                      <w:szCs w:val="21"/>
                      <w:highlight w:val="none"/>
                    </w:rPr>
                  </w:pPr>
                  <w:r>
                    <w:rPr>
                      <w:color w:val="auto"/>
                      <w:kern w:val="0"/>
                      <w:szCs w:val="21"/>
                      <w:highlight w:val="none"/>
                    </w:rPr>
                    <w:t>3277.5</w:t>
                  </w:r>
                </w:p>
              </w:tc>
            </w:tr>
          </w:tbl>
          <w:p w14:paraId="561F5BC8">
            <w:pPr>
              <w:widowControl/>
              <w:spacing w:line="360" w:lineRule="auto"/>
              <w:ind w:firstLine="480" w:firstLineChars="200"/>
              <w:rPr>
                <w:color w:val="auto"/>
                <w:kern w:val="0"/>
                <w:sz w:val="24"/>
                <w:highlight w:val="none"/>
              </w:rPr>
            </w:pPr>
            <w:r>
              <w:rPr>
                <w:color w:val="auto"/>
                <w:sz w:val="24"/>
                <w:highlight w:val="none"/>
              </w:rPr>
              <w:t>类比项目</w:t>
            </w:r>
            <w:r>
              <w:rPr>
                <w:rFonts w:hint="eastAsia"/>
                <w:color w:val="auto"/>
                <w:sz w:val="24"/>
                <w:highlight w:val="none"/>
                <w:lang w:eastAsia="zh-CN"/>
              </w:rPr>
              <w:t>蒸汽发生器</w:t>
            </w:r>
            <w:r>
              <w:rPr>
                <w:color w:val="auto"/>
                <w:kern w:val="0"/>
                <w:sz w:val="24"/>
                <w:highlight w:val="none"/>
                <w:lang w:bidi="ar"/>
              </w:rPr>
              <w:t>排水</w:t>
            </w:r>
            <w:r>
              <w:rPr>
                <w:rFonts w:hint="eastAsia"/>
                <w:color w:val="auto"/>
                <w:kern w:val="0"/>
                <w:sz w:val="24"/>
                <w:highlight w:val="none"/>
                <w:lang w:bidi="ar"/>
              </w:rPr>
              <w:t>及软水制备废水、软水制备清洗废水产生的</w:t>
            </w:r>
            <w:r>
              <w:rPr>
                <w:color w:val="auto"/>
                <w:kern w:val="0"/>
                <w:sz w:val="24"/>
                <w:highlight w:val="none"/>
              </w:rPr>
              <w:t>浓度高于软水</w:t>
            </w:r>
            <w:r>
              <w:rPr>
                <w:rFonts w:hint="eastAsia"/>
                <w:color w:val="auto"/>
                <w:kern w:val="0"/>
                <w:sz w:val="24"/>
                <w:highlight w:val="none"/>
              </w:rPr>
              <w:t>制备浓水</w:t>
            </w:r>
            <w:r>
              <w:rPr>
                <w:color w:val="auto"/>
                <w:kern w:val="0"/>
                <w:sz w:val="24"/>
                <w:highlight w:val="none"/>
              </w:rPr>
              <w:t>浓度，</w:t>
            </w:r>
            <w:r>
              <w:rPr>
                <w:rFonts w:hint="eastAsia"/>
                <w:color w:val="auto"/>
                <w:kern w:val="0"/>
                <w:sz w:val="24"/>
                <w:highlight w:val="none"/>
              </w:rPr>
              <w:t>本项目产生的废水为</w:t>
            </w:r>
            <w:r>
              <w:rPr>
                <w:rFonts w:hint="eastAsia"/>
                <w:color w:val="auto"/>
                <w:kern w:val="0"/>
                <w:sz w:val="24"/>
                <w:highlight w:val="none"/>
                <w:lang w:eastAsia="zh-CN"/>
              </w:rPr>
              <w:t>蒸汽发生器</w:t>
            </w:r>
            <w:r>
              <w:rPr>
                <w:rFonts w:hint="eastAsia"/>
                <w:color w:val="auto"/>
                <w:kern w:val="0"/>
                <w:sz w:val="24"/>
                <w:highlight w:val="none"/>
              </w:rPr>
              <w:t>排水、软水制备清洗废水，与</w:t>
            </w:r>
            <w:r>
              <w:rPr>
                <w:rFonts w:hint="eastAsia"/>
                <w:color w:val="auto"/>
                <w:kern w:val="24"/>
                <w:sz w:val="24"/>
                <w:highlight w:val="none"/>
              </w:rPr>
              <w:t>万方天然药物公司的蒸发器排水水质一致，根据上表监测结果，</w:t>
            </w:r>
            <w:r>
              <w:rPr>
                <w:color w:val="auto"/>
                <w:kern w:val="0"/>
                <w:sz w:val="24"/>
                <w:highlight w:val="none"/>
              </w:rPr>
              <w:t>则项目生产废水浓度如下：</w:t>
            </w:r>
          </w:p>
          <w:p w14:paraId="170878F8">
            <w:pPr>
              <w:widowControl/>
              <w:spacing w:line="360" w:lineRule="auto"/>
              <w:jc w:val="center"/>
              <w:rPr>
                <w:b/>
                <w:color w:val="auto"/>
                <w:kern w:val="0"/>
                <w:sz w:val="24"/>
                <w:highlight w:val="none"/>
              </w:rPr>
            </w:pPr>
            <w:r>
              <w:rPr>
                <w:b/>
                <w:color w:val="auto"/>
                <w:kern w:val="0"/>
                <w:sz w:val="24"/>
                <w:highlight w:val="none"/>
              </w:rPr>
              <w:t>表</w:t>
            </w:r>
            <w:r>
              <w:rPr>
                <w:rFonts w:hint="eastAsia"/>
                <w:b/>
                <w:color w:val="auto"/>
                <w:kern w:val="0"/>
                <w:sz w:val="24"/>
                <w:highlight w:val="none"/>
              </w:rPr>
              <w:t>4-1</w:t>
            </w:r>
            <w:r>
              <w:rPr>
                <w:rFonts w:hint="eastAsia"/>
                <w:b/>
                <w:color w:val="auto"/>
                <w:kern w:val="0"/>
                <w:sz w:val="24"/>
                <w:highlight w:val="none"/>
                <w:lang w:val="en-US" w:eastAsia="zh-CN"/>
              </w:rPr>
              <w:t>4</w:t>
            </w:r>
            <w:r>
              <w:rPr>
                <w:rFonts w:hint="eastAsia"/>
                <w:b/>
                <w:color w:val="auto"/>
                <w:kern w:val="0"/>
                <w:sz w:val="24"/>
                <w:highlight w:val="none"/>
              </w:rPr>
              <w:t xml:space="preserve">  </w:t>
            </w:r>
            <w:r>
              <w:rPr>
                <w:b/>
                <w:color w:val="auto"/>
                <w:kern w:val="0"/>
                <w:sz w:val="24"/>
                <w:highlight w:val="none"/>
              </w:rPr>
              <w:t>项目</w:t>
            </w:r>
            <w:r>
              <w:rPr>
                <w:rFonts w:hint="eastAsia"/>
                <w:b/>
                <w:color w:val="auto"/>
                <w:kern w:val="0"/>
                <w:sz w:val="24"/>
                <w:highlight w:val="none"/>
              </w:rPr>
              <w:t>生产</w:t>
            </w:r>
            <w:r>
              <w:rPr>
                <w:b/>
                <w:color w:val="auto"/>
                <w:kern w:val="0"/>
                <w:sz w:val="24"/>
                <w:highlight w:val="none"/>
              </w:rPr>
              <w:t xml:space="preserve">废水排放浓度 </w:t>
            </w:r>
            <w:r>
              <w:rPr>
                <w:rFonts w:hint="eastAsia"/>
                <w:b/>
                <w:color w:val="auto"/>
                <w:kern w:val="0"/>
                <w:sz w:val="24"/>
                <w:highlight w:val="none"/>
                <w:lang w:val="en-US" w:eastAsia="zh-CN"/>
              </w:rPr>
              <w:t xml:space="preserve"> </w:t>
            </w:r>
            <w:r>
              <w:rPr>
                <w:b/>
                <w:color w:val="auto"/>
                <w:kern w:val="0"/>
                <w:sz w:val="24"/>
                <w:highlight w:val="none"/>
              </w:rPr>
              <w:t>单位：mg/L</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058"/>
              <w:gridCol w:w="1058"/>
              <w:gridCol w:w="1058"/>
              <w:gridCol w:w="1058"/>
              <w:gridCol w:w="1060"/>
              <w:gridCol w:w="1159"/>
            </w:tblGrid>
            <w:tr w14:paraId="36E8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76"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5772D8B">
                  <w:pPr>
                    <w:pStyle w:val="24"/>
                    <w:snapToGrid w:val="0"/>
                    <w:spacing w:line="240" w:lineRule="auto"/>
                    <w:ind w:left="0" w:leftChars="0" w:firstLine="0" w:firstLineChars="0"/>
                    <w:jc w:val="center"/>
                    <w:rPr>
                      <w:rFonts w:hint="eastAsia" w:ascii="宋体" w:hAnsi="宋体" w:eastAsia="宋体" w:cs="宋体"/>
                      <w:b/>
                      <w:bCs/>
                      <w:color w:val="auto"/>
                      <w:sz w:val="21"/>
                      <w:szCs w:val="21"/>
                      <w:vertAlign w:val="baseline"/>
                      <w:lang w:val="en-US" w:eastAsia="zh-CN"/>
                    </w:rPr>
                  </w:pPr>
                </w:p>
                <w:p w14:paraId="5A9731A5">
                  <w:pPr>
                    <w:pStyle w:val="24"/>
                    <w:snapToGrid w:val="0"/>
                    <w:spacing w:line="240" w:lineRule="auto"/>
                    <w:ind w:left="0" w:leftChars="0" w:firstLine="0" w:firstLineChars="0"/>
                    <w:jc w:val="center"/>
                    <mc:AlternateContent>
                      <mc:Choice Requires="wpsCustomData">
                        <wpsCustomData:diagonalParaType/>
                      </mc:Choice>
                    </mc:AlternateContent>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废水类型</w:t>
                  </w:r>
                </w:p>
                <w:p w14:paraId="617D1728">
                  <w:pPr>
                    <w:pStyle w:val="24"/>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污染物名称</w:t>
                  </w:r>
                </w:p>
              </w:tc>
              <w:tc>
                <w:tcPr>
                  <w:tcW w:w="627" w:type="pct"/>
                  <w:noWrap w:val="0"/>
                  <w:vAlign w:val="center"/>
                </w:tcPr>
                <w:p w14:paraId="500A98D2">
                  <w:pPr>
                    <w:pStyle w:val="24"/>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kern w:val="0"/>
                      <w:sz w:val="21"/>
                      <w:szCs w:val="21"/>
                      <w:highlight w:val="none"/>
                      <w:lang w:val="en-US" w:eastAsia="zh-CN"/>
                    </w:rPr>
                    <w:t>pH</w:t>
                  </w:r>
                </w:p>
              </w:tc>
              <w:tc>
                <w:tcPr>
                  <w:tcW w:w="627" w:type="pct"/>
                  <w:noWrap w:val="0"/>
                  <w:vAlign w:val="center"/>
                </w:tcPr>
                <w:p w14:paraId="40F45E47">
                  <w:pPr>
                    <w:pStyle w:val="24"/>
                    <w:ind w:left="0" w:leftChars="0" w:right="113" w:righ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kern w:val="0"/>
                      <w:sz w:val="21"/>
                      <w:szCs w:val="21"/>
                      <w:highlight w:val="none"/>
                      <w:lang w:val="en-US" w:eastAsia="zh-CN"/>
                    </w:rPr>
                    <w:t>COD</w:t>
                  </w:r>
                </w:p>
              </w:tc>
              <w:tc>
                <w:tcPr>
                  <w:tcW w:w="627" w:type="pct"/>
                  <w:noWrap w:val="0"/>
                  <w:vAlign w:val="center"/>
                </w:tcPr>
                <w:p w14:paraId="581DD387">
                  <w:pPr>
                    <w:pStyle w:val="24"/>
                    <w:ind w:left="0" w:leftChars="0" w:right="113" w:righ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kern w:val="0"/>
                      <w:sz w:val="21"/>
                      <w:szCs w:val="21"/>
                      <w:highlight w:val="none"/>
                      <w:lang w:val="en-US" w:eastAsia="zh-CN"/>
                    </w:rPr>
                    <w:t>BOD</w:t>
                  </w:r>
                  <w:r>
                    <w:rPr>
                      <w:rFonts w:hint="eastAsia" w:ascii="宋体" w:hAnsi="宋体" w:eastAsia="宋体" w:cs="宋体"/>
                      <w:b/>
                      <w:bCs/>
                      <w:color w:val="auto"/>
                      <w:kern w:val="0"/>
                      <w:sz w:val="21"/>
                      <w:szCs w:val="21"/>
                      <w:highlight w:val="none"/>
                      <w:vertAlign w:val="subscript"/>
                      <w:lang w:val="en-US" w:eastAsia="zh-CN"/>
                    </w:rPr>
                    <w:t>5</w:t>
                  </w:r>
                </w:p>
              </w:tc>
              <w:tc>
                <w:tcPr>
                  <w:tcW w:w="627" w:type="pct"/>
                  <w:noWrap w:val="0"/>
                  <w:vAlign w:val="center"/>
                </w:tcPr>
                <w:p w14:paraId="23D1BC8E">
                  <w:pPr>
                    <w:pStyle w:val="24"/>
                    <w:ind w:left="0" w:lef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氨氮</w:t>
                  </w:r>
                </w:p>
              </w:tc>
              <w:tc>
                <w:tcPr>
                  <w:tcW w:w="628" w:type="pct"/>
                  <w:noWrap w:val="0"/>
                  <w:vAlign w:val="center"/>
                </w:tcPr>
                <w:p w14:paraId="6DAD5ED4">
                  <w:pPr>
                    <w:pStyle w:val="24"/>
                    <w:ind w:left="0" w:lef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悬浮物</w:t>
                  </w:r>
                </w:p>
              </w:tc>
              <w:tc>
                <w:tcPr>
                  <w:tcW w:w="686" w:type="pct"/>
                  <w:noWrap w:val="0"/>
                  <w:vAlign w:val="center"/>
                </w:tcPr>
                <w:p w14:paraId="24D2B513">
                  <w:pPr>
                    <w:pStyle w:val="24"/>
                    <w:ind w:left="0" w:leftChars="0" w:firstLine="0" w:firstLineChars="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溶解性总固体</w:t>
                  </w:r>
                </w:p>
              </w:tc>
            </w:tr>
            <w:tr w14:paraId="54DA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exact"/>
                <w:jc w:val="center"/>
              </w:trPr>
              <w:tc>
                <w:tcPr>
                  <w:tcW w:w="1176" w:type="pct"/>
                  <w:noWrap w:val="0"/>
                  <w:vAlign w:val="center"/>
                </w:tcPr>
                <w:p w14:paraId="25A516D9">
                  <w:pPr>
                    <w:pStyle w:val="24"/>
                    <w:spacing w:line="240" w:lineRule="auto"/>
                    <w:ind w:right="113" w:righ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rPr>
                    <w:t>蒸发器</w:t>
                  </w:r>
                  <w:r>
                    <w:rPr>
                      <w:rFonts w:hint="eastAsia" w:ascii="宋体" w:hAnsi="宋体" w:eastAsia="宋体" w:cs="宋体"/>
                      <w:b/>
                      <w:bCs/>
                      <w:color w:val="auto"/>
                      <w:sz w:val="21"/>
                      <w:szCs w:val="21"/>
                      <w:lang w:eastAsia="zh-CN"/>
                    </w:rPr>
                    <w:t>强制</w:t>
                  </w:r>
                  <w:r>
                    <w:rPr>
                      <w:rFonts w:hint="eastAsia" w:ascii="宋体" w:hAnsi="宋体" w:eastAsia="宋体" w:cs="宋体"/>
                      <w:b/>
                      <w:bCs/>
                      <w:color w:val="auto"/>
                      <w:sz w:val="21"/>
                      <w:szCs w:val="21"/>
                    </w:rPr>
                    <w:t>排水、</w:t>
                  </w:r>
                  <w:r>
                    <w:rPr>
                      <w:rFonts w:hint="eastAsia" w:ascii="宋体" w:hAnsi="宋体" w:eastAsia="宋体" w:cs="宋体"/>
                      <w:b/>
                      <w:bCs/>
                      <w:color w:val="auto"/>
                      <w:sz w:val="21"/>
                      <w:szCs w:val="21"/>
                      <w:lang w:eastAsia="zh-CN"/>
                    </w:rPr>
                    <w:t>离子交换</w:t>
                  </w:r>
                  <w:r>
                    <w:rPr>
                      <w:rFonts w:hint="eastAsia" w:ascii="宋体" w:hAnsi="宋体" w:eastAsia="宋体" w:cs="宋体"/>
                      <w:b/>
                      <w:bCs/>
                      <w:color w:val="auto"/>
                      <w:sz w:val="21"/>
                      <w:szCs w:val="21"/>
                    </w:rPr>
                    <w:t>树脂再生废水综合浓度</w:t>
                  </w:r>
                </w:p>
              </w:tc>
              <w:tc>
                <w:tcPr>
                  <w:tcW w:w="627" w:type="pct"/>
                  <w:noWrap w:val="0"/>
                  <w:vAlign w:val="center"/>
                </w:tcPr>
                <w:p w14:paraId="68A8088C">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10.1</w:t>
                  </w:r>
                </w:p>
              </w:tc>
              <w:tc>
                <w:tcPr>
                  <w:tcW w:w="627" w:type="pct"/>
                  <w:noWrap w:val="0"/>
                  <w:vAlign w:val="center"/>
                </w:tcPr>
                <w:p w14:paraId="232836C3">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165</w:t>
                  </w:r>
                </w:p>
              </w:tc>
              <w:tc>
                <w:tcPr>
                  <w:tcW w:w="627" w:type="pct"/>
                  <w:noWrap w:val="0"/>
                  <w:vAlign w:val="center"/>
                </w:tcPr>
                <w:p w14:paraId="4640FE25">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50</w:t>
                  </w:r>
                </w:p>
              </w:tc>
              <w:tc>
                <w:tcPr>
                  <w:tcW w:w="627" w:type="pct"/>
                  <w:noWrap w:val="0"/>
                  <w:vAlign w:val="center"/>
                </w:tcPr>
                <w:p w14:paraId="23F13D95">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0.05</w:t>
                  </w:r>
                </w:p>
              </w:tc>
              <w:tc>
                <w:tcPr>
                  <w:tcW w:w="628" w:type="pct"/>
                  <w:noWrap w:val="0"/>
                  <w:vAlign w:val="center"/>
                </w:tcPr>
                <w:p w14:paraId="1AAE72F0">
                  <w:pPr>
                    <w:pStyle w:val="24"/>
                    <w:spacing w:line="240" w:lineRule="auto"/>
                    <w:ind w:right="113" w:rightChars="0" w:firstLine="0" w:firstLineChar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10</w:t>
                  </w:r>
                </w:p>
              </w:tc>
              <w:tc>
                <w:tcPr>
                  <w:tcW w:w="686" w:type="pct"/>
                  <w:noWrap w:val="0"/>
                  <w:vAlign w:val="center"/>
                </w:tcPr>
                <w:p w14:paraId="5D35D8AA">
                  <w:pPr>
                    <w:pStyle w:val="24"/>
                    <w:spacing w:line="240" w:lineRule="auto"/>
                    <w:ind w:right="113" w:rightChars="0" w:firstLine="0" w:firstLineChars="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32</w:t>
                  </w:r>
                  <w:r>
                    <w:rPr>
                      <w:rFonts w:hint="eastAsia" w:ascii="宋体" w:hAnsi="宋体" w:eastAsia="宋体" w:cs="宋体"/>
                      <w:color w:val="auto"/>
                      <w:sz w:val="21"/>
                      <w:szCs w:val="21"/>
                      <w:lang w:val="en-US" w:eastAsia="zh-CN"/>
                    </w:rPr>
                    <w:t>00</w:t>
                  </w:r>
                </w:p>
              </w:tc>
            </w:tr>
          </w:tbl>
          <w:p w14:paraId="1D1910DE">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本项目产生的</w:t>
            </w:r>
            <w:r>
              <w:rPr>
                <w:rFonts w:hint="eastAsia"/>
                <w:color w:val="auto"/>
                <w:kern w:val="24"/>
                <w:sz w:val="24"/>
                <w:highlight w:val="none"/>
                <w:lang w:eastAsia="zh-CN"/>
              </w:rPr>
              <w:t>蒸汽发生器</w:t>
            </w:r>
            <w:r>
              <w:rPr>
                <w:rFonts w:hint="eastAsia"/>
                <w:color w:val="auto"/>
                <w:kern w:val="24"/>
                <w:sz w:val="24"/>
                <w:highlight w:val="none"/>
              </w:rPr>
              <w:t>排水及树脂再生废水采用絮凝沉淀的方式进行处理，先加稀盐酸中和，</w:t>
            </w:r>
            <w:r>
              <w:rPr>
                <w:rFonts w:hint="eastAsia"/>
                <w:color w:val="auto"/>
                <w:kern w:val="24"/>
                <w:sz w:val="24"/>
                <w:highlight w:val="none"/>
                <w:lang w:eastAsia="zh-CN"/>
              </w:rPr>
              <w:t>再</w:t>
            </w:r>
            <w:r>
              <w:rPr>
                <w:rFonts w:hint="eastAsia"/>
                <w:color w:val="auto"/>
                <w:kern w:val="24"/>
                <w:sz w:val="24"/>
                <w:highlight w:val="none"/>
              </w:rPr>
              <w:t>添加絮凝剂，经絮凝沉淀后，项目生产废水水质浓度情况详见下表。</w:t>
            </w:r>
          </w:p>
          <w:p w14:paraId="4DCA55B2">
            <w:pPr>
              <w:widowControl/>
              <w:spacing w:line="360" w:lineRule="auto"/>
              <w:jc w:val="center"/>
              <w:rPr>
                <w:b/>
                <w:color w:val="auto"/>
                <w:kern w:val="0"/>
                <w:sz w:val="24"/>
                <w:highlight w:val="none"/>
              </w:rPr>
            </w:pPr>
            <w:r>
              <w:rPr>
                <w:rFonts w:hint="eastAsia"/>
                <w:b/>
                <w:color w:val="auto"/>
                <w:kern w:val="0"/>
                <w:sz w:val="24"/>
                <w:highlight w:val="none"/>
              </w:rPr>
              <w:t>表4-1</w:t>
            </w:r>
            <w:r>
              <w:rPr>
                <w:rFonts w:hint="eastAsia"/>
                <w:b/>
                <w:color w:val="auto"/>
                <w:kern w:val="0"/>
                <w:sz w:val="24"/>
                <w:highlight w:val="none"/>
                <w:lang w:val="en-US" w:eastAsia="zh-CN"/>
              </w:rPr>
              <w:t>5</w:t>
            </w:r>
            <w:r>
              <w:rPr>
                <w:rFonts w:hint="eastAsia"/>
                <w:b/>
                <w:color w:val="auto"/>
                <w:kern w:val="0"/>
                <w:sz w:val="24"/>
                <w:highlight w:val="none"/>
              </w:rPr>
              <w:t xml:space="preserve"> </w:t>
            </w:r>
            <w:r>
              <w:rPr>
                <w:rFonts w:hint="eastAsia"/>
                <w:b/>
                <w:color w:val="auto"/>
                <w:kern w:val="0"/>
                <w:sz w:val="24"/>
                <w:highlight w:val="none"/>
                <w:lang w:val="en-US" w:eastAsia="zh-CN"/>
              </w:rPr>
              <w:t xml:space="preserve"> </w:t>
            </w:r>
            <w:r>
              <w:rPr>
                <w:rFonts w:hint="eastAsia"/>
                <w:b/>
                <w:color w:val="auto"/>
                <w:kern w:val="0"/>
                <w:sz w:val="24"/>
                <w:highlight w:val="none"/>
              </w:rPr>
              <w:t>项目生产废水水质浓度产排情况一览表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153"/>
              <w:gridCol w:w="1009"/>
              <w:gridCol w:w="1009"/>
              <w:gridCol w:w="1009"/>
              <w:gridCol w:w="1009"/>
              <w:gridCol w:w="1009"/>
              <w:gridCol w:w="1690"/>
            </w:tblGrid>
            <w:tr w14:paraId="39C2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08" w:type="pct"/>
                  <w:gridSpan w:val="2"/>
                  <w:vAlign w:val="center"/>
                </w:tcPr>
                <w:p w14:paraId="6B2BC07D">
                  <w:pPr>
                    <w:jc w:val="center"/>
                    <w:rPr>
                      <w:color w:val="auto"/>
                      <w:szCs w:val="21"/>
                      <w:highlight w:val="none"/>
                    </w:rPr>
                  </w:pPr>
                  <w:r>
                    <w:rPr>
                      <w:color w:val="auto"/>
                      <w:szCs w:val="21"/>
                      <w:highlight w:val="none"/>
                    </w:rPr>
                    <w:t>污染物</w:t>
                  </w:r>
                </w:p>
              </w:tc>
              <w:tc>
                <w:tcPr>
                  <w:tcW w:w="598" w:type="pct"/>
                  <w:vAlign w:val="center"/>
                </w:tcPr>
                <w:p w14:paraId="0154F2FE">
                  <w:pPr>
                    <w:jc w:val="center"/>
                    <w:rPr>
                      <w:color w:val="auto"/>
                      <w:szCs w:val="21"/>
                      <w:highlight w:val="none"/>
                    </w:rPr>
                  </w:pPr>
                  <w:r>
                    <w:rPr>
                      <w:color w:val="auto"/>
                      <w:szCs w:val="21"/>
                      <w:highlight w:val="none"/>
                    </w:rPr>
                    <w:t>pH</w:t>
                  </w:r>
                </w:p>
              </w:tc>
              <w:tc>
                <w:tcPr>
                  <w:tcW w:w="598" w:type="pct"/>
                  <w:vAlign w:val="center"/>
                </w:tcPr>
                <w:p w14:paraId="26E626BA">
                  <w:pPr>
                    <w:jc w:val="center"/>
                    <w:rPr>
                      <w:color w:val="auto"/>
                      <w:kern w:val="0"/>
                      <w:szCs w:val="21"/>
                      <w:highlight w:val="none"/>
                      <w:lang w:bidi="ar"/>
                    </w:rPr>
                  </w:pPr>
                  <w:r>
                    <w:rPr>
                      <w:color w:val="auto"/>
                      <w:kern w:val="0"/>
                      <w:szCs w:val="21"/>
                      <w:highlight w:val="none"/>
                      <w:lang w:bidi="ar"/>
                    </w:rPr>
                    <w:t>COD</w:t>
                  </w:r>
                </w:p>
              </w:tc>
              <w:tc>
                <w:tcPr>
                  <w:tcW w:w="598" w:type="pct"/>
                  <w:vAlign w:val="center"/>
                </w:tcPr>
                <w:p w14:paraId="3397361E">
                  <w:pPr>
                    <w:jc w:val="center"/>
                    <w:rPr>
                      <w:color w:val="auto"/>
                      <w:szCs w:val="21"/>
                      <w:highlight w:val="none"/>
                      <w:vertAlign w:val="subscript"/>
                    </w:rPr>
                  </w:pPr>
                  <w:r>
                    <w:rPr>
                      <w:color w:val="auto"/>
                      <w:szCs w:val="21"/>
                      <w:highlight w:val="none"/>
                    </w:rPr>
                    <w:t>BOD</w:t>
                  </w:r>
                  <w:r>
                    <w:rPr>
                      <w:color w:val="auto"/>
                      <w:szCs w:val="21"/>
                      <w:highlight w:val="none"/>
                      <w:vertAlign w:val="subscript"/>
                    </w:rPr>
                    <w:t>5</w:t>
                  </w:r>
                </w:p>
              </w:tc>
              <w:tc>
                <w:tcPr>
                  <w:tcW w:w="598" w:type="pct"/>
                  <w:vAlign w:val="center"/>
                </w:tcPr>
                <w:p w14:paraId="34A69445">
                  <w:pPr>
                    <w:jc w:val="center"/>
                    <w:rPr>
                      <w:color w:val="auto"/>
                      <w:szCs w:val="21"/>
                      <w:highlight w:val="none"/>
                    </w:rPr>
                  </w:pPr>
                  <w:r>
                    <w:rPr>
                      <w:color w:val="auto"/>
                      <w:kern w:val="0"/>
                      <w:szCs w:val="21"/>
                      <w:highlight w:val="none"/>
                      <w:lang w:bidi="ar"/>
                    </w:rPr>
                    <w:t>NH</w:t>
                  </w:r>
                  <w:r>
                    <w:rPr>
                      <w:color w:val="auto"/>
                      <w:kern w:val="0"/>
                      <w:szCs w:val="21"/>
                      <w:highlight w:val="none"/>
                      <w:vertAlign w:val="subscript"/>
                      <w:lang w:bidi="ar"/>
                    </w:rPr>
                    <w:t>3</w:t>
                  </w:r>
                  <w:r>
                    <w:rPr>
                      <w:color w:val="auto"/>
                      <w:kern w:val="0"/>
                      <w:szCs w:val="21"/>
                      <w:highlight w:val="none"/>
                      <w:lang w:bidi="ar"/>
                    </w:rPr>
                    <w:t>-N</w:t>
                  </w:r>
                </w:p>
              </w:tc>
              <w:tc>
                <w:tcPr>
                  <w:tcW w:w="598" w:type="pct"/>
                  <w:vAlign w:val="center"/>
                </w:tcPr>
                <w:p w14:paraId="68D71290">
                  <w:pPr>
                    <w:jc w:val="center"/>
                    <w:rPr>
                      <w:color w:val="auto"/>
                      <w:szCs w:val="21"/>
                      <w:highlight w:val="none"/>
                    </w:rPr>
                  </w:pPr>
                  <w:r>
                    <w:rPr>
                      <w:color w:val="auto"/>
                      <w:szCs w:val="21"/>
                      <w:highlight w:val="none"/>
                    </w:rPr>
                    <w:t>SS</w:t>
                  </w:r>
                </w:p>
              </w:tc>
              <w:tc>
                <w:tcPr>
                  <w:tcW w:w="1001" w:type="pct"/>
                  <w:vAlign w:val="center"/>
                </w:tcPr>
                <w:p w14:paraId="471B6EE7">
                  <w:pPr>
                    <w:jc w:val="center"/>
                    <w:rPr>
                      <w:color w:val="auto"/>
                      <w:szCs w:val="21"/>
                      <w:highlight w:val="none"/>
                    </w:rPr>
                  </w:pPr>
                  <w:r>
                    <w:rPr>
                      <w:color w:val="auto"/>
                      <w:szCs w:val="21"/>
                      <w:highlight w:val="none"/>
                    </w:rPr>
                    <w:t>溶解性总固体</w:t>
                  </w:r>
                </w:p>
              </w:tc>
            </w:tr>
            <w:tr w14:paraId="5CAE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pct"/>
                  <w:gridSpan w:val="2"/>
                  <w:vAlign w:val="center"/>
                </w:tcPr>
                <w:p w14:paraId="3DFBFA54">
                  <w:pPr>
                    <w:jc w:val="center"/>
                    <w:rPr>
                      <w:color w:val="auto"/>
                      <w:szCs w:val="21"/>
                      <w:highlight w:val="none"/>
                    </w:rPr>
                  </w:pPr>
                  <w:r>
                    <w:rPr>
                      <w:color w:val="auto"/>
                      <w:szCs w:val="21"/>
                      <w:highlight w:val="none"/>
                    </w:rPr>
                    <w:t>废水量（t/a）</w:t>
                  </w:r>
                </w:p>
              </w:tc>
              <w:tc>
                <w:tcPr>
                  <w:tcW w:w="3991" w:type="pct"/>
                  <w:gridSpan w:val="6"/>
                  <w:vAlign w:val="center"/>
                </w:tcPr>
                <w:p w14:paraId="31F2CA94">
                  <w:pPr>
                    <w:jc w:val="center"/>
                    <w:rPr>
                      <w:rFonts w:hint="default" w:eastAsia="宋体"/>
                      <w:color w:val="auto"/>
                      <w:szCs w:val="21"/>
                      <w:highlight w:val="none"/>
                      <w:lang w:val="en-US" w:eastAsia="zh-CN"/>
                    </w:rPr>
                  </w:pPr>
                  <w:r>
                    <w:rPr>
                      <w:rFonts w:hint="eastAsia"/>
                      <w:color w:val="auto"/>
                      <w:szCs w:val="21"/>
                      <w:highlight w:val="none"/>
                      <w:lang w:val="en-US" w:eastAsia="zh-CN"/>
                    </w:rPr>
                    <w:t>585</w:t>
                  </w:r>
                </w:p>
              </w:tc>
            </w:tr>
            <w:tr w14:paraId="7C3C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vAlign w:val="center"/>
                </w:tcPr>
                <w:p w14:paraId="10A028A9">
                  <w:pPr>
                    <w:jc w:val="center"/>
                    <w:rPr>
                      <w:color w:val="auto"/>
                      <w:szCs w:val="21"/>
                      <w:highlight w:val="none"/>
                    </w:rPr>
                  </w:pPr>
                  <w:r>
                    <w:rPr>
                      <w:color w:val="auto"/>
                      <w:szCs w:val="21"/>
                      <w:highlight w:val="none"/>
                    </w:rPr>
                    <w:t>处理前</w:t>
                  </w:r>
                </w:p>
              </w:tc>
              <w:tc>
                <w:tcPr>
                  <w:tcW w:w="683" w:type="pct"/>
                  <w:vAlign w:val="center"/>
                </w:tcPr>
                <w:p w14:paraId="269351A8">
                  <w:pPr>
                    <w:jc w:val="center"/>
                    <w:rPr>
                      <w:color w:val="auto"/>
                      <w:szCs w:val="21"/>
                      <w:highlight w:val="none"/>
                    </w:rPr>
                  </w:pPr>
                  <w:r>
                    <w:rPr>
                      <w:color w:val="auto"/>
                      <w:szCs w:val="21"/>
                      <w:highlight w:val="none"/>
                    </w:rPr>
                    <w:t>产生浓度（mg/L）</w:t>
                  </w:r>
                </w:p>
              </w:tc>
              <w:tc>
                <w:tcPr>
                  <w:tcW w:w="598" w:type="pct"/>
                  <w:vAlign w:val="center"/>
                </w:tcPr>
                <w:p w14:paraId="2B555011">
                  <w:pPr>
                    <w:pStyle w:val="24"/>
                    <w:ind w:firstLine="0" w:firstLineChars="0"/>
                    <w:jc w:val="center"/>
                    <w:rPr>
                      <w:color w:val="auto"/>
                      <w:szCs w:val="21"/>
                      <w:highlight w:val="none"/>
                    </w:rPr>
                  </w:pPr>
                  <w:r>
                    <w:rPr>
                      <w:color w:val="auto"/>
                      <w:szCs w:val="21"/>
                      <w:highlight w:val="none"/>
                    </w:rPr>
                    <w:t>10.1</w:t>
                  </w:r>
                </w:p>
              </w:tc>
              <w:tc>
                <w:tcPr>
                  <w:tcW w:w="598" w:type="pct"/>
                  <w:vAlign w:val="center"/>
                </w:tcPr>
                <w:p w14:paraId="310023D4">
                  <w:pPr>
                    <w:pStyle w:val="24"/>
                    <w:ind w:firstLine="0" w:firstLineChars="0"/>
                    <w:jc w:val="center"/>
                    <w:rPr>
                      <w:color w:val="auto"/>
                      <w:szCs w:val="21"/>
                      <w:highlight w:val="none"/>
                    </w:rPr>
                  </w:pPr>
                  <w:r>
                    <w:rPr>
                      <w:color w:val="auto"/>
                      <w:szCs w:val="21"/>
                      <w:highlight w:val="none"/>
                    </w:rPr>
                    <w:t>165</w:t>
                  </w:r>
                </w:p>
              </w:tc>
              <w:tc>
                <w:tcPr>
                  <w:tcW w:w="598" w:type="pct"/>
                  <w:vAlign w:val="center"/>
                </w:tcPr>
                <w:p w14:paraId="0FED5903">
                  <w:pPr>
                    <w:pStyle w:val="24"/>
                    <w:ind w:firstLine="0" w:firstLineChars="0"/>
                    <w:jc w:val="center"/>
                    <w:rPr>
                      <w:color w:val="auto"/>
                      <w:szCs w:val="21"/>
                      <w:highlight w:val="none"/>
                    </w:rPr>
                  </w:pPr>
                  <w:r>
                    <w:rPr>
                      <w:color w:val="auto"/>
                      <w:szCs w:val="21"/>
                      <w:highlight w:val="none"/>
                    </w:rPr>
                    <w:t>50</w:t>
                  </w:r>
                </w:p>
              </w:tc>
              <w:tc>
                <w:tcPr>
                  <w:tcW w:w="598" w:type="pct"/>
                  <w:vAlign w:val="center"/>
                </w:tcPr>
                <w:p w14:paraId="77F0923E">
                  <w:pPr>
                    <w:pStyle w:val="24"/>
                    <w:ind w:firstLine="0" w:firstLineChars="0"/>
                    <w:jc w:val="center"/>
                    <w:rPr>
                      <w:color w:val="auto"/>
                      <w:szCs w:val="21"/>
                      <w:highlight w:val="none"/>
                    </w:rPr>
                  </w:pPr>
                  <w:r>
                    <w:rPr>
                      <w:color w:val="auto"/>
                      <w:szCs w:val="21"/>
                      <w:highlight w:val="none"/>
                    </w:rPr>
                    <w:t>0.05</w:t>
                  </w:r>
                </w:p>
              </w:tc>
              <w:tc>
                <w:tcPr>
                  <w:tcW w:w="598" w:type="pct"/>
                  <w:vAlign w:val="center"/>
                </w:tcPr>
                <w:p w14:paraId="08C16A18">
                  <w:pPr>
                    <w:pStyle w:val="24"/>
                    <w:ind w:firstLine="0" w:firstLineChars="0"/>
                    <w:jc w:val="center"/>
                    <w:rPr>
                      <w:color w:val="auto"/>
                      <w:szCs w:val="21"/>
                      <w:highlight w:val="none"/>
                    </w:rPr>
                  </w:pPr>
                  <w:r>
                    <w:rPr>
                      <w:color w:val="auto"/>
                      <w:szCs w:val="21"/>
                      <w:highlight w:val="none"/>
                    </w:rPr>
                    <w:t>10</w:t>
                  </w:r>
                </w:p>
              </w:tc>
              <w:tc>
                <w:tcPr>
                  <w:tcW w:w="1001" w:type="pct"/>
                  <w:vAlign w:val="center"/>
                </w:tcPr>
                <w:p w14:paraId="59770489">
                  <w:pPr>
                    <w:pStyle w:val="24"/>
                    <w:ind w:firstLine="0" w:firstLineChars="0"/>
                    <w:jc w:val="center"/>
                    <w:rPr>
                      <w:color w:val="auto"/>
                      <w:szCs w:val="21"/>
                      <w:highlight w:val="none"/>
                    </w:rPr>
                  </w:pPr>
                  <w:r>
                    <w:rPr>
                      <w:color w:val="auto"/>
                      <w:szCs w:val="21"/>
                      <w:highlight w:val="none"/>
                    </w:rPr>
                    <w:t>3280</w:t>
                  </w:r>
                </w:p>
              </w:tc>
            </w:tr>
            <w:tr w14:paraId="4D5E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08" w:type="pct"/>
                  <w:gridSpan w:val="2"/>
                  <w:shd w:val="clear" w:color="auto" w:fill="F1F1F1"/>
                  <w:vAlign w:val="center"/>
                </w:tcPr>
                <w:p w14:paraId="054D69D6">
                  <w:pPr>
                    <w:jc w:val="center"/>
                    <w:rPr>
                      <w:color w:val="auto"/>
                      <w:szCs w:val="21"/>
                      <w:highlight w:val="none"/>
                    </w:rPr>
                  </w:pPr>
                  <w:r>
                    <w:rPr>
                      <w:color w:val="auto"/>
                      <w:szCs w:val="21"/>
                      <w:highlight w:val="none"/>
                    </w:rPr>
                    <w:t>处理措施</w:t>
                  </w:r>
                </w:p>
              </w:tc>
              <w:tc>
                <w:tcPr>
                  <w:tcW w:w="3991" w:type="pct"/>
                  <w:gridSpan w:val="6"/>
                  <w:shd w:val="clear" w:color="auto" w:fill="F1F1F1"/>
                  <w:vAlign w:val="center"/>
                </w:tcPr>
                <w:p w14:paraId="44BB0581">
                  <w:pPr>
                    <w:jc w:val="center"/>
                    <w:rPr>
                      <w:color w:val="auto"/>
                      <w:szCs w:val="21"/>
                      <w:highlight w:val="none"/>
                    </w:rPr>
                  </w:pPr>
                  <w:r>
                    <w:rPr>
                      <w:color w:val="auto"/>
                      <w:szCs w:val="21"/>
                      <w:highlight w:val="none"/>
                    </w:rPr>
                    <w:t>沉淀池（先加稀盐酸中和，</w:t>
                  </w:r>
                  <w:r>
                    <w:rPr>
                      <w:rFonts w:hint="eastAsia"/>
                      <w:color w:val="auto"/>
                      <w:szCs w:val="21"/>
                      <w:highlight w:val="none"/>
                      <w:lang w:eastAsia="zh-CN"/>
                    </w:rPr>
                    <w:t>再</w:t>
                  </w:r>
                  <w:r>
                    <w:rPr>
                      <w:color w:val="auto"/>
                      <w:szCs w:val="21"/>
                      <w:highlight w:val="none"/>
                    </w:rPr>
                    <w:t>添加絮凝剂）收集处理</w:t>
                  </w:r>
                </w:p>
              </w:tc>
            </w:tr>
            <w:tr w14:paraId="1912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 w:type="pct"/>
                  <w:vAlign w:val="center"/>
                </w:tcPr>
                <w:p w14:paraId="2DFC73B7">
                  <w:pPr>
                    <w:jc w:val="center"/>
                    <w:rPr>
                      <w:color w:val="auto"/>
                      <w:szCs w:val="21"/>
                      <w:highlight w:val="none"/>
                    </w:rPr>
                  </w:pPr>
                  <w:r>
                    <w:rPr>
                      <w:color w:val="auto"/>
                      <w:szCs w:val="21"/>
                      <w:highlight w:val="none"/>
                    </w:rPr>
                    <w:t>处理后</w:t>
                  </w:r>
                </w:p>
              </w:tc>
              <w:tc>
                <w:tcPr>
                  <w:tcW w:w="683" w:type="pct"/>
                  <w:vAlign w:val="center"/>
                </w:tcPr>
                <w:p w14:paraId="4AFD5FCD">
                  <w:pPr>
                    <w:jc w:val="center"/>
                    <w:rPr>
                      <w:color w:val="auto"/>
                      <w:szCs w:val="21"/>
                      <w:highlight w:val="none"/>
                    </w:rPr>
                  </w:pPr>
                  <w:r>
                    <w:rPr>
                      <w:color w:val="auto"/>
                      <w:szCs w:val="21"/>
                      <w:highlight w:val="none"/>
                    </w:rPr>
                    <w:t>排放浓度（mg/L）</w:t>
                  </w:r>
                </w:p>
              </w:tc>
              <w:tc>
                <w:tcPr>
                  <w:tcW w:w="598" w:type="pct"/>
                  <w:vAlign w:val="center"/>
                </w:tcPr>
                <w:p w14:paraId="70CCC590">
                  <w:pPr>
                    <w:jc w:val="center"/>
                    <w:rPr>
                      <w:color w:val="auto"/>
                      <w:szCs w:val="21"/>
                      <w:highlight w:val="none"/>
                    </w:rPr>
                  </w:pPr>
                  <w:r>
                    <w:rPr>
                      <w:color w:val="auto"/>
                      <w:szCs w:val="21"/>
                      <w:highlight w:val="none"/>
                    </w:rPr>
                    <w:t>6～9</w:t>
                  </w:r>
                </w:p>
              </w:tc>
              <w:tc>
                <w:tcPr>
                  <w:tcW w:w="598" w:type="pct"/>
                  <w:vAlign w:val="center"/>
                </w:tcPr>
                <w:p w14:paraId="5C01B987">
                  <w:pPr>
                    <w:jc w:val="center"/>
                    <w:rPr>
                      <w:color w:val="auto"/>
                      <w:szCs w:val="21"/>
                      <w:highlight w:val="none"/>
                    </w:rPr>
                  </w:pPr>
                  <w:r>
                    <w:rPr>
                      <w:color w:val="auto"/>
                      <w:szCs w:val="21"/>
                      <w:highlight w:val="none"/>
                    </w:rPr>
                    <w:t>165</w:t>
                  </w:r>
                </w:p>
              </w:tc>
              <w:tc>
                <w:tcPr>
                  <w:tcW w:w="598" w:type="pct"/>
                  <w:vAlign w:val="center"/>
                </w:tcPr>
                <w:p w14:paraId="6CC600DF">
                  <w:pPr>
                    <w:pStyle w:val="24"/>
                    <w:ind w:firstLine="0" w:firstLineChars="0"/>
                    <w:jc w:val="center"/>
                    <w:rPr>
                      <w:color w:val="auto"/>
                      <w:szCs w:val="21"/>
                      <w:highlight w:val="none"/>
                    </w:rPr>
                  </w:pPr>
                  <w:r>
                    <w:rPr>
                      <w:color w:val="auto"/>
                      <w:szCs w:val="21"/>
                      <w:highlight w:val="none"/>
                    </w:rPr>
                    <w:t>50</w:t>
                  </w:r>
                </w:p>
              </w:tc>
              <w:tc>
                <w:tcPr>
                  <w:tcW w:w="598" w:type="pct"/>
                  <w:vAlign w:val="center"/>
                </w:tcPr>
                <w:p w14:paraId="21AB49F1">
                  <w:pPr>
                    <w:pStyle w:val="24"/>
                    <w:ind w:firstLine="0" w:firstLineChars="0"/>
                    <w:jc w:val="center"/>
                    <w:rPr>
                      <w:color w:val="auto"/>
                      <w:szCs w:val="21"/>
                      <w:highlight w:val="none"/>
                    </w:rPr>
                  </w:pPr>
                  <w:r>
                    <w:rPr>
                      <w:color w:val="auto"/>
                      <w:szCs w:val="21"/>
                      <w:highlight w:val="none"/>
                    </w:rPr>
                    <w:t>0.05</w:t>
                  </w:r>
                </w:p>
              </w:tc>
              <w:tc>
                <w:tcPr>
                  <w:tcW w:w="598" w:type="pct"/>
                  <w:vAlign w:val="center"/>
                </w:tcPr>
                <w:p w14:paraId="45263166">
                  <w:pPr>
                    <w:pStyle w:val="24"/>
                    <w:ind w:firstLine="0" w:firstLineChars="0"/>
                    <w:jc w:val="center"/>
                    <w:rPr>
                      <w:color w:val="auto"/>
                      <w:szCs w:val="21"/>
                      <w:highlight w:val="none"/>
                    </w:rPr>
                  </w:pPr>
                  <w:r>
                    <w:rPr>
                      <w:color w:val="auto"/>
                      <w:szCs w:val="21"/>
                      <w:highlight w:val="none"/>
                    </w:rPr>
                    <w:t>6</w:t>
                  </w:r>
                </w:p>
              </w:tc>
              <w:tc>
                <w:tcPr>
                  <w:tcW w:w="1001" w:type="pct"/>
                  <w:vAlign w:val="center"/>
                </w:tcPr>
                <w:p w14:paraId="6B72F207">
                  <w:pPr>
                    <w:jc w:val="center"/>
                    <w:rPr>
                      <w:color w:val="auto"/>
                      <w:szCs w:val="21"/>
                      <w:highlight w:val="none"/>
                    </w:rPr>
                  </w:pPr>
                  <w:r>
                    <w:rPr>
                      <w:color w:val="auto"/>
                      <w:szCs w:val="21"/>
                      <w:highlight w:val="none"/>
                    </w:rPr>
                    <w:t>1600</w:t>
                  </w:r>
                </w:p>
              </w:tc>
            </w:tr>
          </w:tbl>
          <w:p w14:paraId="29FC007F">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（2）生活污水</w:t>
            </w:r>
          </w:p>
          <w:p w14:paraId="59A8C11A">
            <w:pPr>
              <w:adjustRightInd w:val="0"/>
              <w:snapToGrid w:val="0"/>
              <w:spacing w:line="360" w:lineRule="auto"/>
              <w:ind w:firstLine="480" w:firstLineChars="200"/>
              <w:jc w:val="left"/>
              <w:rPr>
                <w:rFonts w:hint="eastAsia"/>
                <w:color w:val="auto"/>
                <w:kern w:val="24"/>
                <w:sz w:val="24"/>
                <w:highlight w:val="none"/>
              </w:rPr>
            </w:pPr>
            <w:r>
              <w:rPr>
                <w:rFonts w:hint="eastAsia"/>
                <w:color w:val="auto"/>
                <w:kern w:val="24"/>
                <w:sz w:val="24"/>
                <w:highlight w:val="none"/>
              </w:rPr>
              <w:t>本项目劳动定员</w:t>
            </w:r>
            <w:r>
              <w:rPr>
                <w:rFonts w:hint="eastAsia"/>
                <w:color w:val="auto"/>
                <w:kern w:val="24"/>
                <w:sz w:val="24"/>
                <w:highlight w:val="none"/>
                <w:lang w:val="en-US" w:eastAsia="zh-CN"/>
              </w:rPr>
              <w:t>2</w:t>
            </w:r>
            <w:r>
              <w:rPr>
                <w:rFonts w:hint="eastAsia"/>
                <w:color w:val="auto"/>
                <w:kern w:val="24"/>
                <w:sz w:val="24"/>
                <w:highlight w:val="none"/>
              </w:rPr>
              <w:t>人，均不在厂区内食宿，员工生活污水产生量</w:t>
            </w:r>
            <w:r>
              <w:rPr>
                <w:rFonts w:hint="eastAsia"/>
                <w:color w:val="auto"/>
                <w:kern w:val="24"/>
                <w:sz w:val="24"/>
                <w:highlight w:val="none"/>
                <w:lang w:val="en-US" w:eastAsia="zh-CN"/>
              </w:rPr>
              <w:t>0.048</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/d、</w:t>
            </w:r>
            <w:r>
              <w:rPr>
                <w:rFonts w:hint="eastAsia"/>
                <w:color w:val="auto"/>
                <w:kern w:val="24"/>
                <w:sz w:val="24"/>
                <w:highlight w:val="none"/>
                <w:lang w:val="en-US" w:eastAsia="zh-CN"/>
              </w:rPr>
              <w:t>14.4</w:t>
            </w:r>
            <w:r>
              <w:rPr>
                <w:rFonts w:hint="eastAsia"/>
                <w:color w:val="auto"/>
                <w:kern w:val="24"/>
                <w:sz w:val="24"/>
                <w:highlight w:val="none"/>
              </w:rPr>
              <w:t>m</w:t>
            </w:r>
            <w:r>
              <w:rPr>
                <w:rFonts w:hint="eastAsia"/>
                <w:color w:val="auto"/>
                <w:kern w:val="24"/>
                <w:sz w:val="24"/>
                <w:highlight w:val="none"/>
                <w:vertAlign w:val="superscript"/>
              </w:rPr>
              <w:t>3</w:t>
            </w:r>
            <w:r>
              <w:rPr>
                <w:rFonts w:hint="eastAsia"/>
                <w:color w:val="auto"/>
                <w:kern w:val="24"/>
                <w:sz w:val="24"/>
                <w:highlight w:val="none"/>
              </w:rPr>
              <w:t>/a，</w:t>
            </w:r>
            <w:bookmarkStart w:id="35" w:name="_Hlk161927120"/>
            <w:r>
              <w:rPr>
                <w:rFonts w:hint="eastAsia"/>
                <w:color w:val="auto"/>
                <w:kern w:val="24"/>
                <w:sz w:val="24"/>
                <w:highlight w:val="none"/>
                <w:lang w:val="en-US" w:eastAsia="zh-CN"/>
              </w:rPr>
              <w:t>污水产生量很少，依托钧澄公司化粪池处理后综合利用</w:t>
            </w:r>
            <w:r>
              <w:rPr>
                <w:rFonts w:hint="eastAsia"/>
                <w:color w:val="auto"/>
                <w:kern w:val="24"/>
                <w:sz w:val="24"/>
                <w:highlight w:val="none"/>
              </w:rPr>
              <w:t>。</w:t>
            </w:r>
            <w:bookmarkEnd w:id="35"/>
          </w:p>
          <w:p w14:paraId="1C7FA323">
            <w:pPr>
              <w:adjustRightInd w:val="0"/>
              <w:snapToGrid w:val="0"/>
              <w:spacing w:line="360" w:lineRule="auto"/>
              <w:ind w:firstLine="480" w:firstLineChars="200"/>
              <w:jc w:val="left"/>
              <w:rPr>
                <w:color w:val="auto"/>
                <w:kern w:val="24"/>
                <w:sz w:val="24"/>
                <w:highlight w:val="none"/>
              </w:rPr>
            </w:pPr>
            <w:r>
              <w:rPr>
                <w:rFonts w:hint="eastAsia"/>
                <w:color w:val="auto"/>
                <w:kern w:val="24"/>
                <w:sz w:val="24"/>
                <w:highlight w:val="none"/>
              </w:rPr>
              <w:t>2、治理措施</w:t>
            </w:r>
          </w:p>
          <w:p w14:paraId="61C202D2">
            <w:pPr>
              <w:adjustRightInd w:val="0"/>
              <w:snapToGrid w:val="0"/>
              <w:spacing w:line="360" w:lineRule="auto"/>
              <w:ind w:firstLine="480" w:firstLineChars="200"/>
              <w:rPr>
                <w:color w:val="auto"/>
                <w:kern w:val="24"/>
                <w:sz w:val="24"/>
                <w:highlight w:val="none"/>
              </w:rPr>
            </w:pPr>
            <w:r>
              <w:rPr>
                <w:color w:val="auto"/>
                <w:kern w:val="24"/>
                <w:sz w:val="24"/>
                <w:highlight w:val="none"/>
              </w:rPr>
              <w:t>项目</w:t>
            </w:r>
            <w:r>
              <w:rPr>
                <w:rFonts w:hint="eastAsia"/>
                <w:color w:val="auto"/>
                <w:kern w:val="24"/>
                <w:sz w:val="24"/>
                <w:highlight w:val="none"/>
                <w:lang w:eastAsia="zh-CN"/>
              </w:rPr>
              <w:t>依托</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已建雨污分流系统</w:t>
            </w:r>
            <w:r>
              <w:rPr>
                <w:color w:val="auto"/>
                <w:kern w:val="24"/>
                <w:sz w:val="24"/>
                <w:highlight w:val="none"/>
              </w:rPr>
              <w:t>，雨水经雨水管道收集后排至</w:t>
            </w:r>
            <w:r>
              <w:rPr>
                <w:rFonts w:hint="eastAsia"/>
                <w:color w:val="auto"/>
                <w:kern w:val="24"/>
                <w:sz w:val="24"/>
                <w:highlight w:val="none"/>
                <w:lang w:val="en-US" w:eastAsia="zh-CN"/>
              </w:rPr>
              <w:t>钧澄</w:t>
            </w:r>
            <w:r>
              <w:rPr>
                <w:color w:val="auto"/>
                <w:kern w:val="24"/>
                <w:sz w:val="24"/>
                <w:highlight w:val="none"/>
              </w:rPr>
              <w:t>雨水管网。</w:t>
            </w:r>
            <w:r>
              <w:rPr>
                <w:rFonts w:hint="eastAsia"/>
                <w:color w:val="auto"/>
                <w:kern w:val="24"/>
                <w:sz w:val="24"/>
                <w:highlight w:val="none"/>
              </w:rPr>
              <w:t>生活污水排入</w:t>
            </w:r>
            <w:r>
              <w:rPr>
                <w:rFonts w:hint="eastAsia"/>
                <w:color w:val="auto"/>
                <w:kern w:val="24"/>
                <w:sz w:val="24"/>
                <w:highlight w:val="none"/>
                <w:lang w:val="en-US" w:eastAsia="zh-CN"/>
              </w:rPr>
              <w:t>钧澄公司</w:t>
            </w:r>
            <w:r>
              <w:rPr>
                <w:rFonts w:hint="eastAsia"/>
                <w:color w:val="auto"/>
                <w:kern w:val="24"/>
                <w:sz w:val="24"/>
                <w:highlight w:val="none"/>
              </w:rPr>
              <w:t>化粪池处理</w:t>
            </w:r>
            <w:r>
              <w:rPr>
                <w:rFonts w:hint="eastAsia"/>
                <w:color w:val="auto"/>
                <w:kern w:val="24"/>
                <w:sz w:val="24"/>
                <w:highlight w:val="none"/>
                <w:lang w:val="en-US" w:eastAsia="zh-CN"/>
              </w:rPr>
              <w:t>后综合利用</w:t>
            </w:r>
            <w:r>
              <w:rPr>
                <w:rFonts w:hint="eastAsia"/>
                <w:color w:val="auto"/>
                <w:kern w:val="24"/>
                <w:sz w:val="24"/>
                <w:highlight w:val="none"/>
              </w:rPr>
              <w:t>；</w:t>
            </w:r>
            <w:r>
              <w:rPr>
                <w:rFonts w:hint="eastAsia"/>
                <w:color w:val="auto"/>
                <w:kern w:val="24"/>
                <w:sz w:val="24"/>
                <w:highlight w:val="none"/>
                <w:lang w:eastAsia="zh-CN"/>
              </w:rPr>
              <w:t>蒸汽发生器</w:t>
            </w:r>
            <w:r>
              <w:rPr>
                <w:rFonts w:hint="eastAsia"/>
                <w:color w:val="auto"/>
                <w:kern w:val="24"/>
                <w:sz w:val="24"/>
                <w:highlight w:val="none"/>
              </w:rPr>
              <w:t>排水、离子交换树脂再生废水经絮凝沉淀后排入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w:t>
            </w:r>
          </w:p>
          <w:p w14:paraId="726A2268">
            <w:pPr>
              <w:pStyle w:val="25"/>
              <w:spacing w:line="360" w:lineRule="auto"/>
              <w:ind w:left="0" w:leftChars="0" w:firstLine="0" w:firstLineChars="0"/>
              <w:rPr>
                <w:rFonts w:ascii="宋体" w:hAnsi="宋体" w:cs="宋体"/>
                <w:b/>
                <w:bCs/>
                <w:color w:val="auto"/>
                <w:kern w:val="0"/>
                <w:sz w:val="24"/>
                <w:highlight w:val="none"/>
                <w:lang w:bidi="ar"/>
              </w:rPr>
            </w:pPr>
            <w:r>
              <w:rPr>
                <w:rFonts w:hint="eastAsia"/>
                <w:b/>
                <w:bCs/>
                <w:color w:val="auto"/>
                <w:sz w:val="24"/>
                <w:highlight w:val="none"/>
              </w:rPr>
              <w:t>3、</w:t>
            </w:r>
            <w:r>
              <w:rPr>
                <w:rFonts w:hint="eastAsia" w:ascii="宋体" w:hAnsi="宋体" w:cs="宋体"/>
                <w:b/>
                <w:bCs/>
                <w:color w:val="auto"/>
                <w:kern w:val="0"/>
                <w:sz w:val="24"/>
                <w:highlight w:val="none"/>
                <w:lang w:bidi="ar"/>
              </w:rPr>
              <w:t xml:space="preserve">废水处置措施可行性分析 </w:t>
            </w:r>
          </w:p>
          <w:p w14:paraId="7713B4E6">
            <w:pPr>
              <w:pStyle w:val="15"/>
              <w:widowControl/>
              <w:adjustRightInd w:val="0"/>
              <w:snapToGrid w:val="0"/>
              <w:spacing w:line="360" w:lineRule="auto"/>
              <w:ind w:firstLine="482" w:firstLineChars="200"/>
              <w:rPr>
                <w:rFonts w:hint="default" w:ascii="Times New Roman" w:hAnsi="Times New Roman"/>
                <w:b/>
                <w:bCs/>
                <w:color w:val="auto"/>
                <w:sz w:val="24"/>
                <w:highlight w:val="none"/>
              </w:rPr>
            </w:pPr>
            <w:r>
              <w:rPr>
                <w:rFonts w:hint="default" w:ascii="Times New Roman" w:hAnsi="Times New Roman"/>
                <w:b/>
                <w:bCs/>
                <w:color w:val="auto"/>
                <w:sz w:val="24"/>
                <w:highlight w:val="none"/>
              </w:rPr>
              <w:t>（1）生产废水处理措施可行性分析</w:t>
            </w:r>
          </w:p>
          <w:p w14:paraId="59AB65E5">
            <w:pPr>
              <w:pStyle w:val="15"/>
              <w:widowControl/>
              <w:adjustRightInd w:val="0"/>
              <w:snapToGrid w:val="0"/>
              <w:spacing w:line="360" w:lineRule="auto"/>
              <w:ind w:firstLine="480" w:firstLineChars="200"/>
              <w:rPr>
                <w:rFonts w:hint="default" w:ascii="Times New Roman" w:hAnsi="Times New Roman"/>
                <w:b/>
                <w:bCs/>
                <w:color w:val="auto"/>
                <w:sz w:val="24"/>
                <w:highlight w:val="none"/>
              </w:rPr>
            </w:pPr>
            <w:r>
              <w:rPr>
                <w:rFonts w:hint="default" w:ascii="Times New Roman" w:hAnsi="Times New Roman"/>
                <w:color w:val="auto"/>
                <w:sz w:val="24"/>
                <w:highlight w:val="none"/>
              </w:rPr>
              <w:t>项目蒸发器强制排水、离子交换树脂再生废水</w:t>
            </w:r>
            <w:r>
              <w:rPr>
                <w:rFonts w:ascii="Times New Roman" w:hAnsi="Times New Roman"/>
                <w:color w:val="auto"/>
                <w:sz w:val="24"/>
                <w:highlight w:val="none"/>
              </w:rPr>
              <w:t>最大</w:t>
            </w:r>
            <w:r>
              <w:rPr>
                <w:rFonts w:hint="default" w:ascii="Times New Roman" w:hAnsi="Times New Roman"/>
                <w:color w:val="auto"/>
                <w:sz w:val="24"/>
                <w:highlight w:val="none"/>
              </w:rPr>
              <w:t>产生量为</w:t>
            </w:r>
            <w:r>
              <w:rPr>
                <w:rFonts w:hint="eastAsia" w:ascii="Times New Roman" w:hAnsi="Times New Roman"/>
                <w:color w:val="auto"/>
                <w:sz w:val="24"/>
                <w:highlight w:val="none"/>
                <w:lang w:val="en-US" w:eastAsia="zh-CN"/>
              </w:rPr>
              <w:t>1.95</w:t>
            </w:r>
            <w:r>
              <w:rPr>
                <w:rFonts w:hint="default" w:ascii="Times New Roman" w:hAnsi="Times New Roman"/>
                <w:color w:val="auto"/>
                <w:sz w:val="24"/>
                <w:highlight w:val="none"/>
              </w:rPr>
              <w:t>m</w:t>
            </w:r>
            <w:r>
              <w:rPr>
                <w:rFonts w:hint="default" w:ascii="Times New Roman" w:hAnsi="Times New Roman"/>
                <w:color w:val="auto"/>
                <w:sz w:val="24"/>
                <w:highlight w:val="none"/>
                <w:vertAlign w:val="superscript"/>
              </w:rPr>
              <w:t>3</w:t>
            </w:r>
            <w:r>
              <w:rPr>
                <w:rFonts w:hint="default" w:ascii="Times New Roman" w:hAnsi="Times New Roman"/>
                <w:color w:val="auto"/>
                <w:sz w:val="24"/>
                <w:highlight w:val="none"/>
              </w:rPr>
              <w:t>/d，则</w:t>
            </w:r>
            <w:r>
              <w:rPr>
                <w:rFonts w:hint="eastAsia" w:ascii="Times New Roman" w:hAnsi="Times New Roman"/>
                <w:color w:val="auto"/>
                <w:sz w:val="24"/>
                <w:highlight w:val="none"/>
                <w:lang w:val="en-US" w:eastAsia="zh-CN"/>
              </w:rPr>
              <w:t>循环冷却水池</w:t>
            </w:r>
            <w:r>
              <w:rPr>
                <w:rFonts w:hint="default" w:ascii="Times New Roman" w:hAnsi="Times New Roman"/>
                <w:color w:val="auto"/>
                <w:sz w:val="24"/>
                <w:highlight w:val="none"/>
              </w:rPr>
              <w:t>容积应不小于</w:t>
            </w:r>
            <w:r>
              <w:rPr>
                <w:rFonts w:hint="eastAsia" w:ascii="Times New Roman" w:hAnsi="Times New Roman"/>
                <w:color w:val="auto"/>
                <w:sz w:val="24"/>
                <w:highlight w:val="none"/>
                <w:lang w:val="en-US" w:eastAsia="zh-CN"/>
              </w:rPr>
              <w:t>2</w:t>
            </w:r>
            <w:r>
              <w:rPr>
                <w:rFonts w:hint="default" w:ascii="Times New Roman" w:hAnsi="Times New Roman"/>
                <w:color w:val="auto"/>
                <w:sz w:val="24"/>
                <w:highlight w:val="none"/>
              </w:rPr>
              <w:t>m</w:t>
            </w:r>
            <w:r>
              <w:rPr>
                <w:rFonts w:hint="default" w:ascii="Times New Roman" w:hAnsi="Times New Roman"/>
                <w:color w:val="auto"/>
                <w:sz w:val="24"/>
                <w:highlight w:val="none"/>
                <w:vertAlign w:val="superscript"/>
              </w:rPr>
              <w:t>3</w:t>
            </w:r>
            <w:r>
              <w:rPr>
                <w:rFonts w:hint="eastAsia" w:ascii="Times New Roman" w:hAnsi="Times New Roman"/>
                <w:color w:val="auto"/>
                <w:sz w:val="24"/>
                <w:highlight w:val="none"/>
                <w:vertAlign w:val="baseline"/>
                <w:lang w:eastAsia="zh-CN"/>
              </w:rPr>
              <w:t>，</w:t>
            </w:r>
            <w:r>
              <w:rPr>
                <w:rFonts w:hint="eastAsia" w:ascii="Times New Roman" w:hAnsi="Times New Roman"/>
                <w:color w:val="auto"/>
                <w:sz w:val="24"/>
                <w:highlight w:val="none"/>
                <w:lang w:val="en-US" w:eastAsia="zh-CN"/>
              </w:rPr>
              <w:t>钧澄公司冷却循环用水主要用于“</w:t>
            </w:r>
            <w:r>
              <w:rPr>
                <w:rFonts w:hint="eastAsia" w:cs="Times New Roman"/>
                <w:color w:val="auto"/>
                <w:sz w:val="24"/>
                <w:szCs w:val="22"/>
                <w:lang w:val="en-US" w:eastAsia="zh-CN"/>
              </w:rPr>
              <w:t>年产4万立方米泡沫塑料及塑料制品生产线</w:t>
            </w:r>
            <w:r>
              <w:rPr>
                <w:rFonts w:hint="eastAsia"/>
                <w:color w:val="auto"/>
                <w:sz w:val="24"/>
              </w:rPr>
              <w:t>项目</w:t>
            </w:r>
            <w:r>
              <w:rPr>
                <w:rFonts w:hint="eastAsia" w:ascii="Times New Roman" w:hAnsi="Times New Roman"/>
                <w:color w:val="auto"/>
                <w:sz w:val="24"/>
                <w:highlight w:val="none"/>
                <w:lang w:val="en-US" w:eastAsia="zh-CN"/>
              </w:rPr>
              <w:t>”生产塑料泡沫的冷却，该冷却过程对冷却循环用水对水质无要求。</w:t>
            </w:r>
            <w:r>
              <w:rPr>
                <w:rFonts w:hint="eastAsia" w:ascii="宋体" w:hAnsi="宋体" w:eastAsia="宋体" w:cs="宋体"/>
                <w:color w:val="auto"/>
                <w:kern w:val="2"/>
                <w:sz w:val="24"/>
                <w:szCs w:val="24"/>
                <w:lang w:val="en-US" w:eastAsia="zh-CN" w:bidi="ar-SA"/>
              </w:rPr>
              <w:t>根</w:t>
            </w:r>
            <w:r>
              <w:rPr>
                <w:rFonts w:hint="eastAsia" w:ascii="宋体" w:hAnsi="宋体" w:eastAsia="宋体" w:cs="宋体"/>
                <w:color w:val="auto"/>
                <w:sz w:val="24"/>
                <w:szCs w:val="24"/>
                <w:lang w:val="en-US" w:eastAsia="zh-CN"/>
              </w:rPr>
              <w:t>据</w:t>
            </w:r>
            <w:r>
              <w:rPr>
                <w:rFonts w:hint="eastAsia" w:ascii="宋体" w:hAnsi="宋体" w:cs="宋体"/>
                <w:color w:val="auto"/>
                <w:sz w:val="24"/>
                <w:szCs w:val="24"/>
                <w:lang w:val="en-US" w:eastAsia="zh-CN"/>
              </w:rPr>
              <w:t>《玉溪市恒威商贸有限公司迁建年产4万立方米泡沫塑料及塑料制品生产线项目竣工环境保护验收监测</w:t>
            </w:r>
            <w:r>
              <w:rPr>
                <w:rFonts w:hint="eastAsia" w:ascii="宋体" w:hAnsi="宋体" w:eastAsia="宋体" w:cs="宋体"/>
                <w:color w:val="auto"/>
                <w:sz w:val="24"/>
                <w:szCs w:val="24"/>
                <w:lang w:val="en-US" w:eastAsia="zh-CN"/>
              </w:rPr>
              <w:t>报告</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w:t>
            </w:r>
            <w:r>
              <w:rPr>
                <w:rFonts w:hint="eastAsia" w:ascii="Times New Roman" w:hAnsi="Times New Roman"/>
                <w:color w:val="auto"/>
                <w:sz w:val="24"/>
                <w:highlight w:val="none"/>
                <w:lang w:val="en-US" w:eastAsia="zh-CN"/>
              </w:rPr>
              <w:t>塑料泡沫冷却循环水量为30.92m³，</w:t>
            </w:r>
            <w:r>
              <w:rPr>
                <w:rFonts w:hint="eastAsia" w:ascii="Times New Roman" w:hAnsi="Times New Roman"/>
                <w:color w:val="auto"/>
                <w:sz w:val="24"/>
                <w:highlight w:val="none"/>
                <w:vertAlign w:val="baseline"/>
                <w:lang w:val="en-US" w:eastAsia="zh-CN"/>
              </w:rPr>
              <w:t>根据调查，钧澄公司现有的冷却循环水池容积为60m³，有足够的容积容纳</w:t>
            </w:r>
            <w:r>
              <w:rPr>
                <w:rFonts w:hint="default" w:ascii="Times New Roman" w:hAnsi="Times New Roman"/>
                <w:color w:val="auto"/>
                <w:sz w:val="24"/>
                <w:highlight w:val="none"/>
              </w:rPr>
              <w:t>蒸发器强制排水、离子交换树脂再生废水</w:t>
            </w:r>
            <w:r>
              <w:rPr>
                <w:rFonts w:hint="eastAsia" w:ascii="Times New Roman" w:hAnsi="Times New Roman"/>
                <w:color w:val="auto"/>
                <w:sz w:val="24"/>
                <w:highlight w:val="none"/>
                <w:lang w:eastAsia="zh-CN"/>
              </w:rPr>
              <w:t>的</w:t>
            </w:r>
            <w:r>
              <w:rPr>
                <w:rFonts w:hint="eastAsia" w:ascii="Times New Roman" w:hAnsi="Times New Roman"/>
                <w:color w:val="auto"/>
                <w:sz w:val="24"/>
                <w:highlight w:val="none"/>
                <w:lang w:val="en-US" w:eastAsia="zh-CN"/>
              </w:rPr>
              <w:t>排放。且循环冷却用量较大，锅炉废水产生量较小，可完全被稀释后回用于钧澄公司冷却循环使用，因此</w:t>
            </w:r>
            <w:r>
              <w:rPr>
                <w:rFonts w:hint="default" w:ascii="Times New Roman" w:hAnsi="Times New Roman"/>
                <w:color w:val="auto"/>
                <w:sz w:val="24"/>
                <w:highlight w:val="none"/>
              </w:rPr>
              <w:t>蒸发器强制排水、离子交换树脂再生废水</w:t>
            </w:r>
            <w:r>
              <w:rPr>
                <w:rFonts w:hint="eastAsia" w:ascii="Times New Roman" w:hAnsi="Times New Roman"/>
                <w:color w:val="auto"/>
                <w:sz w:val="24"/>
                <w:highlight w:val="none"/>
                <w:lang w:val="en-US" w:eastAsia="zh-CN"/>
              </w:rPr>
              <w:t>排放至钧澄公司冷却循环水池循环使用可行</w:t>
            </w:r>
            <w:r>
              <w:rPr>
                <w:rFonts w:hint="default" w:ascii="Times New Roman" w:hAnsi="Times New Roman"/>
                <w:color w:val="auto"/>
                <w:sz w:val="24"/>
                <w:highlight w:val="none"/>
              </w:rPr>
              <w:t>。</w:t>
            </w:r>
          </w:p>
          <w:p w14:paraId="3BE4521B">
            <w:pPr>
              <w:spacing w:line="360" w:lineRule="auto"/>
              <w:ind w:firstLine="482" w:firstLineChars="200"/>
              <w:rPr>
                <w:b/>
                <w:bCs/>
                <w:color w:val="auto"/>
                <w:sz w:val="24"/>
                <w:highlight w:val="none"/>
              </w:rPr>
            </w:pPr>
            <w:r>
              <w:rPr>
                <w:b/>
                <w:bCs/>
                <w:color w:val="auto"/>
                <w:sz w:val="24"/>
                <w:highlight w:val="none"/>
              </w:rPr>
              <w:t>（2）生活污水</w:t>
            </w:r>
            <w:r>
              <w:rPr>
                <w:rFonts w:hint="eastAsia"/>
                <w:b/>
                <w:bCs/>
                <w:color w:val="auto"/>
                <w:sz w:val="24"/>
                <w:highlight w:val="none"/>
              </w:rPr>
              <w:t>处理</w:t>
            </w:r>
            <w:r>
              <w:rPr>
                <w:b/>
                <w:bCs/>
                <w:color w:val="auto"/>
                <w:sz w:val="24"/>
                <w:highlight w:val="none"/>
              </w:rPr>
              <w:t>可行性分析</w:t>
            </w:r>
          </w:p>
          <w:p w14:paraId="3AB57C56">
            <w:pPr>
              <w:spacing w:line="360" w:lineRule="auto"/>
              <w:ind w:firstLine="480" w:firstLineChars="200"/>
              <w:rPr>
                <w:rFonts w:hint="default" w:eastAsia="宋体"/>
                <w:color w:val="auto"/>
                <w:kern w:val="24"/>
                <w:sz w:val="24"/>
                <w:highlight w:val="none"/>
                <w:lang w:val="en-US" w:eastAsia="zh-CN"/>
              </w:rPr>
            </w:pPr>
            <w:r>
              <w:rPr>
                <w:color w:val="auto"/>
                <w:kern w:val="24"/>
                <w:sz w:val="24"/>
                <w:highlight w:val="none"/>
              </w:rPr>
              <w:t>根据《建筑给水排水设计规范》（GB50015-2003）要求：化粪池有效停留时间取12～24h。污水的排放量变化大会影响化粪池的污水处理效果，预留污水有效停留时间有利于保证化粪池污水处理效果，因此本项目化粪池污水有效停留时间取12h。化粪池处理规模以项目运营期的污水产生量为基数并考虑20%的余量取定。</w:t>
            </w:r>
            <w:r>
              <w:rPr>
                <w:rFonts w:hint="eastAsia"/>
                <w:color w:val="auto"/>
                <w:kern w:val="24"/>
                <w:sz w:val="24"/>
                <w:highlight w:val="none"/>
                <w:lang w:val="en-US" w:eastAsia="zh-CN"/>
              </w:rPr>
              <w:t>根据钧澄公司《迁建年产4万立方米泡沫塑料及塑料制品生产线项目竣工验收监测表》，钧澄公司生活污水产生量为0.576m³/d，本</w:t>
            </w:r>
            <w:r>
              <w:rPr>
                <w:rFonts w:hint="eastAsia"/>
                <w:color w:val="auto"/>
                <w:sz w:val="24"/>
                <w:highlight w:val="none"/>
              </w:rPr>
              <w:t>项目生活污水</w:t>
            </w:r>
            <w:r>
              <w:rPr>
                <w:rFonts w:hint="eastAsia"/>
                <w:color w:val="auto"/>
                <w:sz w:val="24"/>
                <w:highlight w:val="none"/>
                <w:lang w:val="en-US" w:eastAsia="zh-CN"/>
              </w:rPr>
              <w:t>产生</w:t>
            </w:r>
            <w:r>
              <w:rPr>
                <w:rFonts w:hint="eastAsia"/>
                <w:color w:val="auto"/>
                <w:sz w:val="24"/>
                <w:highlight w:val="none"/>
              </w:rPr>
              <w:t>量为</w:t>
            </w:r>
            <w:r>
              <w:rPr>
                <w:rFonts w:hint="eastAsia"/>
                <w:color w:val="auto"/>
                <w:kern w:val="24"/>
                <w:sz w:val="24"/>
                <w:highlight w:val="none"/>
              </w:rPr>
              <w:t>0.</w:t>
            </w:r>
            <w:r>
              <w:rPr>
                <w:rFonts w:hint="eastAsia"/>
                <w:color w:val="auto"/>
                <w:kern w:val="24"/>
                <w:sz w:val="24"/>
                <w:highlight w:val="none"/>
                <w:lang w:val="en-US" w:eastAsia="zh-CN"/>
              </w:rPr>
              <w:t>048</w:t>
            </w:r>
            <w:r>
              <w:rPr>
                <w:color w:val="auto"/>
                <w:kern w:val="24"/>
                <w:sz w:val="24"/>
                <w:highlight w:val="none"/>
              </w:rPr>
              <w:t>m</w:t>
            </w:r>
            <w:r>
              <w:rPr>
                <w:color w:val="auto"/>
                <w:kern w:val="24"/>
                <w:sz w:val="24"/>
                <w:highlight w:val="none"/>
                <w:vertAlign w:val="superscript"/>
              </w:rPr>
              <w:t>3</w:t>
            </w:r>
            <w:r>
              <w:rPr>
                <w:color w:val="auto"/>
                <w:kern w:val="24"/>
                <w:sz w:val="24"/>
                <w:highlight w:val="none"/>
              </w:rPr>
              <w:t>/d</w:t>
            </w:r>
            <w:r>
              <w:rPr>
                <w:rFonts w:hint="eastAsia"/>
                <w:color w:val="auto"/>
                <w:sz w:val="24"/>
                <w:highlight w:val="none"/>
              </w:rPr>
              <w:t>，</w:t>
            </w:r>
            <w:r>
              <w:rPr>
                <w:rFonts w:hint="eastAsia"/>
                <w:color w:val="auto"/>
                <w:sz w:val="24"/>
                <w:highlight w:val="none"/>
                <w:lang w:val="en-US" w:eastAsia="zh-CN"/>
              </w:rPr>
              <w:t>本项目和钧澄公司产生的生活污水合计0.624m³/d，</w:t>
            </w:r>
            <w:r>
              <w:rPr>
                <w:rFonts w:hint="eastAsia"/>
                <w:color w:val="auto"/>
                <w:kern w:val="24"/>
                <w:sz w:val="24"/>
                <w:highlight w:val="none"/>
                <w:lang w:val="en-US" w:eastAsia="zh-CN"/>
              </w:rPr>
              <w:t>化粪池容积为3m³</w:t>
            </w:r>
            <w:r>
              <w:rPr>
                <w:rFonts w:hint="eastAsia"/>
                <w:color w:val="auto"/>
                <w:sz w:val="24"/>
                <w:highlight w:val="none"/>
                <w:lang w:val="en-US" w:eastAsia="zh-CN"/>
              </w:rPr>
              <w:t>，</w:t>
            </w:r>
            <w:r>
              <w:rPr>
                <w:rFonts w:hint="eastAsia"/>
                <w:color w:val="auto"/>
                <w:kern w:val="24"/>
                <w:sz w:val="24"/>
                <w:highlight w:val="none"/>
              </w:rPr>
              <w:t>满足处理要求</w:t>
            </w:r>
            <w:r>
              <w:rPr>
                <w:color w:val="auto"/>
                <w:kern w:val="24"/>
                <w:sz w:val="24"/>
                <w:highlight w:val="none"/>
              </w:rPr>
              <w:t>。</w:t>
            </w:r>
            <w:r>
              <w:rPr>
                <w:rFonts w:hint="eastAsia"/>
                <w:color w:val="auto"/>
                <w:kern w:val="24"/>
                <w:sz w:val="24"/>
                <w:highlight w:val="none"/>
              </w:rPr>
              <w:t>化粪池工作原理：过滤沉淀——厌氧发酵——固体物分解——粪液排放。</w:t>
            </w:r>
            <w:r>
              <w:rPr>
                <w:rFonts w:hint="eastAsia"/>
                <w:color w:val="auto"/>
                <w:kern w:val="24"/>
                <w:sz w:val="24"/>
                <w:highlight w:val="none"/>
                <w:lang w:val="en-US" w:eastAsia="zh-CN"/>
              </w:rPr>
              <w:t>项目产生的生活污水经钧澄公司化粪池处理后综合利用。污水处理可行。</w:t>
            </w:r>
          </w:p>
          <w:p w14:paraId="7069F7C7">
            <w:pPr>
              <w:spacing w:line="360" w:lineRule="auto"/>
              <w:ind w:firstLine="480" w:firstLineChars="200"/>
              <w:rPr>
                <w:color w:val="auto"/>
                <w:kern w:val="24"/>
                <w:sz w:val="24"/>
                <w:highlight w:val="none"/>
              </w:rPr>
            </w:pPr>
            <w:r>
              <w:rPr>
                <w:rFonts w:hint="eastAsia"/>
                <w:color w:val="auto"/>
                <w:kern w:val="24"/>
                <w:sz w:val="24"/>
                <w:highlight w:val="none"/>
              </w:rPr>
              <w:t>本项目要求采用三格化粪池，污水首先由进水口排到第一格，在第一格里比重较大的固体物及寄生虫卵等物沉淀下来，开始初步的发酵分解，经第一格处理过的污水可分为三层：糊状粪皮、比较澄清的粪液和固体状的粪渣。经过初步分解的粪液流入第二格，而漂浮在上面的粪皮和沉积在下面的粪渣则留在第一格继续发酵。在第二格中，粪液继续发酵分解，虫卵继续下沉，病原体逐渐死亡，粪液得到进一步无害化，产生的粪皮和粪渣厚度比第一格显著减少。流入第三格的粪液一般已经腐熟，其中病菌和寄生虫卵已基本杀灭。第三格功能主要起暂时储存已基本无害的粪液作用。</w:t>
            </w:r>
          </w:p>
          <w:p w14:paraId="0C3DAA2E">
            <w:pPr>
              <w:keepNext w:val="0"/>
              <w:keepLines w:val="0"/>
              <w:pageBreakBefore w:val="0"/>
              <w:widowControl w:val="0"/>
              <w:numPr>
                <w:ilvl w:val="0"/>
                <w:numId w:val="0"/>
              </w:numPr>
              <w:kinsoku/>
              <w:wordWrap/>
              <w:overflowPunct/>
              <w:topLinePunct w:val="0"/>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b/>
                <w:bCs/>
                <w:color w:val="auto"/>
                <w:sz w:val="24"/>
                <w:highlight w:val="none"/>
              </w:rPr>
              <w:t>5、</w:t>
            </w:r>
            <w:r>
              <w:rPr>
                <w:rFonts w:hint="eastAsia" w:ascii="宋体" w:hAnsi="宋体" w:eastAsia="宋体" w:cs="宋体"/>
                <w:b/>
                <w:bCs/>
                <w:color w:val="auto"/>
                <w:sz w:val="24"/>
                <w:szCs w:val="24"/>
                <w:lang w:val="en-US" w:eastAsia="zh-CN"/>
              </w:rPr>
              <w:t>结论</w:t>
            </w:r>
          </w:p>
          <w:p w14:paraId="25CB86A7">
            <w:pPr>
              <w:adjustRightInd w:val="0"/>
              <w:snapToGrid w:val="0"/>
              <w:spacing w:line="360" w:lineRule="auto"/>
              <w:ind w:firstLine="480" w:firstLineChars="200"/>
              <w:rPr>
                <w:rFonts w:hint="eastAsia"/>
                <w:color w:val="auto"/>
                <w:kern w:val="24"/>
                <w:sz w:val="24"/>
                <w:highlight w:val="none"/>
                <w:lang w:val="en-US" w:eastAsia="zh-CN"/>
              </w:rPr>
            </w:pPr>
            <w:r>
              <w:rPr>
                <w:color w:val="auto"/>
                <w:kern w:val="24"/>
                <w:sz w:val="24"/>
                <w:highlight w:val="none"/>
              </w:rPr>
              <w:t>项目</w:t>
            </w:r>
            <w:r>
              <w:rPr>
                <w:rFonts w:hint="eastAsia"/>
                <w:color w:val="auto"/>
                <w:kern w:val="24"/>
                <w:sz w:val="24"/>
                <w:highlight w:val="none"/>
                <w:lang w:eastAsia="zh-CN"/>
              </w:rPr>
              <w:t>依托</w:t>
            </w:r>
            <w:r>
              <w:rPr>
                <w:rFonts w:hint="eastAsia"/>
                <w:color w:val="auto"/>
                <w:kern w:val="24"/>
                <w:sz w:val="24"/>
                <w:highlight w:val="none"/>
                <w:lang w:val="en-US" w:eastAsia="zh-CN"/>
              </w:rPr>
              <w:t>玉溪钧澄经贸有限公司</w:t>
            </w:r>
            <w:r>
              <w:rPr>
                <w:rFonts w:hint="eastAsia"/>
                <w:color w:val="auto"/>
                <w:kern w:val="24"/>
                <w:sz w:val="24"/>
                <w:highlight w:val="none"/>
                <w:lang w:eastAsia="zh-CN"/>
              </w:rPr>
              <w:t>已建雨污分流系统</w:t>
            </w:r>
            <w:r>
              <w:rPr>
                <w:color w:val="auto"/>
                <w:kern w:val="24"/>
                <w:sz w:val="24"/>
                <w:highlight w:val="none"/>
              </w:rPr>
              <w:t>，雨水经雨水管道收集后排至</w:t>
            </w:r>
            <w:r>
              <w:rPr>
                <w:rFonts w:hint="eastAsia"/>
                <w:color w:val="auto"/>
                <w:kern w:val="24"/>
                <w:sz w:val="24"/>
                <w:highlight w:val="none"/>
                <w:lang w:val="en-US" w:eastAsia="zh-CN"/>
              </w:rPr>
              <w:t>钧澄</w:t>
            </w:r>
            <w:r>
              <w:rPr>
                <w:color w:val="auto"/>
                <w:kern w:val="24"/>
                <w:sz w:val="24"/>
                <w:highlight w:val="none"/>
              </w:rPr>
              <w:t>雨水管网。</w:t>
            </w:r>
            <w:r>
              <w:rPr>
                <w:rFonts w:hint="eastAsia"/>
                <w:color w:val="auto"/>
                <w:kern w:val="24"/>
                <w:sz w:val="24"/>
                <w:highlight w:val="none"/>
              </w:rPr>
              <w:t>生活污水排入</w:t>
            </w:r>
            <w:r>
              <w:rPr>
                <w:rFonts w:hint="eastAsia"/>
                <w:color w:val="auto"/>
                <w:kern w:val="24"/>
                <w:sz w:val="24"/>
                <w:highlight w:val="none"/>
                <w:lang w:val="en-US" w:eastAsia="zh-CN"/>
              </w:rPr>
              <w:t>钧澄公司</w:t>
            </w:r>
            <w:r>
              <w:rPr>
                <w:rFonts w:hint="eastAsia"/>
                <w:color w:val="auto"/>
                <w:kern w:val="24"/>
                <w:sz w:val="24"/>
                <w:highlight w:val="none"/>
              </w:rPr>
              <w:t>化粪池处理</w:t>
            </w:r>
            <w:r>
              <w:rPr>
                <w:rFonts w:hint="eastAsia"/>
                <w:color w:val="auto"/>
                <w:kern w:val="24"/>
                <w:sz w:val="24"/>
                <w:highlight w:val="none"/>
                <w:lang w:val="en-US" w:eastAsia="zh-CN"/>
              </w:rPr>
              <w:t>后综合利用</w:t>
            </w:r>
            <w:r>
              <w:rPr>
                <w:rFonts w:hint="eastAsia"/>
                <w:color w:val="auto"/>
                <w:kern w:val="24"/>
                <w:sz w:val="24"/>
                <w:highlight w:val="none"/>
              </w:rPr>
              <w:t>；</w:t>
            </w:r>
            <w:r>
              <w:rPr>
                <w:rFonts w:hint="eastAsia"/>
                <w:color w:val="auto"/>
                <w:kern w:val="24"/>
                <w:sz w:val="24"/>
                <w:highlight w:val="none"/>
                <w:lang w:eastAsia="zh-CN"/>
              </w:rPr>
              <w:t>蒸汽发生器</w:t>
            </w:r>
            <w:r>
              <w:rPr>
                <w:rFonts w:hint="eastAsia"/>
                <w:color w:val="auto"/>
                <w:kern w:val="24"/>
                <w:sz w:val="24"/>
                <w:highlight w:val="none"/>
              </w:rPr>
              <w:t>排水、离子交换树脂再生废水经絮凝沉淀后排入</w:t>
            </w:r>
            <w:r>
              <w:rPr>
                <w:rFonts w:hint="eastAsia"/>
                <w:color w:val="auto"/>
                <w:kern w:val="24"/>
                <w:sz w:val="24"/>
                <w:highlight w:val="none"/>
                <w:lang w:val="en-US" w:eastAsia="zh-CN"/>
              </w:rPr>
              <w:t>钧澄公司冷却循环水池</w:t>
            </w:r>
            <w:r>
              <w:rPr>
                <w:rFonts w:hint="eastAsia"/>
                <w:color w:val="auto"/>
                <w:kern w:val="24"/>
                <w:sz w:val="24"/>
                <w:highlight w:val="none"/>
              </w:rPr>
              <w:t>处理</w:t>
            </w:r>
            <w:r>
              <w:rPr>
                <w:rFonts w:hint="eastAsia"/>
                <w:color w:val="auto"/>
                <w:kern w:val="24"/>
                <w:sz w:val="24"/>
                <w:highlight w:val="none"/>
                <w:lang w:val="en-US" w:eastAsia="zh-CN"/>
              </w:rPr>
              <w:t>后循环使用，项目废水不外排，对周边地表水影响不大。</w:t>
            </w:r>
          </w:p>
          <w:p w14:paraId="1A02B703">
            <w:pPr>
              <w:snapToGrid w:val="0"/>
              <w:spacing w:line="360" w:lineRule="auto"/>
              <w:ind w:left="420" w:leftChars="200"/>
              <w:rPr>
                <w:b/>
                <w:bCs/>
                <w:color w:val="auto"/>
                <w:sz w:val="24"/>
                <w:highlight w:val="none"/>
              </w:rPr>
            </w:pPr>
            <w:r>
              <w:rPr>
                <w:rFonts w:hint="eastAsia"/>
                <w:b/>
                <w:bCs/>
                <w:color w:val="auto"/>
                <w:sz w:val="24"/>
                <w:highlight w:val="none"/>
              </w:rPr>
              <w:t>6、</w:t>
            </w:r>
            <w:r>
              <w:rPr>
                <w:rFonts w:hint="eastAsia" w:ascii="宋体" w:hAnsi="宋体" w:eastAsia="宋体" w:cs="宋体"/>
                <w:b/>
                <w:bCs/>
                <w:color w:val="auto"/>
                <w:sz w:val="24"/>
                <w:szCs w:val="24"/>
                <w:lang w:eastAsia="zh-CN"/>
              </w:rPr>
              <w:t>监测计划</w:t>
            </w:r>
          </w:p>
          <w:p w14:paraId="09A450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本</w:t>
            </w:r>
            <w:r>
              <w:rPr>
                <w:rFonts w:hint="eastAsia" w:ascii="宋体" w:hAnsi="宋体" w:eastAsia="宋体" w:cs="宋体"/>
                <w:color w:val="auto"/>
                <w:sz w:val="24"/>
                <w:szCs w:val="24"/>
                <w:lang w:val="en-US" w:eastAsia="zh-CN"/>
              </w:rPr>
              <w:t>项目废水不外排，不需进行监测</w:t>
            </w:r>
            <w:r>
              <w:rPr>
                <w:rFonts w:hint="eastAsia" w:ascii="宋体" w:hAnsi="宋体" w:eastAsia="宋体" w:cs="宋体"/>
                <w:color w:val="auto"/>
                <w:kern w:val="0"/>
                <w:sz w:val="24"/>
                <w:szCs w:val="24"/>
                <w:lang w:val="en-US" w:eastAsia="zh-CN" w:bidi="ar"/>
              </w:rPr>
              <w:t>。</w:t>
            </w:r>
            <w:r>
              <w:rPr>
                <w:rFonts w:hint="eastAsia" w:ascii="宋体" w:hAnsi="宋体" w:eastAsia="宋体" w:cs="宋体"/>
                <w:color w:val="auto"/>
                <w:sz w:val="24"/>
                <w:szCs w:val="24"/>
                <w:lang w:val="en-US" w:eastAsia="zh-CN"/>
              </w:rPr>
              <w:t>根据</w:t>
            </w:r>
            <w:r>
              <w:rPr>
                <w:rFonts w:hint="eastAsia" w:ascii="宋体" w:hAnsi="宋体" w:cs="宋体"/>
                <w:color w:val="auto"/>
                <w:sz w:val="24"/>
                <w:szCs w:val="24"/>
                <w:lang w:val="en-US" w:eastAsia="zh-CN"/>
              </w:rPr>
              <w:t>《</w:t>
            </w:r>
            <w:r>
              <w:rPr>
                <w:rFonts w:hint="eastAsia"/>
                <w:color w:val="auto"/>
                <w:sz w:val="24"/>
                <w:lang w:val="en-US" w:eastAsia="zh-CN"/>
              </w:rPr>
              <w:t>玉溪市</w:t>
            </w:r>
            <w:r>
              <w:rPr>
                <w:rFonts w:hint="eastAsia" w:cs="Times New Roman"/>
                <w:color w:val="auto"/>
                <w:sz w:val="24"/>
                <w:szCs w:val="22"/>
                <w:lang w:val="en-US" w:eastAsia="zh-CN"/>
              </w:rPr>
              <w:t>恒威商贸有限公司迁建年产4万立方米泡沫塑料及塑料制品生产线</w:t>
            </w:r>
            <w:r>
              <w:rPr>
                <w:rFonts w:hint="eastAsia"/>
                <w:color w:val="auto"/>
                <w:sz w:val="24"/>
              </w:rPr>
              <w:t>项目环境影响报告表</w:t>
            </w:r>
            <w:r>
              <w:rPr>
                <w:rFonts w:hint="eastAsia" w:ascii="宋体" w:hAnsi="宋体" w:cs="宋体"/>
                <w:color w:val="auto"/>
                <w:sz w:val="24"/>
                <w:szCs w:val="24"/>
                <w:lang w:val="en-US" w:eastAsia="zh-CN"/>
              </w:rPr>
              <w:t>》及其批复</w:t>
            </w:r>
            <w:r>
              <w:rPr>
                <w:rFonts w:hint="eastAsia" w:ascii="宋体" w:hAnsi="宋体" w:eastAsia="宋体" w:cs="宋体"/>
                <w:color w:val="auto"/>
                <w:sz w:val="24"/>
                <w:szCs w:val="24"/>
                <w:lang w:val="en-US" w:eastAsia="zh-CN"/>
              </w:rPr>
              <w:t>和《玉溪市恒威商贸有限公司迁建年产4万立方米泡沫塑料及塑料制品生产线项目竣工环境保护验收监测报告》</w:t>
            </w:r>
            <w:r>
              <w:rPr>
                <w:rFonts w:hint="eastAsia" w:ascii="宋体" w:hAnsi="宋体" w:cs="宋体"/>
                <w:color w:val="auto"/>
                <w:sz w:val="24"/>
                <w:szCs w:val="24"/>
                <w:lang w:val="en-US" w:eastAsia="zh-CN"/>
              </w:rPr>
              <w:t>，循环冷却水循环使用，依托项目废水不外排，不需要进行监测。</w:t>
            </w:r>
          </w:p>
          <w:p w14:paraId="471FA0FB">
            <w:pPr>
              <w:adjustRightInd w:val="0"/>
              <w:snapToGrid w:val="0"/>
              <w:spacing w:line="360" w:lineRule="auto"/>
              <w:jc w:val="left"/>
              <w:rPr>
                <w:b/>
                <w:bCs/>
                <w:color w:val="auto"/>
                <w:sz w:val="24"/>
                <w:highlight w:val="none"/>
              </w:rPr>
            </w:pPr>
            <w:r>
              <w:rPr>
                <w:rFonts w:hint="eastAsia"/>
                <w:b/>
                <w:bCs/>
                <w:color w:val="auto"/>
                <w:sz w:val="24"/>
                <w:highlight w:val="none"/>
                <w:lang w:val="en-US" w:eastAsia="zh-CN"/>
              </w:rPr>
              <w:t>四</w:t>
            </w:r>
            <w:r>
              <w:rPr>
                <w:rFonts w:hint="eastAsia"/>
                <w:b/>
                <w:bCs/>
                <w:color w:val="auto"/>
                <w:sz w:val="24"/>
                <w:highlight w:val="none"/>
              </w:rPr>
              <w:t>、运营期</w:t>
            </w:r>
            <w:r>
              <w:rPr>
                <w:rFonts w:hint="eastAsia"/>
                <w:b/>
                <w:color w:val="auto"/>
                <w:kern w:val="24"/>
                <w:sz w:val="24"/>
                <w:highlight w:val="none"/>
              </w:rPr>
              <w:t>噪声</w:t>
            </w:r>
            <w:r>
              <w:rPr>
                <w:rFonts w:hint="eastAsia"/>
                <w:b/>
                <w:bCs/>
                <w:color w:val="auto"/>
                <w:sz w:val="24"/>
                <w:highlight w:val="none"/>
              </w:rPr>
              <w:t>环境影响和保护措施</w:t>
            </w:r>
          </w:p>
          <w:p w14:paraId="3BCA8B90">
            <w:pPr>
              <w:pStyle w:val="25"/>
              <w:spacing w:after="0" w:line="360" w:lineRule="auto"/>
              <w:ind w:left="0" w:leftChars="0" w:firstLine="482"/>
              <w:jc w:val="left"/>
              <w:rPr>
                <w:b/>
                <w:bCs/>
                <w:color w:val="auto"/>
              </w:rPr>
            </w:pPr>
            <w:r>
              <w:rPr>
                <w:rFonts w:hint="eastAsia"/>
                <w:b/>
                <w:color w:val="auto"/>
                <w:sz w:val="24"/>
                <w:highlight w:val="none"/>
              </w:rPr>
              <w:t>1、噪声源强及影响分析</w:t>
            </w:r>
          </w:p>
          <w:p w14:paraId="6030236D">
            <w:pPr>
              <w:pStyle w:val="8"/>
              <w:adjustRightInd w:val="0"/>
              <w:snapToGrid w:val="0"/>
              <w:spacing w:line="360" w:lineRule="auto"/>
              <w:ind w:firstLine="417" w:firstLineChars="174"/>
              <w:rPr>
                <w:rFonts w:ascii="Times New Roman" w:hAnsi="Times New Roman" w:eastAsia="宋体" w:cs="Times New Roman"/>
                <w:color w:val="auto"/>
                <w:kern w:val="24"/>
                <w:sz w:val="24"/>
                <w:szCs w:val="24"/>
                <w:highlight w:val="none"/>
                <w:lang w:val="en-US" w:eastAsia="zh-CN" w:bidi="ar-SA"/>
              </w:rPr>
            </w:pPr>
            <w:r>
              <w:rPr>
                <w:rFonts w:hint="eastAsia" w:ascii="Times New Roman" w:hAnsi="Times New Roman" w:eastAsia="宋体" w:cs="Times New Roman"/>
                <w:color w:val="auto"/>
                <w:kern w:val="24"/>
                <w:sz w:val="24"/>
                <w:szCs w:val="24"/>
                <w:highlight w:val="none"/>
                <w:lang w:val="en-US" w:eastAsia="zh-CN" w:bidi="ar-SA"/>
              </w:rPr>
              <w:t>本项目为已建项目，</w:t>
            </w:r>
            <w:r>
              <w:rPr>
                <w:rFonts w:hint="eastAsia" w:cs="Times New Roman"/>
                <w:color w:val="auto"/>
                <w:kern w:val="24"/>
                <w:sz w:val="24"/>
                <w:szCs w:val="24"/>
                <w:highlight w:val="none"/>
                <w:lang w:val="en-US" w:eastAsia="zh-CN" w:bidi="ar-SA"/>
              </w:rPr>
              <w:t>噪声主要为设备噪声，</w:t>
            </w:r>
            <w:r>
              <w:rPr>
                <w:rFonts w:hint="eastAsia"/>
                <w:color w:val="auto"/>
                <w:sz w:val="24"/>
                <w:lang w:val="en-US" w:eastAsia="zh-CN"/>
              </w:rPr>
              <w:t>项目</w:t>
            </w:r>
            <w:r>
              <w:rPr>
                <w:color w:val="auto"/>
                <w:sz w:val="24"/>
              </w:rPr>
              <w:t>产噪设备采取低噪声设备、</w:t>
            </w:r>
            <w:r>
              <w:rPr>
                <w:rFonts w:hint="eastAsia"/>
                <w:color w:val="auto"/>
                <w:sz w:val="24"/>
              </w:rPr>
              <w:t>水泵</w:t>
            </w:r>
            <w:r>
              <w:rPr>
                <w:color w:val="auto"/>
                <w:sz w:val="24"/>
              </w:rPr>
              <w:t>安装减震垫</w:t>
            </w:r>
            <w:r>
              <w:rPr>
                <w:rFonts w:hint="eastAsia"/>
                <w:color w:val="auto"/>
                <w:sz w:val="24"/>
              </w:rPr>
              <w:t>、风机安装消声器，且布置于</w:t>
            </w:r>
            <w:r>
              <w:rPr>
                <w:rFonts w:hint="eastAsia"/>
                <w:color w:val="auto"/>
                <w:sz w:val="24"/>
                <w:lang w:val="en-US" w:eastAsia="zh-CN"/>
              </w:rPr>
              <w:t>厂房</w:t>
            </w:r>
            <w:r>
              <w:rPr>
                <w:rFonts w:hint="eastAsia"/>
                <w:color w:val="auto"/>
                <w:sz w:val="24"/>
              </w:rPr>
              <w:t>封闭环境等</w:t>
            </w:r>
            <w:r>
              <w:rPr>
                <w:color w:val="auto"/>
                <w:sz w:val="24"/>
              </w:rPr>
              <w:t>措施</w:t>
            </w:r>
            <w:r>
              <w:rPr>
                <w:rFonts w:hint="eastAsia"/>
                <w:color w:val="auto"/>
                <w:sz w:val="24"/>
                <w:lang w:eastAsia="zh-CN"/>
              </w:rPr>
              <w:t>。</w:t>
            </w:r>
            <w:r>
              <w:rPr>
                <w:rFonts w:hint="eastAsia" w:ascii="Times New Roman" w:hAnsi="Times New Roman" w:eastAsia="宋体" w:cs="Times New Roman"/>
                <w:color w:val="auto"/>
                <w:kern w:val="24"/>
                <w:sz w:val="24"/>
                <w:szCs w:val="24"/>
                <w:highlight w:val="none"/>
                <w:lang w:val="en-US" w:eastAsia="zh-CN" w:bidi="ar-SA"/>
              </w:rPr>
              <w:t>为了解本项目的噪声产生情况。2025年9月2日委托云南天倪检测有限公司对项目厂界进行了现状监测，监测结果见下表，</w:t>
            </w:r>
            <w:r>
              <w:rPr>
                <w:rFonts w:hint="eastAsia" w:cs="Times New Roman"/>
                <w:color w:val="auto"/>
                <w:kern w:val="24"/>
                <w:sz w:val="24"/>
                <w:szCs w:val="24"/>
                <w:highlight w:val="none"/>
                <w:lang w:val="en-US" w:eastAsia="zh-CN" w:bidi="ar-SA"/>
              </w:rPr>
              <w:t>项目监测期间，所有设备均为正常运转。</w:t>
            </w:r>
            <w:r>
              <w:rPr>
                <w:rFonts w:hint="eastAsia" w:ascii="Times New Roman" w:hAnsi="Times New Roman" w:eastAsia="宋体" w:cs="Times New Roman"/>
                <w:color w:val="auto"/>
                <w:kern w:val="24"/>
                <w:sz w:val="24"/>
                <w:szCs w:val="24"/>
                <w:highlight w:val="none"/>
                <w:lang w:val="en-US" w:eastAsia="zh-CN" w:bidi="ar-SA"/>
              </w:rPr>
              <w:t>监测报告见附件</w:t>
            </w:r>
            <w:r>
              <w:rPr>
                <w:rFonts w:hint="eastAsia" w:cs="Times New Roman"/>
                <w:color w:val="auto"/>
                <w:kern w:val="24"/>
                <w:sz w:val="24"/>
                <w:szCs w:val="24"/>
                <w:highlight w:val="none"/>
                <w:lang w:val="en-US" w:eastAsia="zh-CN" w:bidi="ar-SA"/>
              </w:rPr>
              <w:t>14</w:t>
            </w:r>
            <w:r>
              <w:rPr>
                <w:rFonts w:hint="eastAsia" w:ascii="Times New Roman" w:hAnsi="Times New Roman" w:eastAsia="宋体" w:cs="Times New Roman"/>
                <w:color w:val="auto"/>
                <w:kern w:val="24"/>
                <w:sz w:val="24"/>
                <w:szCs w:val="24"/>
                <w:highlight w:val="none"/>
                <w:lang w:val="en-US" w:eastAsia="zh-CN" w:bidi="ar-SA"/>
              </w:rPr>
              <w:t>。</w:t>
            </w:r>
          </w:p>
          <w:p w14:paraId="060679E7">
            <w:pPr>
              <w:pStyle w:val="33"/>
              <w:adjustRightInd/>
              <w:spacing w:line="360" w:lineRule="auto"/>
              <w:ind w:firstLine="482" w:firstLineChars="200"/>
              <w:jc w:val="center"/>
              <w:rPr>
                <w:rFonts w:ascii="Times New Roman" w:eastAsia="宋体" w:cs="Times New Roman"/>
                <w:b/>
                <w:bCs/>
                <w:color w:val="auto"/>
              </w:rPr>
            </w:pPr>
            <w:r>
              <w:rPr>
                <w:rFonts w:hint="eastAsia" w:ascii="Times New Roman" w:eastAsia="宋体" w:cs="Times New Roman"/>
                <w:b/>
                <w:bCs/>
                <w:color w:val="auto"/>
              </w:rPr>
              <w:t>表4-1</w:t>
            </w:r>
            <w:r>
              <w:rPr>
                <w:rFonts w:hint="eastAsia" w:cs="Times New Roman"/>
                <w:b/>
                <w:bCs/>
                <w:color w:val="auto"/>
                <w:lang w:val="en-US" w:eastAsia="zh-CN"/>
              </w:rPr>
              <w:t>6</w:t>
            </w:r>
            <w:r>
              <w:rPr>
                <w:rFonts w:hint="eastAsia" w:ascii="Times New Roman" w:eastAsia="宋体" w:cs="Times New Roman"/>
                <w:b/>
                <w:bCs/>
                <w:color w:val="auto"/>
              </w:rPr>
              <w:t xml:space="preserve"> </w:t>
            </w:r>
            <w:r>
              <w:rPr>
                <w:rFonts w:hint="eastAsia" w:cs="Times New Roman"/>
                <w:b/>
                <w:bCs/>
                <w:color w:val="auto"/>
                <w:lang w:val="en-US" w:eastAsia="zh-CN"/>
              </w:rPr>
              <w:t xml:space="preserve"> </w:t>
            </w:r>
            <w:r>
              <w:rPr>
                <w:rFonts w:hint="eastAsia" w:ascii="Times New Roman" w:eastAsia="宋体" w:cs="Times New Roman"/>
                <w:b/>
                <w:bCs/>
                <w:color w:val="auto"/>
              </w:rPr>
              <w:t>厂界噪声监测结果表</w:t>
            </w:r>
            <w:r>
              <w:rPr>
                <w:rFonts w:hint="eastAsia" w:ascii="Times New Roman" w:eastAsia="宋体" w:cs="Times New Roman"/>
                <w:b/>
                <w:bCs/>
                <w:color w:val="auto"/>
              </w:rPr>
              <w:tab/>
            </w:r>
            <w:r>
              <w:rPr>
                <w:rFonts w:hint="eastAsia" w:ascii="Times New Roman" w:eastAsia="宋体" w:cs="Times New Roman"/>
                <w:b/>
                <w:bCs/>
                <w:color w:val="auto"/>
              </w:rPr>
              <w:t>单位：dB（A）</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237"/>
              <w:gridCol w:w="1439"/>
              <w:gridCol w:w="1439"/>
              <w:gridCol w:w="1440"/>
              <w:gridCol w:w="1440"/>
            </w:tblGrid>
            <w:tr w14:paraId="0B62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3" w:type="pct"/>
                  <w:noWrap w:val="0"/>
                  <w:vAlign w:val="center"/>
                </w:tcPr>
                <w:p w14:paraId="04C29DF8">
                  <w:pPr>
                    <w:pStyle w:val="13"/>
                    <w:widowControl w:val="0"/>
                    <w:autoSpaceDE w:val="0"/>
                    <w:autoSpaceDN w:val="0"/>
                    <w:adjustRightInd w:val="0"/>
                    <w:spacing w:before="0" w:after="0" w:line="240" w:lineRule="auto"/>
                    <w:ind w:right="0"/>
                    <w:jc w:val="center"/>
                    <w:rPr>
                      <w:rFonts w:ascii="宋体" w:hAnsi="宋体" w:cs="宋体"/>
                      <w:b/>
                      <w:bCs/>
                      <w:color w:val="auto"/>
                      <w:sz w:val="21"/>
                      <w:szCs w:val="21"/>
                    </w:rPr>
                  </w:pPr>
                  <w:r>
                    <w:rPr>
                      <w:rFonts w:hint="eastAsia" w:ascii="宋体" w:hAnsi="宋体" w:cs="宋体"/>
                      <w:color w:val="auto"/>
                      <w:sz w:val="21"/>
                      <w:szCs w:val="21"/>
                    </w:rPr>
                    <w:t>监测日期</w:t>
                  </w:r>
                </w:p>
              </w:tc>
              <w:tc>
                <w:tcPr>
                  <w:tcW w:w="733" w:type="pct"/>
                  <w:noWrap w:val="0"/>
                  <w:vAlign w:val="center"/>
                </w:tcPr>
                <w:p w14:paraId="05930016">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监测点位</w:t>
                  </w:r>
                </w:p>
              </w:tc>
              <w:tc>
                <w:tcPr>
                  <w:tcW w:w="853" w:type="pct"/>
                  <w:noWrap w:val="0"/>
                  <w:vAlign w:val="center"/>
                </w:tcPr>
                <w:p w14:paraId="790B8682">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时段</w:t>
                  </w:r>
                </w:p>
              </w:tc>
              <w:tc>
                <w:tcPr>
                  <w:tcW w:w="853" w:type="pct"/>
                  <w:noWrap w:val="0"/>
                  <w:vAlign w:val="center"/>
                </w:tcPr>
                <w:p w14:paraId="7E31F68D">
                  <w:pPr>
                    <w:autoSpaceDE w:val="0"/>
                    <w:autoSpaceDN w:val="0"/>
                    <w:adjustRightInd w:val="0"/>
                    <w:snapToGrid w:val="0"/>
                    <w:jc w:val="center"/>
                    <w:rPr>
                      <w:rFonts w:hint="eastAsia" w:ascii="宋体" w:hAnsi="宋体" w:cs="宋体"/>
                      <w:b/>
                      <w:bCs/>
                      <w:color w:val="auto"/>
                      <w:szCs w:val="21"/>
                    </w:rPr>
                  </w:pPr>
                  <w:r>
                    <w:rPr>
                      <w:bCs/>
                      <w:color w:val="auto"/>
                      <w:szCs w:val="21"/>
                    </w:rPr>
                    <w:t>昼间等效声级(Leq)</w:t>
                  </w:r>
                </w:p>
              </w:tc>
              <w:tc>
                <w:tcPr>
                  <w:tcW w:w="853" w:type="pct"/>
                  <w:noWrap w:val="0"/>
                  <w:vAlign w:val="center"/>
                </w:tcPr>
                <w:p w14:paraId="15E10820">
                  <w:pPr>
                    <w:autoSpaceDE w:val="0"/>
                    <w:autoSpaceDN w:val="0"/>
                    <w:adjustRightInd w:val="0"/>
                    <w:snapToGrid w:val="0"/>
                    <w:jc w:val="center"/>
                    <w:rPr>
                      <w:rFonts w:hint="eastAsia" w:ascii="宋体" w:hAnsi="宋体" w:cs="宋体"/>
                      <w:color w:val="auto"/>
                      <w:szCs w:val="21"/>
                    </w:rPr>
                  </w:pPr>
                  <w:r>
                    <w:rPr>
                      <w:rFonts w:hint="eastAsia"/>
                      <w:color w:val="auto"/>
                      <w:szCs w:val="21"/>
                    </w:rPr>
                    <w:t>标准值</w:t>
                  </w:r>
                </w:p>
              </w:tc>
              <w:tc>
                <w:tcPr>
                  <w:tcW w:w="853" w:type="pct"/>
                  <w:noWrap w:val="0"/>
                  <w:vAlign w:val="center"/>
                </w:tcPr>
                <w:p w14:paraId="05AEEAA3">
                  <w:pPr>
                    <w:autoSpaceDE w:val="0"/>
                    <w:autoSpaceDN w:val="0"/>
                    <w:adjustRightInd w:val="0"/>
                    <w:snapToGrid w:val="0"/>
                    <w:jc w:val="center"/>
                    <w:rPr>
                      <w:rFonts w:hint="eastAsia" w:ascii="宋体" w:hAnsi="宋体" w:cs="宋体"/>
                      <w:color w:val="auto"/>
                      <w:szCs w:val="21"/>
                    </w:rPr>
                  </w:pPr>
                  <w:r>
                    <w:rPr>
                      <w:rFonts w:hint="eastAsia"/>
                      <w:color w:val="auto"/>
                      <w:szCs w:val="21"/>
                    </w:rPr>
                    <w:t>是否达标</w:t>
                  </w:r>
                </w:p>
              </w:tc>
            </w:tr>
            <w:tr w14:paraId="0792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restart"/>
                  <w:noWrap w:val="0"/>
                  <w:vAlign w:val="center"/>
                </w:tcPr>
                <w:p w14:paraId="2C0455CF">
                  <w:pPr>
                    <w:autoSpaceDE w:val="0"/>
                    <w:autoSpaceDN w:val="0"/>
                    <w:adjustRightInd w:val="0"/>
                    <w:snapToGrid w:val="0"/>
                    <w:jc w:val="center"/>
                    <w:rPr>
                      <w:rFonts w:ascii="宋体" w:hAnsi="宋体" w:cs="宋体"/>
                      <w:b/>
                      <w:bCs/>
                      <w:color w:val="auto"/>
                      <w:szCs w:val="21"/>
                    </w:rPr>
                  </w:pPr>
                  <w:r>
                    <w:rPr>
                      <w:rFonts w:hint="eastAsia"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w:t>
                  </w:r>
                </w:p>
              </w:tc>
              <w:tc>
                <w:tcPr>
                  <w:tcW w:w="733" w:type="pct"/>
                  <w:vMerge w:val="restart"/>
                  <w:noWrap w:val="0"/>
                  <w:vAlign w:val="center"/>
                </w:tcPr>
                <w:p w14:paraId="060B4736">
                  <w:pPr>
                    <w:autoSpaceDE w:val="0"/>
                    <w:autoSpaceDN w:val="0"/>
                    <w:adjustRightInd w:val="0"/>
                    <w:snapToGrid w:val="0"/>
                    <w:jc w:val="center"/>
                    <w:rPr>
                      <w:rFonts w:hint="eastAsia"/>
                      <w:bCs/>
                      <w:color w:val="auto"/>
                      <w:szCs w:val="21"/>
                    </w:rPr>
                  </w:pPr>
                  <w:r>
                    <w:rPr>
                      <w:bCs/>
                      <w:color w:val="auto"/>
                      <w:szCs w:val="21"/>
                    </w:rPr>
                    <w:t>厂界</w:t>
                  </w:r>
                  <w:r>
                    <w:rPr>
                      <w:rFonts w:hint="eastAsia"/>
                      <w:bCs/>
                      <w:color w:val="auto"/>
                      <w:szCs w:val="21"/>
                    </w:rPr>
                    <w:t>东</w:t>
                  </w:r>
                </w:p>
              </w:tc>
              <w:tc>
                <w:tcPr>
                  <w:tcW w:w="853" w:type="pct"/>
                  <w:noWrap w:val="0"/>
                  <w:vAlign w:val="center"/>
                </w:tcPr>
                <w:p w14:paraId="603FC8BB">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528FE8A6">
                  <w:pPr>
                    <w:autoSpaceDE w:val="0"/>
                    <w:autoSpaceDN w:val="0"/>
                    <w:adjustRightInd w:val="0"/>
                    <w:snapToGrid w:val="0"/>
                    <w:jc w:val="center"/>
                    <w:rPr>
                      <w:rFonts w:hint="default" w:ascii="宋体" w:hAnsi="宋体" w:eastAsia="宋体" w:cs="宋体"/>
                      <w:b/>
                      <w:bCs/>
                      <w:color w:val="auto"/>
                      <w:szCs w:val="21"/>
                      <w:lang w:val="en-US" w:eastAsia="zh-CN"/>
                    </w:rPr>
                  </w:pPr>
                  <w:r>
                    <w:rPr>
                      <w:rFonts w:hint="eastAsia"/>
                      <w:bCs/>
                      <w:color w:val="auto"/>
                      <w:szCs w:val="21"/>
                      <w:lang w:val="en-US" w:eastAsia="zh-CN"/>
                    </w:rPr>
                    <w:t>51</w:t>
                  </w:r>
                </w:p>
              </w:tc>
              <w:tc>
                <w:tcPr>
                  <w:tcW w:w="853" w:type="pct"/>
                  <w:noWrap w:val="0"/>
                  <w:vAlign w:val="center"/>
                </w:tcPr>
                <w:p w14:paraId="6A2DFA0D">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68261AB2">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是</w:t>
                  </w:r>
                </w:p>
              </w:tc>
            </w:tr>
            <w:tr w14:paraId="7E34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28937CDE">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1E4A15A9">
                  <w:pPr>
                    <w:autoSpaceDE w:val="0"/>
                    <w:autoSpaceDN w:val="0"/>
                    <w:adjustRightInd w:val="0"/>
                    <w:snapToGrid w:val="0"/>
                    <w:jc w:val="center"/>
                    <w:rPr>
                      <w:rFonts w:hint="eastAsia" w:ascii="宋体" w:hAnsi="宋体" w:cs="宋体"/>
                      <w:b/>
                      <w:bCs/>
                      <w:color w:val="auto"/>
                      <w:szCs w:val="21"/>
                    </w:rPr>
                  </w:pPr>
                </w:p>
              </w:tc>
              <w:tc>
                <w:tcPr>
                  <w:tcW w:w="853" w:type="pct"/>
                  <w:noWrap w:val="0"/>
                  <w:vAlign w:val="center"/>
                </w:tcPr>
                <w:p w14:paraId="0869A06B">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375F5DDA">
                  <w:pPr>
                    <w:autoSpaceDE w:val="0"/>
                    <w:autoSpaceDN w:val="0"/>
                    <w:adjustRightInd w:val="0"/>
                    <w:snapToGrid w:val="0"/>
                    <w:jc w:val="center"/>
                    <w:rPr>
                      <w:rFonts w:hint="default" w:ascii="宋体" w:hAnsi="宋体" w:eastAsia="宋体" w:cs="宋体"/>
                      <w:b/>
                      <w:bCs/>
                      <w:color w:val="auto"/>
                      <w:szCs w:val="21"/>
                      <w:lang w:val="en-US" w:eastAsia="zh-CN"/>
                    </w:rPr>
                  </w:pPr>
                  <w:r>
                    <w:rPr>
                      <w:rFonts w:hint="eastAsia"/>
                      <w:bCs/>
                      <w:color w:val="auto"/>
                      <w:szCs w:val="21"/>
                      <w:lang w:val="en-US" w:eastAsia="zh-CN"/>
                    </w:rPr>
                    <w:t>46</w:t>
                  </w:r>
                </w:p>
              </w:tc>
              <w:tc>
                <w:tcPr>
                  <w:tcW w:w="853" w:type="pct"/>
                  <w:noWrap w:val="0"/>
                  <w:vAlign w:val="center"/>
                </w:tcPr>
                <w:p w14:paraId="6C67EAFC">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2A638818">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1F65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3FB6C9B2">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0A4B9EEB">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南</w:t>
                  </w:r>
                </w:p>
              </w:tc>
              <w:tc>
                <w:tcPr>
                  <w:tcW w:w="853" w:type="pct"/>
                  <w:noWrap w:val="0"/>
                  <w:vAlign w:val="center"/>
                </w:tcPr>
                <w:p w14:paraId="69749B1E">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1D188DB0">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52</w:t>
                  </w:r>
                </w:p>
              </w:tc>
              <w:tc>
                <w:tcPr>
                  <w:tcW w:w="853" w:type="pct"/>
                  <w:noWrap w:val="0"/>
                  <w:vAlign w:val="center"/>
                </w:tcPr>
                <w:p w14:paraId="01E1B259">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40FE0F69">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3A69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23868379">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20E3C341">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4B1134BD">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612B2FF8">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47</w:t>
                  </w:r>
                </w:p>
              </w:tc>
              <w:tc>
                <w:tcPr>
                  <w:tcW w:w="853" w:type="pct"/>
                  <w:noWrap w:val="0"/>
                  <w:vAlign w:val="center"/>
                </w:tcPr>
                <w:p w14:paraId="3568B2EB">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0320A7D7">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3062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1BDF0017">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6238C9EA">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西</w:t>
                  </w:r>
                </w:p>
              </w:tc>
              <w:tc>
                <w:tcPr>
                  <w:tcW w:w="853" w:type="pct"/>
                  <w:noWrap w:val="0"/>
                  <w:vAlign w:val="center"/>
                </w:tcPr>
                <w:p w14:paraId="12F12E4A">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1CB53406">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50</w:t>
                  </w:r>
                </w:p>
              </w:tc>
              <w:tc>
                <w:tcPr>
                  <w:tcW w:w="853" w:type="pct"/>
                  <w:noWrap w:val="0"/>
                  <w:vAlign w:val="center"/>
                </w:tcPr>
                <w:p w14:paraId="1C3D84B6">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60</w:t>
                  </w:r>
                </w:p>
              </w:tc>
              <w:tc>
                <w:tcPr>
                  <w:tcW w:w="853" w:type="pct"/>
                  <w:noWrap w:val="0"/>
                  <w:vAlign w:val="center"/>
                </w:tcPr>
                <w:p w14:paraId="44612BF9">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0C17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52C8BCA7">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703CCCFA">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4542DC38">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02233D1E">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46</w:t>
                  </w:r>
                </w:p>
              </w:tc>
              <w:tc>
                <w:tcPr>
                  <w:tcW w:w="853" w:type="pct"/>
                  <w:noWrap w:val="0"/>
                  <w:vAlign w:val="center"/>
                </w:tcPr>
                <w:p w14:paraId="7E494D2D">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E6A9EDC">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4563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53" w:type="pct"/>
                  <w:vMerge w:val="continue"/>
                  <w:noWrap w:val="0"/>
                  <w:vAlign w:val="center"/>
                </w:tcPr>
                <w:p w14:paraId="390E60B6">
                  <w:pPr>
                    <w:autoSpaceDE w:val="0"/>
                    <w:autoSpaceDN w:val="0"/>
                    <w:adjustRightInd w:val="0"/>
                    <w:snapToGrid w:val="0"/>
                    <w:jc w:val="center"/>
                    <w:rPr>
                      <w:rFonts w:hint="eastAsia" w:ascii="宋体" w:hAnsi="宋体" w:cs="宋体"/>
                      <w:b/>
                      <w:bCs/>
                      <w:color w:val="auto"/>
                      <w:szCs w:val="21"/>
                    </w:rPr>
                  </w:pPr>
                </w:p>
              </w:tc>
              <w:tc>
                <w:tcPr>
                  <w:tcW w:w="733" w:type="pct"/>
                  <w:vMerge w:val="restart"/>
                  <w:noWrap w:val="0"/>
                  <w:vAlign w:val="center"/>
                </w:tcPr>
                <w:p w14:paraId="6C38A270">
                  <w:pPr>
                    <w:adjustRightInd w:val="0"/>
                    <w:snapToGrid w:val="0"/>
                    <w:jc w:val="center"/>
                    <w:textAlignment w:val="baseline"/>
                    <w:rPr>
                      <w:rFonts w:hint="eastAsia"/>
                      <w:bCs/>
                      <w:color w:val="auto"/>
                      <w:szCs w:val="21"/>
                    </w:rPr>
                  </w:pPr>
                  <w:r>
                    <w:rPr>
                      <w:bCs/>
                      <w:color w:val="auto"/>
                      <w:szCs w:val="21"/>
                    </w:rPr>
                    <w:t>厂界</w:t>
                  </w:r>
                  <w:r>
                    <w:rPr>
                      <w:rFonts w:hint="eastAsia"/>
                      <w:bCs/>
                      <w:color w:val="auto"/>
                      <w:szCs w:val="21"/>
                    </w:rPr>
                    <w:t>北</w:t>
                  </w:r>
                </w:p>
              </w:tc>
              <w:tc>
                <w:tcPr>
                  <w:tcW w:w="853" w:type="pct"/>
                  <w:noWrap w:val="0"/>
                  <w:vAlign w:val="center"/>
                </w:tcPr>
                <w:p w14:paraId="3C4742B7">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昼间</w:t>
                  </w:r>
                </w:p>
              </w:tc>
              <w:tc>
                <w:tcPr>
                  <w:tcW w:w="853" w:type="pct"/>
                  <w:noWrap w:val="0"/>
                  <w:vAlign w:val="center"/>
                </w:tcPr>
                <w:p w14:paraId="20DCE42A">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54</w:t>
                  </w:r>
                </w:p>
              </w:tc>
              <w:tc>
                <w:tcPr>
                  <w:tcW w:w="853" w:type="pct"/>
                  <w:noWrap w:val="0"/>
                  <w:vAlign w:val="center"/>
                </w:tcPr>
                <w:p w14:paraId="6CFB24CF">
                  <w:pPr>
                    <w:pStyle w:val="13"/>
                    <w:widowControl w:val="0"/>
                    <w:autoSpaceDE w:val="0"/>
                    <w:autoSpaceDN w:val="0"/>
                    <w:adjustRightInd w:val="0"/>
                    <w:spacing w:before="0" w:after="0" w:line="240" w:lineRule="auto"/>
                    <w:ind w:right="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60</w:t>
                  </w:r>
                </w:p>
              </w:tc>
              <w:tc>
                <w:tcPr>
                  <w:tcW w:w="853" w:type="pct"/>
                  <w:noWrap w:val="0"/>
                  <w:vAlign w:val="center"/>
                </w:tcPr>
                <w:p w14:paraId="0ABFA43F">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r w14:paraId="4976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3" w:type="pct"/>
                  <w:vMerge w:val="continue"/>
                  <w:noWrap w:val="0"/>
                  <w:vAlign w:val="center"/>
                </w:tcPr>
                <w:p w14:paraId="683487CA">
                  <w:pPr>
                    <w:autoSpaceDE w:val="0"/>
                    <w:autoSpaceDN w:val="0"/>
                    <w:adjustRightInd w:val="0"/>
                    <w:snapToGrid w:val="0"/>
                    <w:jc w:val="center"/>
                    <w:rPr>
                      <w:rFonts w:hint="eastAsia" w:ascii="宋体" w:hAnsi="宋体" w:cs="宋体"/>
                      <w:bCs/>
                      <w:color w:val="auto"/>
                      <w:szCs w:val="21"/>
                    </w:rPr>
                  </w:pPr>
                </w:p>
              </w:tc>
              <w:tc>
                <w:tcPr>
                  <w:tcW w:w="733" w:type="pct"/>
                  <w:vMerge w:val="continue"/>
                  <w:noWrap w:val="0"/>
                  <w:vAlign w:val="center"/>
                </w:tcPr>
                <w:p w14:paraId="61EC7CBF">
                  <w:pPr>
                    <w:adjustRightInd w:val="0"/>
                    <w:snapToGrid w:val="0"/>
                    <w:jc w:val="center"/>
                    <w:textAlignment w:val="baseline"/>
                    <w:rPr>
                      <w:rFonts w:hint="eastAsia" w:ascii="宋体" w:hAnsi="宋体" w:cs="宋体"/>
                      <w:b/>
                      <w:bCs/>
                      <w:color w:val="auto"/>
                      <w:szCs w:val="21"/>
                    </w:rPr>
                  </w:pPr>
                </w:p>
              </w:tc>
              <w:tc>
                <w:tcPr>
                  <w:tcW w:w="853" w:type="pct"/>
                  <w:noWrap w:val="0"/>
                  <w:vAlign w:val="center"/>
                </w:tcPr>
                <w:p w14:paraId="553D2F01">
                  <w:pPr>
                    <w:autoSpaceDE w:val="0"/>
                    <w:autoSpaceDN w:val="0"/>
                    <w:adjustRightInd w:val="0"/>
                    <w:snapToGrid w:val="0"/>
                    <w:jc w:val="center"/>
                    <w:rPr>
                      <w:rFonts w:hint="eastAsia" w:ascii="宋体" w:hAnsi="宋体" w:cs="宋体"/>
                      <w:b/>
                      <w:bCs/>
                      <w:color w:val="auto"/>
                      <w:szCs w:val="21"/>
                    </w:rPr>
                  </w:pPr>
                  <w:r>
                    <w:rPr>
                      <w:rFonts w:hint="eastAsia"/>
                      <w:bCs/>
                      <w:color w:val="auto"/>
                      <w:szCs w:val="21"/>
                    </w:rPr>
                    <w:t>夜间</w:t>
                  </w:r>
                </w:p>
              </w:tc>
              <w:tc>
                <w:tcPr>
                  <w:tcW w:w="853" w:type="pct"/>
                  <w:noWrap w:val="0"/>
                  <w:vAlign w:val="center"/>
                </w:tcPr>
                <w:p w14:paraId="6D71E3A3">
                  <w:pPr>
                    <w:adjustRightInd w:val="0"/>
                    <w:snapToGrid w:val="0"/>
                    <w:jc w:val="center"/>
                    <w:textAlignment w:val="baseline"/>
                    <w:rPr>
                      <w:rFonts w:hint="default" w:ascii="宋体" w:hAnsi="宋体" w:eastAsia="宋体" w:cs="宋体"/>
                      <w:b/>
                      <w:bCs/>
                      <w:color w:val="auto"/>
                      <w:szCs w:val="21"/>
                      <w:lang w:val="en-US" w:eastAsia="zh-CN"/>
                    </w:rPr>
                  </w:pPr>
                  <w:r>
                    <w:rPr>
                      <w:rFonts w:hint="eastAsia"/>
                      <w:bCs/>
                      <w:color w:val="auto"/>
                      <w:szCs w:val="21"/>
                      <w:lang w:val="en-US" w:eastAsia="zh-CN"/>
                    </w:rPr>
                    <w:t>45</w:t>
                  </w:r>
                </w:p>
              </w:tc>
              <w:tc>
                <w:tcPr>
                  <w:tcW w:w="853" w:type="pct"/>
                  <w:noWrap w:val="0"/>
                  <w:vAlign w:val="center"/>
                </w:tcPr>
                <w:p w14:paraId="13986602">
                  <w:pPr>
                    <w:pStyle w:val="13"/>
                    <w:widowControl w:val="0"/>
                    <w:autoSpaceDE w:val="0"/>
                    <w:autoSpaceDN w:val="0"/>
                    <w:adjustRightInd w:val="0"/>
                    <w:spacing w:before="0" w:after="0" w:line="240" w:lineRule="auto"/>
                    <w:ind w:right="0"/>
                    <w:jc w:val="center"/>
                    <w:rPr>
                      <w:rFonts w:hint="eastAsia" w:ascii="宋体" w:hAnsi="宋体" w:cs="宋体"/>
                      <w:color w:val="auto"/>
                      <w:sz w:val="21"/>
                      <w:szCs w:val="21"/>
                    </w:rPr>
                  </w:pPr>
                  <w:r>
                    <w:rPr>
                      <w:rFonts w:hint="eastAsia" w:ascii="宋体" w:hAnsi="宋体" w:cs="宋体"/>
                      <w:color w:val="auto"/>
                      <w:sz w:val="21"/>
                      <w:szCs w:val="21"/>
                    </w:rPr>
                    <w:t>50</w:t>
                  </w:r>
                </w:p>
              </w:tc>
              <w:tc>
                <w:tcPr>
                  <w:tcW w:w="853" w:type="pct"/>
                  <w:noWrap w:val="0"/>
                  <w:vAlign w:val="center"/>
                </w:tcPr>
                <w:p w14:paraId="43BB54E2">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是</w:t>
                  </w:r>
                </w:p>
              </w:tc>
            </w:tr>
          </w:tbl>
          <w:p w14:paraId="7F722276">
            <w:pPr>
              <w:spacing w:line="360" w:lineRule="auto"/>
              <w:ind w:firstLine="480"/>
              <w:rPr>
                <w:rFonts w:hint="default" w:ascii="宋体" w:hAnsi="宋体" w:eastAsia="宋体" w:cs="宋体"/>
                <w:color w:val="auto"/>
                <w:sz w:val="24"/>
                <w:szCs w:val="24"/>
                <w:lang w:val="en-US" w:eastAsia="zh-CN"/>
              </w:rPr>
            </w:pPr>
            <w:r>
              <w:rPr>
                <w:color w:val="auto"/>
                <w:sz w:val="24"/>
              </w:rPr>
              <w:t>根据表4-</w:t>
            </w:r>
            <w:r>
              <w:rPr>
                <w:rFonts w:hint="eastAsia"/>
                <w:color w:val="auto"/>
                <w:sz w:val="24"/>
              </w:rPr>
              <w:t>1</w:t>
            </w:r>
            <w:r>
              <w:rPr>
                <w:rFonts w:hint="eastAsia"/>
                <w:color w:val="auto"/>
                <w:sz w:val="24"/>
                <w:lang w:val="en-US" w:eastAsia="zh-CN"/>
              </w:rPr>
              <w:t>6</w:t>
            </w:r>
            <w:r>
              <w:rPr>
                <w:color w:val="auto"/>
                <w:sz w:val="24"/>
              </w:rPr>
              <w:t>可知，运营期间</w:t>
            </w:r>
            <w:r>
              <w:rPr>
                <w:rFonts w:hint="eastAsia"/>
                <w:color w:val="auto"/>
                <w:sz w:val="24"/>
                <w:lang w:val="en-US" w:eastAsia="zh-CN"/>
              </w:rPr>
              <w:t>东、南、西、北</w:t>
            </w:r>
            <w:r>
              <w:rPr>
                <w:color w:val="auto"/>
                <w:sz w:val="24"/>
              </w:rPr>
              <w:t>厂界噪声</w:t>
            </w:r>
            <w:r>
              <w:rPr>
                <w:rFonts w:hint="eastAsia"/>
                <w:color w:val="auto"/>
                <w:sz w:val="24"/>
                <w:lang w:val="en-US" w:eastAsia="zh-CN"/>
              </w:rPr>
              <w:t>均</w:t>
            </w:r>
            <w:r>
              <w:rPr>
                <w:rFonts w:hint="eastAsia" w:ascii="宋体" w:hAnsi="宋体" w:cs="宋体"/>
                <w:color w:val="auto"/>
                <w:sz w:val="24"/>
              </w:rPr>
              <w:t>能达到《工业企业厂界环境噪声排放标准》（GB12348-2008）2类标准限值要求。</w:t>
            </w:r>
            <w:r>
              <w:rPr>
                <w:rFonts w:hint="eastAsia" w:ascii="宋体" w:hAnsi="宋体" w:cs="宋体"/>
                <w:color w:val="auto"/>
                <w:sz w:val="24"/>
                <w:szCs w:val="24"/>
                <w:lang w:val="en-US" w:eastAsia="zh-CN"/>
              </w:rPr>
              <w:t>项目厂界距最近的保护目标为项目北面的</w:t>
            </w:r>
            <w:r>
              <w:rPr>
                <w:rFonts w:hint="eastAsia"/>
                <w:color w:val="auto"/>
                <w:sz w:val="24"/>
                <w:lang w:val="en-US" w:eastAsia="zh-CN"/>
              </w:rPr>
              <w:t>北城社区19组</w:t>
            </w:r>
            <w:r>
              <w:rPr>
                <w:rFonts w:hint="eastAsia" w:ascii="宋体" w:hAnsi="宋体" w:cs="宋体"/>
                <w:color w:val="auto"/>
                <w:sz w:val="24"/>
                <w:szCs w:val="24"/>
                <w:lang w:val="en-US" w:eastAsia="zh-CN"/>
              </w:rPr>
              <w:t>，距离本项目较远，且本项目锅炉夜间运行时段较少，对</w:t>
            </w:r>
            <w:r>
              <w:rPr>
                <w:rFonts w:hint="eastAsia"/>
                <w:color w:val="auto"/>
                <w:sz w:val="24"/>
                <w:lang w:val="en-US" w:eastAsia="zh-CN"/>
              </w:rPr>
              <w:t>北城社区19组</w:t>
            </w:r>
            <w:r>
              <w:rPr>
                <w:rFonts w:hint="eastAsia" w:ascii="宋体" w:hAnsi="宋体" w:cs="宋体"/>
                <w:color w:val="auto"/>
                <w:sz w:val="24"/>
                <w:szCs w:val="24"/>
                <w:lang w:val="en-US" w:eastAsia="zh-CN"/>
              </w:rPr>
              <w:t>的影响是可以接受的。</w:t>
            </w:r>
          </w:p>
          <w:p w14:paraId="56C1F8E1">
            <w:pPr>
              <w:snapToGrid w:val="0"/>
              <w:spacing w:line="360" w:lineRule="auto"/>
              <w:ind w:firstLine="480" w:firstLineChars="200"/>
              <w:rPr>
                <w:color w:val="auto"/>
                <w:sz w:val="24"/>
              </w:rPr>
            </w:pPr>
            <w:r>
              <w:rPr>
                <w:color w:val="auto"/>
                <w:sz w:val="24"/>
              </w:rPr>
              <w:t>为进一步减少项目设备噪声对周围环境的影响，环评要求噪声防治应采取以下对策措施：</w:t>
            </w:r>
          </w:p>
          <w:p w14:paraId="28018C43">
            <w:pPr>
              <w:snapToGrid w:val="0"/>
              <w:spacing w:line="360" w:lineRule="auto"/>
              <w:ind w:firstLine="480" w:firstLineChars="200"/>
              <w:rPr>
                <w:rFonts w:ascii="宋体" w:hAnsi="宋体"/>
                <w:color w:val="auto"/>
                <w:sz w:val="24"/>
              </w:rPr>
            </w:pPr>
            <w:r>
              <w:rPr>
                <w:rFonts w:ascii="宋体" w:hAnsi="宋体"/>
                <w:color w:val="auto"/>
                <w:sz w:val="24"/>
              </w:rPr>
              <w:t>①</w:t>
            </w:r>
            <w:r>
              <w:rPr>
                <w:rFonts w:hint="eastAsia" w:ascii="宋体" w:hAnsi="宋体"/>
                <w:color w:val="auto"/>
                <w:sz w:val="24"/>
              </w:rPr>
              <w:t>加强设备日常维护与保养，维持设备处于良好的运转状态，以防止设备故障形成的非生产噪声</w:t>
            </w:r>
            <w:r>
              <w:rPr>
                <w:rFonts w:ascii="宋体" w:hAnsi="宋体"/>
                <w:color w:val="auto"/>
                <w:sz w:val="24"/>
              </w:rPr>
              <w:t>；</w:t>
            </w:r>
          </w:p>
          <w:p w14:paraId="20883970">
            <w:pPr>
              <w:snapToGrid w:val="0"/>
              <w:spacing w:line="360" w:lineRule="auto"/>
              <w:ind w:firstLine="480" w:firstLineChars="200"/>
              <w:rPr>
                <w:rFonts w:hint="eastAsia" w:ascii="宋体" w:hAnsi="宋体" w:eastAsia="宋体" w:cs="Times New Roman"/>
                <w:color w:val="auto"/>
                <w:sz w:val="24"/>
                <w:lang w:eastAsia="zh-CN"/>
              </w:rPr>
            </w:pPr>
            <w:r>
              <w:rPr>
                <w:rFonts w:hint="eastAsia" w:ascii="仿宋_GB2312" w:hAnsi="仿宋_GB2312" w:eastAsia="仿宋_GB2312" w:cs="仿宋_GB2312"/>
                <w:color w:val="auto"/>
                <w:sz w:val="24"/>
              </w:rPr>
              <w:t>②</w:t>
            </w:r>
            <w:r>
              <w:rPr>
                <w:rFonts w:hint="eastAsia" w:ascii="宋体" w:hAnsi="宋体" w:eastAsia="宋体" w:cs="Times New Roman"/>
                <w:color w:val="auto"/>
                <w:sz w:val="24"/>
                <w:lang w:eastAsia="zh-CN"/>
              </w:rPr>
              <w:t>合理安排生产时间。</w:t>
            </w:r>
          </w:p>
          <w:p w14:paraId="17BE4A5D">
            <w:pPr>
              <w:snapToGrid w:val="0"/>
              <w:spacing w:line="360" w:lineRule="auto"/>
              <w:ind w:firstLine="480" w:firstLineChars="200"/>
              <w:rPr>
                <w:color w:val="auto"/>
                <w:sz w:val="24"/>
              </w:rPr>
            </w:pPr>
            <w:r>
              <w:rPr>
                <w:color w:val="auto"/>
                <w:sz w:val="24"/>
              </w:rPr>
              <w:t>经采取上述措施后进一步减小本项目噪声对周围环境的影响。</w:t>
            </w:r>
          </w:p>
          <w:p w14:paraId="6B4DBBF6">
            <w:pPr>
              <w:snapToGrid w:val="0"/>
              <w:spacing w:line="360" w:lineRule="auto"/>
              <w:ind w:firstLine="482" w:firstLineChars="200"/>
              <w:rPr>
                <w:rFonts w:hint="eastAsia"/>
                <w:b/>
                <w:bCs/>
                <w:color w:val="auto"/>
                <w:sz w:val="24"/>
                <w:highlight w:val="none"/>
              </w:rPr>
            </w:pPr>
            <w:r>
              <w:rPr>
                <w:rFonts w:hint="eastAsia"/>
                <w:b/>
                <w:bCs/>
                <w:color w:val="auto"/>
                <w:sz w:val="24"/>
                <w:highlight w:val="none"/>
              </w:rPr>
              <w:t>3、噪声自行监测一览表</w:t>
            </w:r>
          </w:p>
          <w:p w14:paraId="585B7E39">
            <w:pPr>
              <w:snapToGrid w:val="0"/>
              <w:spacing w:line="360" w:lineRule="auto"/>
              <w:ind w:firstLine="480" w:firstLineChars="200"/>
              <w:rPr>
                <w:color w:val="auto"/>
                <w:sz w:val="24"/>
                <w:highlight w:val="none"/>
              </w:rPr>
            </w:pPr>
            <w:r>
              <w:rPr>
                <w:rFonts w:hint="eastAsia"/>
                <w:color w:val="auto"/>
                <w:sz w:val="24"/>
                <w:highlight w:val="none"/>
              </w:rPr>
              <w:t>根据《排污单位自行监测技术指南 总则》（HJ819-2017）及结合项目实际情况，提出监测计划如下。</w:t>
            </w:r>
          </w:p>
          <w:p w14:paraId="3D7F191F">
            <w:pPr>
              <w:pStyle w:val="33"/>
              <w:spacing w:line="360" w:lineRule="auto"/>
              <w:jc w:val="center"/>
              <w:rPr>
                <w:rFonts w:ascii="Times New Roman" w:cs="Times New Roman"/>
                <w:b/>
                <w:bCs/>
                <w:color w:val="auto"/>
                <w:highlight w:val="none"/>
              </w:rPr>
            </w:pPr>
            <w:r>
              <w:rPr>
                <w:rFonts w:ascii="Times New Roman" w:cs="Times New Roman"/>
                <w:b/>
                <w:bCs/>
                <w:color w:val="auto"/>
                <w:highlight w:val="none"/>
              </w:rPr>
              <w:t>表4-</w:t>
            </w:r>
            <w:r>
              <w:rPr>
                <w:rFonts w:hint="eastAsia" w:cs="Times New Roman"/>
                <w:b/>
                <w:bCs/>
                <w:color w:val="auto"/>
                <w:highlight w:val="none"/>
                <w:lang w:val="en-US" w:eastAsia="zh-CN"/>
              </w:rPr>
              <w:t>17</w:t>
            </w:r>
            <w:r>
              <w:rPr>
                <w:rFonts w:ascii="Times New Roman" w:cs="Times New Roman"/>
                <w:b/>
                <w:bCs/>
                <w:color w:val="auto"/>
                <w:highlight w:val="none"/>
              </w:rPr>
              <w:t xml:space="preserve"> </w:t>
            </w:r>
            <w:r>
              <w:rPr>
                <w:rFonts w:hint="eastAsia" w:cs="Times New Roman"/>
                <w:b/>
                <w:bCs/>
                <w:color w:val="auto"/>
                <w:highlight w:val="none"/>
                <w:lang w:val="en-US" w:eastAsia="zh-CN"/>
              </w:rPr>
              <w:t xml:space="preserve"> </w:t>
            </w:r>
            <w:r>
              <w:rPr>
                <w:rFonts w:ascii="Times New Roman" w:cs="Times New Roman"/>
                <w:b/>
                <w:bCs/>
                <w:color w:val="auto"/>
                <w:highlight w:val="none"/>
              </w:rPr>
              <w:t>噪声监测要求一览表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2110"/>
              <w:gridCol w:w="1340"/>
              <w:gridCol w:w="2879"/>
            </w:tblGrid>
            <w:tr w14:paraId="73C6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49" w:type="pct"/>
                  <w:vAlign w:val="center"/>
                </w:tcPr>
                <w:p w14:paraId="09627CE3">
                  <w:pPr>
                    <w:adjustRightInd w:val="0"/>
                    <w:snapToGrid w:val="0"/>
                    <w:jc w:val="center"/>
                    <w:textAlignment w:val="baseline"/>
                    <w:rPr>
                      <w:color w:val="auto"/>
                      <w:szCs w:val="21"/>
                      <w:highlight w:val="none"/>
                    </w:rPr>
                  </w:pPr>
                  <w:r>
                    <w:rPr>
                      <w:rFonts w:hint="eastAsia"/>
                      <w:color w:val="auto"/>
                      <w:szCs w:val="21"/>
                      <w:highlight w:val="none"/>
                    </w:rPr>
                    <w:t>监测点位</w:t>
                  </w:r>
                </w:p>
              </w:tc>
              <w:tc>
                <w:tcPr>
                  <w:tcW w:w="1250" w:type="pct"/>
                  <w:vAlign w:val="center"/>
                </w:tcPr>
                <w:p w14:paraId="67DC79E6">
                  <w:pPr>
                    <w:adjustRightInd w:val="0"/>
                    <w:snapToGrid w:val="0"/>
                    <w:jc w:val="center"/>
                    <w:textAlignment w:val="baseline"/>
                    <w:rPr>
                      <w:color w:val="auto"/>
                      <w:szCs w:val="21"/>
                      <w:highlight w:val="none"/>
                    </w:rPr>
                  </w:pPr>
                  <w:r>
                    <w:rPr>
                      <w:rFonts w:hint="eastAsia"/>
                      <w:color w:val="auto"/>
                      <w:szCs w:val="21"/>
                      <w:highlight w:val="none"/>
                    </w:rPr>
                    <w:t>监测因子</w:t>
                  </w:r>
                </w:p>
              </w:tc>
              <w:tc>
                <w:tcPr>
                  <w:tcW w:w="794" w:type="pct"/>
                  <w:vAlign w:val="center"/>
                </w:tcPr>
                <w:p w14:paraId="0583B85F">
                  <w:pPr>
                    <w:adjustRightInd w:val="0"/>
                    <w:snapToGrid w:val="0"/>
                    <w:jc w:val="center"/>
                    <w:textAlignment w:val="baseline"/>
                    <w:rPr>
                      <w:color w:val="auto"/>
                      <w:szCs w:val="21"/>
                      <w:highlight w:val="none"/>
                    </w:rPr>
                  </w:pPr>
                  <w:r>
                    <w:rPr>
                      <w:rFonts w:hint="eastAsia"/>
                      <w:color w:val="auto"/>
                      <w:szCs w:val="21"/>
                      <w:highlight w:val="none"/>
                    </w:rPr>
                    <w:t>监测频次</w:t>
                  </w:r>
                </w:p>
              </w:tc>
              <w:tc>
                <w:tcPr>
                  <w:tcW w:w="1706" w:type="pct"/>
                  <w:vAlign w:val="center"/>
                </w:tcPr>
                <w:p w14:paraId="7ED1C5FC">
                  <w:pPr>
                    <w:adjustRightInd w:val="0"/>
                    <w:snapToGrid w:val="0"/>
                    <w:jc w:val="center"/>
                    <w:textAlignment w:val="baseline"/>
                    <w:rPr>
                      <w:color w:val="auto"/>
                      <w:szCs w:val="21"/>
                      <w:highlight w:val="none"/>
                    </w:rPr>
                  </w:pPr>
                  <w:r>
                    <w:rPr>
                      <w:rFonts w:hint="eastAsia"/>
                      <w:color w:val="auto"/>
                      <w:szCs w:val="21"/>
                      <w:highlight w:val="none"/>
                    </w:rPr>
                    <w:t>执行标准</w:t>
                  </w:r>
                </w:p>
              </w:tc>
            </w:tr>
            <w:tr w14:paraId="1048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9" w:type="pct"/>
                  <w:vAlign w:val="center"/>
                </w:tcPr>
                <w:p w14:paraId="3DC05989">
                  <w:pPr>
                    <w:adjustRightInd w:val="0"/>
                    <w:snapToGrid w:val="0"/>
                    <w:jc w:val="center"/>
                    <w:textAlignment w:val="baseline"/>
                    <w:rPr>
                      <w:color w:val="auto"/>
                      <w:szCs w:val="21"/>
                      <w:highlight w:val="none"/>
                    </w:rPr>
                  </w:pPr>
                  <w:r>
                    <w:rPr>
                      <w:rFonts w:hint="eastAsia"/>
                      <w:color w:val="auto"/>
                      <w:szCs w:val="21"/>
                      <w:highlight w:val="none"/>
                    </w:rPr>
                    <w:t>东、南、西、北厂界</w:t>
                  </w:r>
                </w:p>
              </w:tc>
              <w:tc>
                <w:tcPr>
                  <w:tcW w:w="1250" w:type="pct"/>
                  <w:vAlign w:val="center"/>
                </w:tcPr>
                <w:p w14:paraId="01138F6C">
                  <w:pPr>
                    <w:adjustRightInd w:val="0"/>
                    <w:snapToGrid w:val="0"/>
                    <w:jc w:val="center"/>
                    <w:textAlignment w:val="baseline"/>
                    <w:rPr>
                      <w:color w:val="auto"/>
                      <w:szCs w:val="21"/>
                      <w:highlight w:val="none"/>
                    </w:rPr>
                  </w:pPr>
                  <w:r>
                    <w:rPr>
                      <w:rFonts w:hint="eastAsia"/>
                      <w:color w:val="auto"/>
                      <w:szCs w:val="21"/>
                      <w:highlight w:val="none"/>
                    </w:rPr>
                    <w:t>昼间、夜间等效A声级</w:t>
                  </w:r>
                </w:p>
              </w:tc>
              <w:tc>
                <w:tcPr>
                  <w:tcW w:w="794" w:type="pct"/>
                  <w:vAlign w:val="center"/>
                </w:tcPr>
                <w:p w14:paraId="52AAC155">
                  <w:pPr>
                    <w:adjustRightInd w:val="0"/>
                    <w:snapToGrid w:val="0"/>
                    <w:jc w:val="center"/>
                    <w:textAlignment w:val="baseline"/>
                    <w:rPr>
                      <w:color w:val="auto"/>
                      <w:szCs w:val="21"/>
                      <w:highlight w:val="none"/>
                    </w:rPr>
                  </w:pPr>
                  <w:r>
                    <w:rPr>
                      <w:rFonts w:hint="eastAsia"/>
                      <w:color w:val="auto"/>
                      <w:szCs w:val="21"/>
                      <w:highlight w:val="none"/>
                    </w:rPr>
                    <w:t>1次/季度</w:t>
                  </w:r>
                </w:p>
              </w:tc>
              <w:tc>
                <w:tcPr>
                  <w:tcW w:w="1706" w:type="pct"/>
                  <w:vAlign w:val="center"/>
                </w:tcPr>
                <w:p w14:paraId="69BFC10E">
                  <w:pPr>
                    <w:adjustRightInd w:val="0"/>
                    <w:snapToGrid w:val="0"/>
                    <w:jc w:val="center"/>
                    <w:textAlignment w:val="baseline"/>
                    <w:rPr>
                      <w:color w:val="auto"/>
                      <w:szCs w:val="21"/>
                      <w:highlight w:val="none"/>
                    </w:rPr>
                  </w:pPr>
                  <w:r>
                    <w:rPr>
                      <w:rFonts w:hint="eastAsia"/>
                      <w:color w:val="auto"/>
                      <w:szCs w:val="21"/>
                      <w:highlight w:val="none"/>
                    </w:rPr>
                    <w:t>《工业企业厂界环境噪声排放标准》（GB12348-2008）2类标准限值</w:t>
                  </w:r>
                </w:p>
              </w:tc>
            </w:tr>
          </w:tbl>
          <w:p w14:paraId="1F8FB2CE">
            <w:pPr>
              <w:snapToGrid w:val="0"/>
              <w:spacing w:line="360" w:lineRule="auto"/>
              <w:ind w:firstLine="440" w:firstLineChars="200"/>
              <w:rPr>
                <w:bCs/>
                <w:color w:val="auto"/>
                <w:spacing w:val="-10"/>
                <w:sz w:val="24"/>
                <w:highlight w:val="none"/>
              </w:rPr>
            </w:pPr>
          </w:p>
          <w:p w14:paraId="281C975F">
            <w:pPr>
              <w:pStyle w:val="33"/>
              <w:rPr>
                <w:bCs/>
                <w:color w:val="auto"/>
                <w:spacing w:val="-10"/>
                <w:sz w:val="24"/>
                <w:highlight w:val="none"/>
              </w:rPr>
            </w:pPr>
          </w:p>
          <w:p w14:paraId="0566C426">
            <w:pPr>
              <w:pStyle w:val="33"/>
              <w:rPr>
                <w:bCs/>
                <w:color w:val="auto"/>
                <w:spacing w:val="-10"/>
                <w:sz w:val="24"/>
                <w:highlight w:val="none"/>
              </w:rPr>
            </w:pPr>
          </w:p>
          <w:p w14:paraId="5CCEB061">
            <w:pPr>
              <w:pStyle w:val="33"/>
              <w:rPr>
                <w:bCs/>
                <w:color w:val="auto"/>
                <w:spacing w:val="-10"/>
                <w:sz w:val="24"/>
                <w:highlight w:val="none"/>
              </w:rPr>
            </w:pPr>
          </w:p>
          <w:p w14:paraId="720C120C">
            <w:pPr>
              <w:pStyle w:val="33"/>
              <w:rPr>
                <w:bCs/>
                <w:color w:val="auto"/>
                <w:spacing w:val="-10"/>
                <w:sz w:val="24"/>
                <w:highlight w:val="none"/>
              </w:rPr>
            </w:pPr>
          </w:p>
          <w:p w14:paraId="1447D66F">
            <w:pPr>
              <w:pStyle w:val="33"/>
              <w:rPr>
                <w:bCs/>
                <w:color w:val="auto"/>
                <w:spacing w:val="-10"/>
                <w:sz w:val="24"/>
                <w:highlight w:val="none"/>
              </w:rPr>
            </w:pPr>
          </w:p>
          <w:p w14:paraId="43CC1419">
            <w:pPr>
              <w:pStyle w:val="33"/>
              <w:rPr>
                <w:bCs/>
                <w:color w:val="auto"/>
                <w:spacing w:val="-10"/>
                <w:sz w:val="24"/>
                <w:highlight w:val="none"/>
              </w:rPr>
            </w:pPr>
          </w:p>
          <w:p w14:paraId="1584708B">
            <w:pPr>
              <w:pStyle w:val="33"/>
              <w:rPr>
                <w:bCs/>
                <w:color w:val="auto"/>
                <w:spacing w:val="-10"/>
                <w:sz w:val="24"/>
                <w:highlight w:val="none"/>
              </w:rPr>
            </w:pPr>
          </w:p>
          <w:p w14:paraId="6ACE1BBA">
            <w:pPr>
              <w:pStyle w:val="33"/>
              <w:rPr>
                <w:bCs/>
                <w:color w:val="auto"/>
                <w:spacing w:val="-10"/>
                <w:sz w:val="24"/>
                <w:highlight w:val="none"/>
              </w:rPr>
            </w:pPr>
          </w:p>
          <w:p w14:paraId="0ED3C34C">
            <w:pPr>
              <w:pStyle w:val="33"/>
              <w:rPr>
                <w:bCs/>
                <w:color w:val="auto"/>
                <w:spacing w:val="-10"/>
                <w:sz w:val="24"/>
                <w:highlight w:val="none"/>
              </w:rPr>
            </w:pPr>
          </w:p>
          <w:p w14:paraId="2216029E">
            <w:pPr>
              <w:pStyle w:val="33"/>
              <w:rPr>
                <w:bCs/>
                <w:color w:val="auto"/>
                <w:spacing w:val="-10"/>
                <w:sz w:val="24"/>
                <w:highlight w:val="none"/>
              </w:rPr>
            </w:pPr>
          </w:p>
          <w:p w14:paraId="05D1A812">
            <w:pPr>
              <w:pStyle w:val="33"/>
              <w:rPr>
                <w:bCs/>
                <w:color w:val="auto"/>
                <w:spacing w:val="-10"/>
                <w:sz w:val="24"/>
                <w:highlight w:val="none"/>
              </w:rPr>
            </w:pPr>
          </w:p>
          <w:p w14:paraId="21F476BC">
            <w:pPr>
              <w:pStyle w:val="33"/>
              <w:rPr>
                <w:bCs/>
                <w:color w:val="auto"/>
                <w:spacing w:val="-10"/>
                <w:sz w:val="24"/>
                <w:highlight w:val="none"/>
              </w:rPr>
            </w:pPr>
          </w:p>
          <w:p w14:paraId="1FC5F828">
            <w:pPr>
              <w:pStyle w:val="33"/>
              <w:rPr>
                <w:bCs/>
                <w:color w:val="auto"/>
                <w:spacing w:val="-10"/>
                <w:sz w:val="24"/>
                <w:highlight w:val="none"/>
              </w:rPr>
            </w:pPr>
          </w:p>
          <w:p w14:paraId="58832A44">
            <w:pPr>
              <w:pStyle w:val="33"/>
              <w:rPr>
                <w:bCs/>
                <w:color w:val="auto"/>
                <w:spacing w:val="-10"/>
                <w:sz w:val="24"/>
                <w:highlight w:val="none"/>
              </w:rPr>
            </w:pPr>
          </w:p>
          <w:p w14:paraId="714603C1">
            <w:pPr>
              <w:pStyle w:val="33"/>
              <w:rPr>
                <w:bCs/>
                <w:color w:val="auto"/>
                <w:spacing w:val="-10"/>
                <w:sz w:val="24"/>
                <w:highlight w:val="none"/>
              </w:rPr>
            </w:pPr>
          </w:p>
          <w:p w14:paraId="76FABEF7">
            <w:pPr>
              <w:pStyle w:val="33"/>
              <w:rPr>
                <w:bCs/>
                <w:color w:val="auto"/>
                <w:spacing w:val="-10"/>
                <w:sz w:val="24"/>
                <w:highlight w:val="none"/>
              </w:rPr>
            </w:pPr>
          </w:p>
          <w:p w14:paraId="58FF0323">
            <w:pPr>
              <w:pStyle w:val="33"/>
              <w:rPr>
                <w:bCs/>
                <w:color w:val="auto"/>
                <w:spacing w:val="-10"/>
                <w:sz w:val="24"/>
                <w:highlight w:val="none"/>
              </w:rPr>
            </w:pPr>
          </w:p>
          <w:p w14:paraId="372F289F">
            <w:pPr>
              <w:pStyle w:val="33"/>
              <w:rPr>
                <w:bCs/>
                <w:color w:val="auto"/>
                <w:spacing w:val="-10"/>
                <w:sz w:val="24"/>
                <w:highlight w:val="none"/>
              </w:rPr>
            </w:pPr>
          </w:p>
          <w:p w14:paraId="5BB5C248">
            <w:pPr>
              <w:pStyle w:val="33"/>
              <w:rPr>
                <w:bCs/>
                <w:color w:val="auto"/>
                <w:spacing w:val="-10"/>
                <w:sz w:val="24"/>
                <w:highlight w:val="none"/>
              </w:rPr>
            </w:pPr>
          </w:p>
          <w:p w14:paraId="31F2921D">
            <w:pPr>
              <w:pStyle w:val="33"/>
              <w:rPr>
                <w:bCs/>
                <w:color w:val="auto"/>
                <w:spacing w:val="-10"/>
                <w:sz w:val="24"/>
                <w:highlight w:val="none"/>
              </w:rPr>
            </w:pPr>
          </w:p>
        </w:tc>
      </w:tr>
    </w:tbl>
    <w:p w14:paraId="22AEED4A">
      <w:pPr>
        <w:adjustRightInd w:val="0"/>
        <w:snapToGrid w:val="0"/>
        <w:spacing w:line="360" w:lineRule="auto"/>
        <w:rPr>
          <w:b/>
          <w:color w:val="auto"/>
          <w:kern w:val="0"/>
          <w:sz w:val="28"/>
          <w:szCs w:val="28"/>
          <w:highlight w:val="none"/>
        </w:rPr>
        <w:sectPr>
          <w:pgSz w:w="11907" w:h="16840"/>
          <w:pgMar w:top="1701" w:right="1531" w:bottom="2127" w:left="1531" w:header="851" w:footer="851" w:gutter="0"/>
          <w:pgNumType w:fmt="decimal"/>
          <w:cols w:space="720" w:num="1"/>
          <w:docGrid w:linePitch="312" w:charSpace="0"/>
        </w:sect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8650"/>
      </w:tblGrid>
      <w:tr w14:paraId="7024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0" w:hRule="atLeast"/>
        </w:trPr>
        <w:tc>
          <w:tcPr>
            <w:tcW w:w="411" w:type="dxa"/>
          </w:tcPr>
          <w:p w14:paraId="74326BA0">
            <w:pPr>
              <w:adjustRightInd w:val="0"/>
              <w:snapToGrid w:val="0"/>
              <w:spacing w:line="360" w:lineRule="auto"/>
              <w:rPr>
                <w:b/>
                <w:color w:val="auto"/>
                <w:kern w:val="0"/>
                <w:sz w:val="28"/>
                <w:szCs w:val="28"/>
                <w:highlight w:val="none"/>
              </w:rPr>
            </w:pPr>
            <w:r>
              <w:rPr>
                <w:rFonts w:hAnsi="宋体"/>
                <w:bCs/>
                <w:color w:val="auto"/>
                <w:sz w:val="24"/>
                <w:highlight w:val="none"/>
              </w:rPr>
              <w:t>运营期环境影响和保护措施</w:t>
            </w:r>
          </w:p>
        </w:tc>
        <w:tc>
          <w:tcPr>
            <w:tcW w:w="8650" w:type="dxa"/>
          </w:tcPr>
          <w:p w14:paraId="2ED230FD">
            <w:pPr>
              <w:snapToGrid w:val="0"/>
              <w:spacing w:line="360" w:lineRule="auto"/>
              <w:rPr>
                <w:b/>
                <w:bCs/>
                <w:color w:val="auto"/>
                <w:sz w:val="24"/>
                <w:highlight w:val="none"/>
              </w:rPr>
            </w:pPr>
            <w:r>
              <w:rPr>
                <w:rFonts w:hint="eastAsia"/>
                <w:b/>
                <w:bCs/>
                <w:color w:val="auto"/>
                <w:sz w:val="24"/>
                <w:highlight w:val="none"/>
                <w:lang w:val="en-US" w:eastAsia="zh-CN"/>
              </w:rPr>
              <w:t>五</w:t>
            </w:r>
            <w:r>
              <w:rPr>
                <w:rFonts w:hint="eastAsia"/>
                <w:b/>
                <w:bCs/>
                <w:color w:val="auto"/>
                <w:sz w:val="24"/>
                <w:highlight w:val="none"/>
              </w:rPr>
              <w:t>、</w:t>
            </w:r>
            <w:r>
              <w:rPr>
                <w:b/>
                <w:bCs/>
                <w:color w:val="auto"/>
                <w:sz w:val="24"/>
                <w:highlight w:val="none"/>
              </w:rPr>
              <w:t>固体废物</w:t>
            </w:r>
          </w:p>
          <w:p w14:paraId="23B286F0">
            <w:pPr>
              <w:snapToGrid w:val="0"/>
              <w:spacing w:line="360" w:lineRule="auto"/>
              <w:ind w:firstLine="482" w:firstLineChars="200"/>
              <w:rPr>
                <w:b/>
                <w:bCs/>
                <w:color w:val="auto"/>
                <w:sz w:val="24"/>
                <w:highlight w:val="none"/>
              </w:rPr>
            </w:pPr>
            <w:r>
              <w:rPr>
                <w:rFonts w:hint="eastAsia"/>
                <w:b/>
                <w:bCs/>
                <w:color w:val="auto"/>
                <w:sz w:val="24"/>
                <w:highlight w:val="none"/>
              </w:rPr>
              <w:t>1、污染源源强核算</w:t>
            </w:r>
          </w:p>
          <w:p w14:paraId="3DB71F4F">
            <w:pPr>
              <w:pStyle w:val="25"/>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b/>
                <w:color w:val="auto"/>
                <w:kern w:val="24"/>
                <w:sz w:val="24"/>
                <w:highlight w:val="none"/>
              </w:rPr>
            </w:pPr>
            <w:r>
              <w:rPr>
                <w:rFonts w:hint="eastAsia"/>
                <w:color w:val="auto"/>
                <w:sz w:val="24"/>
                <w:highlight w:val="none"/>
              </w:rPr>
              <w:t>项目运营期的固体废物主要包括一般工业固废、生活垃圾。一般工业固废包括</w:t>
            </w:r>
            <w:r>
              <w:rPr>
                <w:rFonts w:hint="eastAsia"/>
                <w:color w:val="auto"/>
                <w:sz w:val="24"/>
                <w:highlight w:val="none"/>
                <w:lang w:eastAsia="zh-CN"/>
              </w:rPr>
              <w:t>蒸汽发生器</w:t>
            </w:r>
            <w:r>
              <w:rPr>
                <w:rFonts w:hint="eastAsia"/>
                <w:color w:val="auto"/>
                <w:sz w:val="24"/>
                <w:highlight w:val="none"/>
              </w:rPr>
              <w:t>炉渣、除尘灰、</w:t>
            </w:r>
            <w:r>
              <w:rPr>
                <w:rFonts w:hint="eastAsia" w:ascii="宋体" w:hAnsi="宋体" w:cs="宋体"/>
                <w:color w:val="auto"/>
                <w:sz w:val="24"/>
                <w:highlight w:val="none"/>
              </w:rPr>
              <w:t>软水制备产生的废树脂</w:t>
            </w:r>
            <w:r>
              <w:rPr>
                <w:rFonts w:hint="eastAsia" w:ascii="宋体" w:hAnsi="宋体" w:cs="宋体"/>
                <w:color w:val="auto"/>
                <w:sz w:val="24"/>
                <w:highlight w:val="none"/>
                <w:lang w:eastAsia="zh-CN"/>
              </w:rPr>
              <w:t>、絮凝沉淀池沉渣</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项目设备修理运至设备修理厂家修理，厂区内不产生废机油。</w:t>
            </w:r>
            <w:r>
              <w:rPr>
                <w:bCs/>
                <w:color w:val="auto"/>
                <w:kern w:val="24"/>
                <w:sz w:val="24"/>
                <w:highlight w:val="none"/>
              </w:rPr>
              <w:t>项目固废类别及产生、处置情况详见表</w:t>
            </w:r>
            <w:r>
              <w:rPr>
                <w:rFonts w:hint="eastAsia"/>
                <w:bCs/>
                <w:color w:val="auto"/>
                <w:kern w:val="24"/>
                <w:sz w:val="24"/>
                <w:highlight w:val="none"/>
              </w:rPr>
              <w:t>4-</w:t>
            </w:r>
            <w:r>
              <w:rPr>
                <w:rFonts w:hint="eastAsia"/>
                <w:bCs/>
                <w:color w:val="auto"/>
                <w:kern w:val="24"/>
                <w:sz w:val="24"/>
                <w:highlight w:val="none"/>
                <w:lang w:val="en-US" w:eastAsia="zh-CN"/>
              </w:rPr>
              <w:t>18</w:t>
            </w:r>
            <w:r>
              <w:rPr>
                <w:bCs/>
                <w:color w:val="auto"/>
                <w:kern w:val="24"/>
                <w:sz w:val="24"/>
                <w:highlight w:val="none"/>
              </w:rPr>
              <w:t>。</w:t>
            </w:r>
          </w:p>
          <w:p w14:paraId="61F3215D">
            <w:pPr>
              <w:adjustRightInd w:val="0"/>
              <w:snapToGrid w:val="0"/>
              <w:spacing w:line="360" w:lineRule="auto"/>
              <w:ind w:firstLine="482" w:firstLineChars="200"/>
              <w:jc w:val="center"/>
              <w:rPr>
                <w:b/>
                <w:color w:val="auto"/>
                <w:kern w:val="24"/>
                <w:sz w:val="24"/>
                <w:highlight w:val="none"/>
              </w:rPr>
            </w:pPr>
            <w:r>
              <w:rPr>
                <w:b/>
                <w:color w:val="auto"/>
                <w:kern w:val="24"/>
                <w:sz w:val="24"/>
                <w:highlight w:val="none"/>
              </w:rPr>
              <w:t>表4-</w:t>
            </w:r>
            <w:r>
              <w:rPr>
                <w:rFonts w:hint="eastAsia"/>
                <w:b/>
                <w:color w:val="auto"/>
                <w:kern w:val="24"/>
                <w:sz w:val="24"/>
                <w:highlight w:val="none"/>
                <w:lang w:val="en-US" w:eastAsia="zh-CN"/>
              </w:rPr>
              <w:t>18</w:t>
            </w:r>
            <w:r>
              <w:rPr>
                <w:rFonts w:hint="eastAsia"/>
                <w:b/>
                <w:color w:val="auto"/>
                <w:kern w:val="24"/>
                <w:sz w:val="24"/>
                <w:highlight w:val="none"/>
              </w:rPr>
              <w:t xml:space="preserve"> </w:t>
            </w:r>
            <w:r>
              <w:rPr>
                <w:rFonts w:hint="eastAsia"/>
                <w:b/>
                <w:color w:val="auto"/>
                <w:kern w:val="24"/>
                <w:sz w:val="24"/>
                <w:highlight w:val="none"/>
                <w:lang w:val="en-US" w:eastAsia="zh-CN"/>
              </w:rPr>
              <w:t xml:space="preserve"> </w:t>
            </w:r>
            <w:r>
              <w:rPr>
                <w:b/>
                <w:color w:val="auto"/>
                <w:kern w:val="24"/>
                <w:sz w:val="24"/>
                <w:highlight w:val="none"/>
              </w:rPr>
              <w:t>项目固体废物一览表</w:t>
            </w:r>
          </w:p>
          <w:tbl>
            <w:tblPr>
              <w:tblStyle w:val="2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28"/>
              <w:gridCol w:w="567"/>
              <w:gridCol w:w="639"/>
              <w:gridCol w:w="544"/>
              <w:gridCol w:w="627"/>
              <w:gridCol w:w="851"/>
              <w:gridCol w:w="917"/>
              <w:gridCol w:w="870"/>
              <w:gridCol w:w="907"/>
              <w:gridCol w:w="1202"/>
              <w:gridCol w:w="864"/>
            </w:tblGrid>
            <w:tr w14:paraId="4B82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5" w:hRule="atLeast"/>
              </w:trPr>
              <w:tc>
                <w:tcPr>
                  <w:tcW w:w="428" w:type="dxa"/>
                  <w:vAlign w:val="center"/>
                </w:tcPr>
                <w:p w14:paraId="2642219D">
                  <w:pPr>
                    <w:adjustRightInd w:val="0"/>
                    <w:snapToGrid w:val="0"/>
                    <w:jc w:val="center"/>
                    <w:rPr>
                      <w:color w:val="auto"/>
                      <w:kern w:val="24"/>
                      <w:szCs w:val="21"/>
                      <w:highlight w:val="none"/>
                    </w:rPr>
                  </w:pPr>
                  <w:bookmarkStart w:id="36" w:name="_Hlk161927651"/>
                  <w:r>
                    <w:rPr>
                      <w:color w:val="auto"/>
                      <w:kern w:val="24"/>
                      <w:szCs w:val="21"/>
                      <w:highlight w:val="none"/>
                    </w:rPr>
                    <w:t>序号</w:t>
                  </w:r>
                </w:p>
              </w:tc>
              <w:tc>
                <w:tcPr>
                  <w:tcW w:w="567" w:type="dxa"/>
                  <w:vAlign w:val="center"/>
                </w:tcPr>
                <w:p w14:paraId="2A880510">
                  <w:pPr>
                    <w:adjustRightInd w:val="0"/>
                    <w:snapToGrid w:val="0"/>
                    <w:jc w:val="center"/>
                    <w:rPr>
                      <w:color w:val="auto"/>
                      <w:kern w:val="24"/>
                      <w:szCs w:val="21"/>
                      <w:highlight w:val="none"/>
                    </w:rPr>
                  </w:pPr>
                  <w:r>
                    <w:rPr>
                      <w:color w:val="auto"/>
                      <w:kern w:val="24"/>
                      <w:szCs w:val="21"/>
                      <w:highlight w:val="none"/>
                    </w:rPr>
                    <w:t>固废名称</w:t>
                  </w:r>
                </w:p>
              </w:tc>
              <w:tc>
                <w:tcPr>
                  <w:tcW w:w="639" w:type="dxa"/>
                  <w:vAlign w:val="center"/>
                </w:tcPr>
                <w:p w14:paraId="4F3E4B34">
                  <w:pPr>
                    <w:adjustRightInd w:val="0"/>
                    <w:snapToGrid w:val="0"/>
                    <w:jc w:val="center"/>
                    <w:rPr>
                      <w:color w:val="auto"/>
                      <w:kern w:val="24"/>
                      <w:szCs w:val="21"/>
                      <w:highlight w:val="none"/>
                    </w:rPr>
                  </w:pPr>
                  <w:r>
                    <w:rPr>
                      <w:color w:val="auto"/>
                      <w:kern w:val="24"/>
                      <w:szCs w:val="21"/>
                      <w:highlight w:val="none"/>
                    </w:rPr>
                    <w:t>产生环节</w:t>
                  </w:r>
                </w:p>
              </w:tc>
              <w:tc>
                <w:tcPr>
                  <w:tcW w:w="544" w:type="dxa"/>
                  <w:vAlign w:val="center"/>
                </w:tcPr>
                <w:p w14:paraId="6D2E0A5D">
                  <w:pPr>
                    <w:adjustRightInd w:val="0"/>
                    <w:snapToGrid w:val="0"/>
                    <w:jc w:val="center"/>
                    <w:rPr>
                      <w:color w:val="auto"/>
                      <w:kern w:val="24"/>
                      <w:szCs w:val="21"/>
                      <w:highlight w:val="none"/>
                    </w:rPr>
                  </w:pPr>
                  <w:r>
                    <w:rPr>
                      <w:color w:val="auto"/>
                      <w:kern w:val="24"/>
                      <w:szCs w:val="21"/>
                      <w:highlight w:val="none"/>
                    </w:rPr>
                    <w:t>固废属性</w:t>
                  </w:r>
                </w:p>
              </w:tc>
              <w:tc>
                <w:tcPr>
                  <w:tcW w:w="627" w:type="dxa"/>
                  <w:vAlign w:val="center"/>
                </w:tcPr>
                <w:p w14:paraId="5BEB83BA">
                  <w:pPr>
                    <w:adjustRightInd w:val="0"/>
                    <w:snapToGrid w:val="0"/>
                    <w:jc w:val="center"/>
                    <w:rPr>
                      <w:color w:val="auto"/>
                      <w:kern w:val="24"/>
                      <w:szCs w:val="21"/>
                      <w:highlight w:val="none"/>
                    </w:rPr>
                  </w:pPr>
                  <w:r>
                    <w:rPr>
                      <w:color w:val="auto"/>
                      <w:kern w:val="24"/>
                      <w:szCs w:val="21"/>
                      <w:highlight w:val="none"/>
                    </w:rPr>
                    <w:t>主要成分</w:t>
                  </w:r>
                </w:p>
              </w:tc>
              <w:tc>
                <w:tcPr>
                  <w:tcW w:w="851" w:type="dxa"/>
                  <w:vAlign w:val="center"/>
                </w:tcPr>
                <w:p w14:paraId="3EBBAC56">
                  <w:pPr>
                    <w:adjustRightInd w:val="0"/>
                    <w:snapToGrid w:val="0"/>
                    <w:jc w:val="center"/>
                    <w:rPr>
                      <w:color w:val="auto"/>
                      <w:kern w:val="24"/>
                      <w:szCs w:val="21"/>
                      <w:highlight w:val="none"/>
                    </w:rPr>
                  </w:pPr>
                  <w:r>
                    <w:rPr>
                      <w:color w:val="auto"/>
                      <w:kern w:val="24"/>
                      <w:szCs w:val="21"/>
                      <w:highlight w:val="none"/>
                    </w:rPr>
                    <w:t>产生量</w:t>
                  </w:r>
                  <w:r>
                    <w:rPr>
                      <w:rFonts w:hint="eastAsia"/>
                      <w:color w:val="auto"/>
                      <w:kern w:val="24"/>
                      <w:szCs w:val="21"/>
                      <w:highlight w:val="none"/>
                    </w:rPr>
                    <w:t>（t/a）</w:t>
                  </w:r>
                </w:p>
              </w:tc>
              <w:tc>
                <w:tcPr>
                  <w:tcW w:w="917" w:type="dxa"/>
                  <w:vAlign w:val="center"/>
                </w:tcPr>
                <w:p w14:paraId="2FCB7C05">
                  <w:pPr>
                    <w:adjustRightInd w:val="0"/>
                    <w:snapToGrid w:val="0"/>
                    <w:jc w:val="center"/>
                    <w:rPr>
                      <w:color w:val="auto"/>
                      <w:kern w:val="24"/>
                      <w:szCs w:val="21"/>
                      <w:highlight w:val="none"/>
                    </w:rPr>
                  </w:pPr>
                  <w:r>
                    <w:rPr>
                      <w:rFonts w:hint="eastAsia"/>
                      <w:color w:val="auto"/>
                      <w:kern w:val="24"/>
                      <w:szCs w:val="21"/>
                      <w:highlight w:val="none"/>
                    </w:rPr>
                    <w:t>危险特性鉴别方法</w:t>
                  </w:r>
                </w:p>
              </w:tc>
              <w:tc>
                <w:tcPr>
                  <w:tcW w:w="870" w:type="dxa"/>
                  <w:vAlign w:val="center"/>
                </w:tcPr>
                <w:p w14:paraId="2BB61DB5">
                  <w:pPr>
                    <w:adjustRightInd w:val="0"/>
                    <w:snapToGrid w:val="0"/>
                    <w:jc w:val="center"/>
                    <w:rPr>
                      <w:color w:val="auto"/>
                      <w:kern w:val="24"/>
                      <w:szCs w:val="21"/>
                      <w:highlight w:val="none"/>
                    </w:rPr>
                  </w:pPr>
                  <w:r>
                    <w:rPr>
                      <w:rFonts w:hint="eastAsia"/>
                      <w:color w:val="auto"/>
                      <w:kern w:val="24"/>
                      <w:szCs w:val="21"/>
                      <w:highlight w:val="none"/>
                    </w:rPr>
                    <w:t>危险特性</w:t>
                  </w:r>
                </w:p>
              </w:tc>
              <w:tc>
                <w:tcPr>
                  <w:tcW w:w="907" w:type="dxa"/>
                  <w:vAlign w:val="center"/>
                </w:tcPr>
                <w:p w14:paraId="5E02D627">
                  <w:pPr>
                    <w:adjustRightInd w:val="0"/>
                    <w:snapToGrid w:val="0"/>
                    <w:jc w:val="center"/>
                    <w:rPr>
                      <w:color w:val="auto"/>
                      <w:kern w:val="24"/>
                      <w:szCs w:val="21"/>
                      <w:highlight w:val="none"/>
                    </w:rPr>
                  </w:pPr>
                  <w:r>
                    <w:rPr>
                      <w:rFonts w:hint="eastAsia"/>
                      <w:color w:val="auto"/>
                      <w:kern w:val="24"/>
                      <w:szCs w:val="21"/>
                      <w:highlight w:val="none"/>
                    </w:rPr>
                    <w:t>废物类别</w:t>
                  </w:r>
                </w:p>
              </w:tc>
              <w:tc>
                <w:tcPr>
                  <w:tcW w:w="1202" w:type="dxa"/>
                  <w:vAlign w:val="center"/>
                </w:tcPr>
                <w:p w14:paraId="42ADD7A5">
                  <w:pPr>
                    <w:adjustRightInd w:val="0"/>
                    <w:snapToGrid w:val="0"/>
                    <w:jc w:val="center"/>
                    <w:rPr>
                      <w:color w:val="auto"/>
                      <w:kern w:val="24"/>
                      <w:szCs w:val="21"/>
                      <w:highlight w:val="none"/>
                    </w:rPr>
                  </w:pPr>
                  <w:r>
                    <w:rPr>
                      <w:rFonts w:hint="eastAsia"/>
                      <w:color w:val="auto"/>
                      <w:kern w:val="24"/>
                      <w:szCs w:val="21"/>
                      <w:highlight w:val="none"/>
                    </w:rPr>
                    <w:t>废物代码</w:t>
                  </w:r>
                </w:p>
              </w:tc>
              <w:tc>
                <w:tcPr>
                  <w:tcW w:w="864" w:type="dxa"/>
                  <w:vAlign w:val="center"/>
                </w:tcPr>
                <w:p w14:paraId="62DABED5">
                  <w:pPr>
                    <w:adjustRightInd w:val="0"/>
                    <w:snapToGrid w:val="0"/>
                    <w:jc w:val="center"/>
                    <w:rPr>
                      <w:color w:val="auto"/>
                      <w:kern w:val="24"/>
                      <w:szCs w:val="21"/>
                      <w:highlight w:val="none"/>
                    </w:rPr>
                  </w:pPr>
                  <w:r>
                    <w:rPr>
                      <w:color w:val="auto"/>
                      <w:kern w:val="24"/>
                      <w:szCs w:val="21"/>
                      <w:highlight w:val="none"/>
                    </w:rPr>
                    <w:t>拟采取的处置措施</w:t>
                  </w:r>
                </w:p>
              </w:tc>
            </w:tr>
            <w:tr w14:paraId="7B38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8" w:hRule="atLeast"/>
              </w:trPr>
              <w:tc>
                <w:tcPr>
                  <w:tcW w:w="428" w:type="dxa"/>
                  <w:vAlign w:val="center"/>
                </w:tcPr>
                <w:p w14:paraId="4B632CD3">
                  <w:pPr>
                    <w:adjustRightInd w:val="0"/>
                    <w:snapToGrid w:val="0"/>
                    <w:jc w:val="center"/>
                    <w:rPr>
                      <w:color w:val="auto"/>
                      <w:kern w:val="24"/>
                      <w:szCs w:val="21"/>
                      <w:highlight w:val="none"/>
                    </w:rPr>
                  </w:pPr>
                  <w:r>
                    <w:rPr>
                      <w:color w:val="auto"/>
                      <w:kern w:val="24"/>
                      <w:szCs w:val="21"/>
                      <w:highlight w:val="none"/>
                    </w:rPr>
                    <w:t>1</w:t>
                  </w:r>
                </w:p>
              </w:tc>
              <w:tc>
                <w:tcPr>
                  <w:tcW w:w="567" w:type="dxa"/>
                  <w:vAlign w:val="center"/>
                </w:tcPr>
                <w:p w14:paraId="4C082E72">
                  <w:pPr>
                    <w:adjustRightInd w:val="0"/>
                    <w:snapToGrid w:val="0"/>
                    <w:jc w:val="center"/>
                    <w:rPr>
                      <w:color w:val="auto"/>
                      <w:kern w:val="24"/>
                      <w:szCs w:val="21"/>
                      <w:highlight w:val="none"/>
                    </w:rPr>
                  </w:pPr>
                  <w:r>
                    <w:rPr>
                      <w:rFonts w:hint="eastAsia"/>
                      <w:color w:val="auto"/>
                      <w:kern w:val="24"/>
                      <w:szCs w:val="21"/>
                      <w:highlight w:val="none"/>
                      <w:lang w:eastAsia="zh-CN"/>
                    </w:rPr>
                    <w:t>蒸汽发生器</w:t>
                  </w:r>
                  <w:r>
                    <w:rPr>
                      <w:rFonts w:hint="eastAsia"/>
                      <w:color w:val="auto"/>
                      <w:kern w:val="24"/>
                      <w:szCs w:val="21"/>
                      <w:highlight w:val="none"/>
                    </w:rPr>
                    <w:t>炉渣</w:t>
                  </w:r>
                </w:p>
              </w:tc>
              <w:tc>
                <w:tcPr>
                  <w:tcW w:w="639" w:type="dxa"/>
                  <w:vAlign w:val="center"/>
                </w:tcPr>
                <w:p w14:paraId="2CBBBE20">
                  <w:pPr>
                    <w:adjustRightInd w:val="0"/>
                    <w:snapToGrid w:val="0"/>
                    <w:jc w:val="center"/>
                    <w:rPr>
                      <w:rFonts w:hint="eastAsia" w:eastAsia="宋体"/>
                      <w:color w:val="auto"/>
                      <w:kern w:val="24"/>
                      <w:szCs w:val="21"/>
                      <w:highlight w:val="none"/>
                      <w:lang w:eastAsia="zh-CN"/>
                    </w:rPr>
                  </w:pPr>
                  <w:r>
                    <w:rPr>
                      <w:rFonts w:hint="eastAsia"/>
                      <w:color w:val="auto"/>
                      <w:kern w:val="24"/>
                      <w:szCs w:val="21"/>
                      <w:highlight w:val="none"/>
                      <w:lang w:eastAsia="zh-CN"/>
                    </w:rPr>
                    <w:t>蒸汽发生器</w:t>
                  </w:r>
                </w:p>
              </w:tc>
              <w:tc>
                <w:tcPr>
                  <w:tcW w:w="544" w:type="dxa"/>
                  <w:vAlign w:val="center"/>
                </w:tcPr>
                <w:p w14:paraId="1C9C18C0">
                  <w:pPr>
                    <w:adjustRightInd w:val="0"/>
                    <w:snapToGrid w:val="0"/>
                    <w:jc w:val="center"/>
                    <w:rPr>
                      <w:color w:val="auto"/>
                      <w:kern w:val="24"/>
                      <w:szCs w:val="21"/>
                      <w:highlight w:val="none"/>
                    </w:rPr>
                  </w:pPr>
                  <w:r>
                    <w:rPr>
                      <w:color w:val="auto"/>
                      <w:kern w:val="24"/>
                      <w:szCs w:val="21"/>
                      <w:highlight w:val="none"/>
                    </w:rPr>
                    <w:t>一般固废</w:t>
                  </w:r>
                </w:p>
              </w:tc>
              <w:tc>
                <w:tcPr>
                  <w:tcW w:w="627" w:type="dxa"/>
                  <w:vAlign w:val="center"/>
                </w:tcPr>
                <w:p w14:paraId="1B6EC38A">
                  <w:pPr>
                    <w:adjustRightInd w:val="0"/>
                    <w:snapToGrid w:val="0"/>
                    <w:jc w:val="center"/>
                    <w:rPr>
                      <w:color w:val="auto"/>
                      <w:kern w:val="24"/>
                      <w:szCs w:val="21"/>
                      <w:highlight w:val="none"/>
                    </w:rPr>
                  </w:pPr>
                  <w:r>
                    <w:rPr>
                      <w:rFonts w:hint="eastAsia"/>
                      <w:color w:val="auto"/>
                      <w:kern w:val="24"/>
                      <w:szCs w:val="21"/>
                      <w:highlight w:val="none"/>
                    </w:rPr>
                    <w:t>草木灰等</w:t>
                  </w:r>
                </w:p>
              </w:tc>
              <w:tc>
                <w:tcPr>
                  <w:tcW w:w="851" w:type="dxa"/>
                  <w:vAlign w:val="center"/>
                </w:tcPr>
                <w:p w14:paraId="23061D51">
                  <w:pPr>
                    <w:adjustRightInd w:val="0"/>
                    <w:snapToGrid w:val="0"/>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5.96</w:t>
                  </w:r>
                </w:p>
              </w:tc>
              <w:tc>
                <w:tcPr>
                  <w:tcW w:w="917" w:type="dxa"/>
                  <w:vMerge w:val="restart"/>
                  <w:vAlign w:val="center"/>
                </w:tcPr>
                <w:p w14:paraId="2F9DE58A">
                  <w:pPr>
                    <w:adjustRightInd w:val="0"/>
                    <w:snapToGrid w:val="0"/>
                    <w:jc w:val="center"/>
                    <w:rPr>
                      <w:color w:val="auto"/>
                      <w:kern w:val="24"/>
                      <w:szCs w:val="21"/>
                      <w:highlight w:val="none"/>
                    </w:rPr>
                  </w:pPr>
                  <w:r>
                    <w:rPr>
                      <w:rFonts w:hint="eastAsia"/>
                      <w:color w:val="auto"/>
                      <w:kern w:val="24"/>
                      <w:szCs w:val="21"/>
                      <w:highlight w:val="none"/>
                    </w:rPr>
                    <w:t>对照《国家危险废物名录》（202</w:t>
                  </w:r>
                  <w:r>
                    <w:rPr>
                      <w:rFonts w:hint="eastAsia"/>
                      <w:color w:val="auto"/>
                      <w:kern w:val="24"/>
                      <w:szCs w:val="21"/>
                      <w:highlight w:val="none"/>
                      <w:lang w:val="en-US" w:eastAsia="zh-CN"/>
                    </w:rPr>
                    <w:t>5</w:t>
                  </w:r>
                  <w:r>
                    <w:rPr>
                      <w:rFonts w:hint="eastAsia"/>
                      <w:color w:val="auto"/>
                      <w:kern w:val="24"/>
                      <w:szCs w:val="21"/>
                      <w:highlight w:val="none"/>
                    </w:rPr>
                    <w:t>版）进行鉴别，不需要进一步开展危险物质特性鉴别</w:t>
                  </w:r>
                </w:p>
              </w:tc>
              <w:tc>
                <w:tcPr>
                  <w:tcW w:w="870" w:type="dxa"/>
                  <w:vAlign w:val="center"/>
                </w:tcPr>
                <w:p w14:paraId="534E131D">
                  <w:pPr>
                    <w:adjustRightInd w:val="0"/>
                    <w:snapToGrid w:val="0"/>
                    <w:jc w:val="center"/>
                    <w:rPr>
                      <w:color w:val="auto"/>
                      <w:kern w:val="24"/>
                      <w:szCs w:val="21"/>
                      <w:highlight w:val="none"/>
                    </w:rPr>
                  </w:pPr>
                  <w:r>
                    <w:rPr>
                      <w:rFonts w:hint="eastAsia"/>
                      <w:color w:val="auto"/>
                      <w:kern w:val="24"/>
                      <w:szCs w:val="21"/>
                      <w:highlight w:val="none"/>
                    </w:rPr>
                    <w:t>/</w:t>
                  </w:r>
                </w:p>
              </w:tc>
              <w:tc>
                <w:tcPr>
                  <w:tcW w:w="907" w:type="dxa"/>
                  <w:vAlign w:val="center"/>
                </w:tcPr>
                <w:p w14:paraId="48C9EFFC">
                  <w:pPr>
                    <w:adjustRightInd w:val="0"/>
                    <w:snapToGrid w:val="0"/>
                    <w:jc w:val="center"/>
                    <w:rPr>
                      <w:color w:val="auto"/>
                      <w:kern w:val="24"/>
                      <w:szCs w:val="21"/>
                      <w:highlight w:val="none"/>
                    </w:rPr>
                  </w:pPr>
                  <w:r>
                    <w:rPr>
                      <w:rFonts w:hint="eastAsia"/>
                      <w:color w:val="auto"/>
                      <w:kern w:val="24"/>
                      <w:szCs w:val="21"/>
                      <w:highlight w:val="none"/>
                    </w:rPr>
                    <w:t>/</w:t>
                  </w:r>
                </w:p>
              </w:tc>
              <w:tc>
                <w:tcPr>
                  <w:tcW w:w="1202" w:type="dxa"/>
                  <w:vAlign w:val="center"/>
                </w:tcPr>
                <w:p w14:paraId="6F84E338">
                  <w:pPr>
                    <w:adjustRightInd w:val="0"/>
                    <w:snapToGrid w:val="0"/>
                    <w:jc w:val="center"/>
                    <w:rPr>
                      <w:color w:val="auto"/>
                      <w:kern w:val="24"/>
                      <w:szCs w:val="21"/>
                      <w:highlight w:val="none"/>
                    </w:rPr>
                  </w:pPr>
                  <w:r>
                    <w:rPr>
                      <w:rFonts w:hint="eastAsia"/>
                      <w:color w:val="auto"/>
                      <w:kern w:val="24"/>
                      <w:szCs w:val="21"/>
                      <w:highlight w:val="none"/>
                    </w:rPr>
                    <w:t>/</w:t>
                  </w:r>
                </w:p>
              </w:tc>
              <w:tc>
                <w:tcPr>
                  <w:tcW w:w="864" w:type="dxa"/>
                  <w:vMerge w:val="restart"/>
                  <w:vAlign w:val="center"/>
                </w:tcPr>
                <w:p w14:paraId="141DF230">
                  <w:pPr>
                    <w:adjustRightInd w:val="0"/>
                    <w:snapToGrid w:val="0"/>
                    <w:jc w:val="center"/>
                    <w:rPr>
                      <w:color w:val="auto"/>
                      <w:kern w:val="24"/>
                      <w:szCs w:val="21"/>
                      <w:highlight w:val="none"/>
                    </w:rPr>
                  </w:pPr>
                  <w:r>
                    <w:rPr>
                      <w:rFonts w:hint="eastAsia"/>
                      <w:color w:val="auto"/>
                      <w:kern w:val="24"/>
                      <w:szCs w:val="21"/>
                      <w:highlight w:val="none"/>
                      <w:lang w:val="en-US" w:eastAsia="zh-CN"/>
                    </w:rPr>
                    <w:t>暂存于灰渣暂存区，日产日清，运至红塔区志程肥料加工厂用于有机肥料生产原料使用</w:t>
                  </w:r>
                </w:p>
              </w:tc>
            </w:tr>
            <w:tr w14:paraId="2356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8" w:hRule="atLeast"/>
              </w:trPr>
              <w:tc>
                <w:tcPr>
                  <w:tcW w:w="428" w:type="dxa"/>
                  <w:vAlign w:val="center"/>
                </w:tcPr>
                <w:p w14:paraId="29510D28">
                  <w:pPr>
                    <w:adjustRightInd w:val="0"/>
                    <w:snapToGrid w:val="0"/>
                    <w:jc w:val="center"/>
                    <w:rPr>
                      <w:color w:val="auto"/>
                      <w:kern w:val="24"/>
                      <w:szCs w:val="21"/>
                      <w:highlight w:val="none"/>
                    </w:rPr>
                  </w:pPr>
                  <w:r>
                    <w:rPr>
                      <w:color w:val="auto"/>
                      <w:kern w:val="24"/>
                      <w:szCs w:val="21"/>
                      <w:highlight w:val="none"/>
                    </w:rPr>
                    <w:t>2</w:t>
                  </w:r>
                </w:p>
              </w:tc>
              <w:tc>
                <w:tcPr>
                  <w:tcW w:w="567" w:type="dxa"/>
                  <w:vAlign w:val="center"/>
                </w:tcPr>
                <w:p w14:paraId="12EC47B7">
                  <w:pPr>
                    <w:adjustRightInd w:val="0"/>
                    <w:snapToGrid w:val="0"/>
                    <w:jc w:val="center"/>
                    <w:rPr>
                      <w:color w:val="auto"/>
                      <w:kern w:val="24"/>
                      <w:szCs w:val="21"/>
                      <w:highlight w:val="none"/>
                    </w:rPr>
                  </w:pPr>
                  <w:r>
                    <w:rPr>
                      <w:rFonts w:hint="eastAsia"/>
                      <w:color w:val="auto"/>
                      <w:kern w:val="24"/>
                      <w:szCs w:val="21"/>
                      <w:highlight w:val="none"/>
                    </w:rPr>
                    <w:t>除尘灰</w:t>
                  </w:r>
                </w:p>
              </w:tc>
              <w:tc>
                <w:tcPr>
                  <w:tcW w:w="639" w:type="dxa"/>
                  <w:vAlign w:val="center"/>
                </w:tcPr>
                <w:p w14:paraId="679C0FB9">
                  <w:pPr>
                    <w:adjustRightInd w:val="0"/>
                    <w:snapToGrid w:val="0"/>
                    <w:jc w:val="center"/>
                    <w:rPr>
                      <w:color w:val="auto"/>
                      <w:kern w:val="24"/>
                      <w:szCs w:val="21"/>
                      <w:highlight w:val="none"/>
                    </w:rPr>
                  </w:pPr>
                  <w:r>
                    <w:rPr>
                      <w:rFonts w:hint="eastAsia"/>
                      <w:color w:val="auto"/>
                      <w:kern w:val="24"/>
                      <w:szCs w:val="21"/>
                      <w:highlight w:val="none"/>
                      <w:lang w:eastAsia="zh-CN"/>
                    </w:rPr>
                    <w:t>锅炉房</w:t>
                  </w:r>
                </w:p>
              </w:tc>
              <w:tc>
                <w:tcPr>
                  <w:tcW w:w="544" w:type="dxa"/>
                  <w:vAlign w:val="center"/>
                </w:tcPr>
                <w:p w14:paraId="17142D90">
                  <w:pPr>
                    <w:adjustRightInd w:val="0"/>
                    <w:snapToGrid w:val="0"/>
                    <w:jc w:val="center"/>
                    <w:rPr>
                      <w:color w:val="auto"/>
                      <w:kern w:val="24"/>
                      <w:szCs w:val="21"/>
                      <w:highlight w:val="none"/>
                    </w:rPr>
                  </w:pPr>
                  <w:r>
                    <w:rPr>
                      <w:color w:val="auto"/>
                      <w:kern w:val="24"/>
                      <w:szCs w:val="21"/>
                      <w:highlight w:val="none"/>
                    </w:rPr>
                    <w:t>一般固废</w:t>
                  </w:r>
                </w:p>
              </w:tc>
              <w:tc>
                <w:tcPr>
                  <w:tcW w:w="627" w:type="dxa"/>
                  <w:vAlign w:val="center"/>
                </w:tcPr>
                <w:p w14:paraId="056C833F">
                  <w:pPr>
                    <w:adjustRightInd w:val="0"/>
                    <w:snapToGrid w:val="0"/>
                    <w:jc w:val="center"/>
                    <w:rPr>
                      <w:color w:val="auto"/>
                      <w:kern w:val="24"/>
                      <w:szCs w:val="21"/>
                      <w:highlight w:val="none"/>
                    </w:rPr>
                  </w:pPr>
                  <w:r>
                    <w:rPr>
                      <w:rFonts w:hint="eastAsia"/>
                      <w:color w:val="auto"/>
                      <w:kern w:val="24"/>
                      <w:szCs w:val="21"/>
                      <w:highlight w:val="none"/>
                    </w:rPr>
                    <w:t>草木灰等</w:t>
                  </w:r>
                </w:p>
              </w:tc>
              <w:tc>
                <w:tcPr>
                  <w:tcW w:w="851" w:type="dxa"/>
                  <w:vAlign w:val="center"/>
                </w:tcPr>
                <w:p w14:paraId="4FCA92A1">
                  <w:pPr>
                    <w:adjustRightInd w:val="0"/>
                    <w:snapToGrid w:val="0"/>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48.51</w:t>
                  </w:r>
                </w:p>
              </w:tc>
              <w:tc>
                <w:tcPr>
                  <w:tcW w:w="917" w:type="dxa"/>
                  <w:vMerge w:val="continue"/>
                  <w:vAlign w:val="center"/>
                </w:tcPr>
                <w:p w14:paraId="66E342B3">
                  <w:pPr>
                    <w:adjustRightInd w:val="0"/>
                    <w:snapToGrid w:val="0"/>
                    <w:jc w:val="center"/>
                    <w:rPr>
                      <w:color w:val="auto"/>
                      <w:kern w:val="24"/>
                      <w:szCs w:val="21"/>
                      <w:highlight w:val="none"/>
                    </w:rPr>
                  </w:pPr>
                </w:p>
              </w:tc>
              <w:tc>
                <w:tcPr>
                  <w:tcW w:w="870" w:type="dxa"/>
                  <w:vAlign w:val="center"/>
                </w:tcPr>
                <w:p w14:paraId="69182642">
                  <w:pPr>
                    <w:adjustRightInd w:val="0"/>
                    <w:snapToGrid w:val="0"/>
                    <w:jc w:val="center"/>
                    <w:rPr>
                      <w:color w:val="auto"/>
                      <w:kern w:val="24"/>
                      <w:szCs w:val="21"/>
                      <w:highlight w:val="none"/>
                    </w:rPr>
                  </w:pPr>
                  <w:r>
                    <w:rPr>
                      <w:rFonts w:hint="eastAsia"/>
                      <w:color w:val="auto"/>
                      <w:kern w:val="24"/>
                      <w:szCs w:val="21"/>
                      <w:highlight w:val="none"/>
                    </w:rPr>
                    <w:t>/</w:t>
                  </w:r>
                </w:p>
              </w:tc>
              <w:tc>
                <w:tcPr>
                  <w:tcW w:w="907" w:type="dxa"/>
                  <w:vAlign w:val="center"/>
                </w:tcPr>
                <w:p w14:paraId="4EF6CC77">
                  <w:pPr>
                    <w:adjustRightInd w:val="0"/>
                    <w:snapToGrid w:val="0"/>
                    <w:jc w:val="center"/>
                    <w:rPr>
                      <w:color w:val="auto"/>
                      <w:kern w:val="24"/>
                      <w:szCs w:val="21"/>
                      <w:highlight w:val="none"/>
                    </w:rPr>
                  </w:pPr>
                  <w:r>
                    <w:rPr>
                      <w:rFonts w:hint="eastAsia"/>
                      <w:color w:val="auto"/>
                      <w:kern w:val="24"/>
                      <w:szCs w:val="21"/>
                      <w:highlight w:val="none"/>
                    </w:rPr>
                    <w:t>/</w:t>
                  </w:r>
                </w:p>
              </w:tc>
              <w:tc>
                <w:tcPr>
                  <w:tcW w:w="1202" w:type="dxa"/>
                  <w:vAlign w:val="center"/>
                </w:tcPr>
                <w:p w14:paraId="208665AA">
                  <w:pPr>
                    <w:adjustRightInd w:val="0"/>
                    <w:snapToGrid w:val="0"/>
                    <w:jc w:val="center"/>
                    <w:rPr>
                      <w:color w:val="auto"/>
                      <w:kern w:val="24"/>
                      <w:szCs w:val="21"/>
                      <w:highlight w:val="none"/>
                    </w:rPr>
                  </w:pPr>
                  <w:r>
                    <w:rPr>
                      <w:rFonts w:hint="eastAsia"/>
                      <w:color w:val="auto"/>
                      <w:kern w:val="24"/>
                      <w:szCs w:val="21"/>
                      <w:highlight w:val="none"/>
                    </w:rPr>
                    <w:t>/</w:t>
                  </w:r>
                </w:p>
              </w:tc>
              <w:tc>
                <w:tcPr>
                  <w:tcW w:w="864" w:type="dxa"/>
                  <w:vMerge w:val="continue"/>
                  <w:vAlign w:val="center"/>
                </w:tcPr>
                <w:p w14:paraId="4A819B01">
                  <w:pPr>
                    <w:adjustRightInd w:val="0"/>
                    <w:snapToGrid w:val="0"/>
                    <w:jc w:val="center"/>
                    <w:rPr>
                      <w:color w:val="auto"/>
                      <w:kern w:val="24"/>
                      <w:szCs w:val="21"/>
                      <w:highlight w:val="none"/>
                    </w:rPr>
                  </w:pPr>
                </w:p>
              </w:tc>
            </w:tr>
            <w:tr w14:paraId="7613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 w:hRule="atLeast"/>
              </w:trPr>
              <w:tc>
                <w:tcPr>
                  <w:tcW w:w="428" w:type="dxa"/>
                  <w:vAlign w:val="center"/>
                </w:tcPr>
                <w:p w14:paraId="51AE6F53">
                  <w:pPr>
                    <w:adjustRightInd w:val="0"/>
                    <w:snapToGrid w:val="0"/>
                    <w:jc w:val="center"/>
                    <w:rPr>
                      <w:color w:val="auto"/>
                      <w:kern w:val="24"/>
                      <w:szCs w:val="21"/>
                      <w:highlight w:val="none"/>
                    </w:rPr>
                  </w:pPr>
                  <w:r>
                    <w:rPr>
                      <w:color w:val="auto"/>
                      <w:kern w:val="24"/>
                      <w:szCs w:val="21"/>
                      <w:highlight w:val="none"/>
                    </w:rPr>
                    <w:t>3</w:t>
                  </w:r>
                </w:p>
              </w:tc>
              <w:tc>
                <w:tcPr>
                  <w:tcW w:w="567" w:type="dxa"/>
                  <w:vAlign w:val="center"/>
                </w:tcPr>
                <w:p w14:paraId="2D8CA39D">
                  <w:pPr>
                    <w:adjustRightInd w:val="0"/>
                    <w:snapToGrid w:val="0"/>
                    <w:jc w:val="center"/>
                    <w:rPr>
                      <w:color w:val="auto"/>
                      <w:kern w:val="24"/>
                      <w:szCs w:val="21"/>
                      <w:highlight w:val="none"/>
                    </w:rPr>
                  </w:pPr>
                  <w:r>
                    <w:rPr>
                      <w:rFonts w:hint="eastAsia"/>
                      <w:color w:val="auto"/>
                      <w:kern w:val="24"/>
                      <w:szCs w:val="21"/>
                      <w:highlight w:val="none"/>
                    </w:rPr>
                    <w:t>废树脂</w:t>
                  </w:r>
                </w:p>
              </w:tc>
              <w:tc>
                <w:tcPr>
                  <w:tcW w:w="639" w:type="dxa"/>
                  <w:vAlign w:val="center"/>
                </w:tcPr>
                <w:p w14:paraId="5A882148">
                  <w:pPr>
                    <w:adjustRightInd w:val="0"/>
                    <w:snapToGrid w:val="0"/>
                    <w:jc w:val="center"/>
                    <w:rPr>
                      <w:color w:val="auto"/>
                      <w:kern w:val="24"/>
                      <w:szCs w:val="21"/>
                      <w:highlight w:val="none"/>
                    </w:rPr>
                  </w:pPr>
                  <w:r>
                    <w:rPr>
                      <w:rFonts w:hint="eastAsia"/>
                      <w:color w:val="auto"/>
                      <w:kern w:val="24"/>
                      <w:szCs w:val="21"/>
                      <w:highlight w:val="none"/>
                    </w:rPr>
                    <w:t>软水制备</w:t>
                  </w:r>
                </w:p>
              </w:tc>
              <w:tc>
                <w:tcPr>
                  <w:tcW w:w="544" w:type="dxa"/>
                  <w:vAlign w:val="center"/>
                </w:tcPr>
                <w:p w14:paraId="0AF6F0BB">
                  <w:pPr>
                    <w:adjustRightInd w:val="0"/>
                    <w:snapToGrid w:val="0"/>
                    <w:jc w:val="center"/>
                    <w:rPr>
                      <w:color w:val="auto"/>
                      <w:kern w:val="24"/>
                      <w:szCs w:val="21"/>
                      <w:highlight w:val="none"/>
                    </w:rPr>
                  </w:pPr>
                  <w:r>
                    <w:rPr>
                      <w:color w:val="auto"/>
                      <w:kern w:val="24"/>
                      <w:szCs w:val="21"/>
                      <w:highlight w:val="none"/>
                    </w:rPr>
                    <w:t>一般固废</w:t>
                  </w:r>
                </w:p>
              </w:tc>
              <w:tc>
                <w:tcPr>
                  <w:tcW w:w="627" w:type="dxa"/>
                  <w:vAlign w:val="center"/>
                </w:tcPr>
                <w:p w14:paraId="7AE23660">
                  <w:pPr>
                    <w:adjustRightInd w:val="0"/>
                    <w:snapToGrid w:val="0"/>
                    <w:jc w:val="center"/>
                    <w:rPr>
                      <w:color w:val="auto"/>
                      <w:kern w:val="24"/>
                      <w:szCs w:val="21"/>
                      <w:highlight w:val="none"/>
                    </w:rPr>
                  </w:pPr>
                  <w:r>
                    <w:rPr>
                      <w:rFonts w:hint="eastAsia"/>
                      <w:color w:val="auto"/>
                      <w:kern w:val="24"/>
                      <w:szCs w:val="21"/>
                      <w:highlight w:val="none"/>
                    </w:rPr>
                    <w:t>树脂</w:t>
                  </w:r>
                </w:p>
              </w:tc>
              <w:tc>
                <w:tcPr>
                  <w:tcW w:w="851" w:type="dxa"/>
                  <w:vAlign w:val="center"/>
                </w:tcPr>
                <w:p w14:paraId="2208F1DB">
                  <w:pPr>
                    <w:adjustRightInd w:val="0"/>
                    <w:snapToGrid w:val="0"/>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0.1</w:t>
                  </w:r>
                </w:p>
              </w:tc>
              <w:tc>
                <w:tcPr>
                  <w:tcW w:w="917" w:type="dxa"/>
                  <w:vMerge w:val="continue"/>
                  <w:vAlign w:val="center"/>
                </w:tcPr>
                <w:p w14:paraId="35806DF9">
                  <w:pPr>
                    <w:adjustRightInd w:val="0"/>
                    <w:snapToGrid w:val="0"/>
                    <w:jc w:val="center"/>
                    <w:rPr>
                      <w:color w:val="auto"/>
                      <w:kern w:val="24"/>
                      <w:szCs w:val="21"/>
                      <w:highlight w:val="none"/>
                    </w:rPr>
                  </w:pPr>
                </w:p>
              </w:tc>
              <w:tc>
                <w:tcPr>
                  <w:tcW w:w="870" w:type="dxa"/>
                  <w:vAlign w:val="center"/>
                </w:tcPr>
                <w:p w14:paraId="43114FF8">
                  <w:pPr>
                    <w:adjustRightInd w:val="0"/>
                    <w:snapToGrid w:val="0"/>
                    <w:jc w:val="center"/>
                    <w:rPr>
                      <w:color w:val="auto"/>
                      <w:kern w:val="24"/>
                      <w:szCs w:val="21"/>
                      <w:highlight w:val="none"/>
                    </w:rPr>
                  </w:pPr>
                  <w:r>
                    <w:rPr>
                      <w:rFonts w:hint="eastAsia"/>
                      <w:color w:val="auto"/>
                      <w:kern w:val="24"/>
                      <w:szCs w:val="21"/>
                      <w:highlight w:val="none"/>
                    </w:rPr>
                    <w:t>/</w:t>
                  </w:r>
                </w:p>
              </w:tc>
              <w:tc>
                <w:tcPr>
                  <w:tcW w:w="907" w:type="dxa"/>
                  <w:vAlign w:val="center"/>
                </w:tcPr>
                <w:p w14:paraId="3161E78C">
                  <w:pPr>
                    <w:adjustRightInd w:val="0"/>
                    <w:snapToGrid w:val="0"/>
                    <w:jc w:val="center"/>
                    <w:rPr>
                      <w:color w:val="auto"/>
                      <w:kern w:val="24"/>
                      <w:szCs w:val="21"/>
                      <w:highlight w:val="none"/>
                    </w:rPr>
                  </w:pPr>
                  <w:r>
                    <w:rPr>
                      <w:rFonts w:hint="eastAsia"/>
                      <w:color w:val="auto"/>
                      <w:kern w:val="24"/>
                      <w:szCs w:val="21"/>
                      <w:highlight w:val="none"/>
                    </w:rPr>
                    <w:t>/</w:t>
                  </w:r>
                </w:p>
              </w:tc>
              <w:tc>
                <w:tcPr>
                  <w:tcW w:w="1202" w:type="dxa"/>
                  <w:vAlign w:val="center"/>
                </w:tcPr>
                <w:p w14:paraId="2781D5C8">
                  <w:pPr>
                    <w:adjustRightInd w:val="0"/>
                    <w:snapToGrid w:val="0"/>
                    <w:jc w:val="center"/>
                    <w:rPr>
                      <w:color w:val="auto"/>
                      <w:kern w:val="24"/>
                      <w:szCs w:val="21"/>
                      <w:highlight w:val="none"/>
                    </w:rPr>
                  </w:pPr>
                  <w:r>
                    <w:rPr>
                      <w:rFonts w:hint="eastAsia"/>
                      <w:color w:val="auto"/>
                      <w:kern w:val="24"/>
                      <w:szCs w:val="21"/>
                      <w:highlight w:val="none"/>
                    </w:rPr>
                    <w:t>/</w:t>
                  </w:r>
                </w:p>
              </w:tc>
              <w:tc>
                <w:tcPr>
                  <w:tcW w:w="864" w:type="dxa"/>
                  <w:vAlign w:val="center"/>
                </w:tcPr>
                <w:p w14:paraId="59E5A15F">
                  <w:pPr>
                    <w:adjustRightInd w:val="0"/>
                    <w:snapToGrid w:val="0"/>
                    <w:jc w:val="center"/>
                    <w:rPr>
                      <w:color w:val="auto"/>
                      <w:kern w:val="24"/>
                      <w:szCs w:val="21"/>
                      <w:highlight w:val="none"/>
                    </w:rPr>
                  </w:pPr>
                  <w:r>
                    <w:rPr>
                      <w:rFonts w:hint="eastAsia"/>
                      <w:color w:val="auto"/>
                      <w:kern w:val="24"/>
                      <w:szCs w:val="21"/>
                      <w:highlight w:val="none"/>
                    </w:rPr>
                    <w:t>由设备方统一回收</w:t>
                  </w:r>
                </w:p>
              </w:tc>
            </w:tr>
            <w:tr w14:paraId="723E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 w:hRule="atLeast"/>
              </w:trPr>
              <w:tc>
                <w:tcPr>
                  <w:tcW w:w="428" w:type="dxa"/>
                  <w:vAlign w:val="center"/>
                </w:tcPr>
                <w:p w14:paraId="53CE0BEF">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4</w:t>
                  </w:r>
                </w:p>
              </w:tc>
              <w:tc>
                <w:tcPr>
                  <w:tcW w:w="567" w:type="dxa"/>
                  <w:vAlign w:val="center"/>
                </w:tcPr>
                <w:p w14:paraId="2EEDCBF4">
                  <w:pPr>
                    <w:adjustRightInd w:val="0"/>
                    <w:snapToGrid w:val="0"/>
                    <w:jc w:val="center"/>
                    <w:rPr>
                      <w:rFonts w:hint="eastAsia"/>
                      <w:color w:val="auto"/>
                      <w:kern w:val="24"/>
                      <w:szCs w:val="21"/>
                      <w:highlight w:val="none"/>
                    </w:rPr>
                  </w:pPr>
                  <w:r>
                    <w:rPr>
                      <w:rFonts w:hint="eastAsia"/>
                      <w:color w:val="auto"/>
                      <w:kern w:val="24"/>
                      <w:sz w:val="24"/>
                      <w:highlight w:val="none"/>
                    </w:rPr>
                    <w:t>絮凝沉淀池沉渣</w:t>
                  </w:r>
                </w:p>
              </w:tc>
              <w:tc>
                <w:tcPr>
                  <w:tcW w:w="639" w:type="dxa"/>
                  <w:vAlign w:val="center"/>
                </w:tcPr>
                <w:p w14:paraId="1290FA2E">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絮凝沉淀</w:t>
                  </w:r>
                </w:p>
              </w:tc>
              <w:tc>
                <w:tcPr>
                  <w:tcW w:w="544" w:type="dxa"/>
                  <w:shd w:val="clear" w:color="auto" w:fill="auto"/>
                  <w:vAlign w:val="center"/>
                </w:tcPr>
                <w:p w14:paraId="5236EE8E">
                  <w:pPr>
                    <w:adjustRightInd w:val="0"/>
                    <w:snapToGrid w:val="0"/>
                    <w:jc w:val="center"/>
                    <w:rPr>
                      <w:rFonts w:ascii="Times New Roman" w:hAnsi="Times New Roman" w:eastAsia="宋体" w:cs="Times New Roman"/>
                      <w:color w:val="auto"/>
                      <w:kern w:val="24"/>
                      <w:sz w:val="21"/>
                      <w:szCs w:val="21"/>
                      <w:highlight w:val="none"/>
                      <w:lang w:val="en-US" w:eastAsia="zh-CN" w:bidi="ar-SA"/>
                    </w:rPr>
                  </w:pPr>
                  <w:r>
                    <w:rPr>
                      <w:color w:val="auto"/>
                      <w:kern w:val="24"/>
                      <w:szCs w:val="21"/>
                      <w:highlight w:val="none"/>
                    </w:rPr>
                    <w:t>一般固废</w:t>
                  </w:r>
                </w:p>
              </w:tc>
              <w:tc>
                <w:tcPr>
                  <w:tcW w:w="627" w:type="dxa"/>
                  <w:vAlign w:val="center"/>
                </w:tcPr>
                <w:p w14:paraId="0D77A69F">
                  <w:pPr>
                    <w:adjustRightInd w:val="0"/>
                    <w:snapToGrid w:val="0"/>
                    <w:jc w:val="center"/>
                    <w:rPr>
                      <w:rFonts w:hint="eastAsia"/>
                      <w:color w:val="auto"/>
                      <w:kern w:val="24"/>
                      <w:szCs w:val="21"/>
                      <w:highlight w:val="none"/>
                    </w:rPr>
                  </w:pPr>
                  <w:r>
                    <w:rPr>
                      <w:rFonts w:hint="eastAsia"/>
                      <w:color w:val="auto"/>
                      <w:kern w:val="24"/>
                      <w:szCs w:val="21"/>
                      <w:highlight w:val="none"/>
                    </w:rPr>
                    <w:t>沉渣</w:t>
                  </w:r>
                </w:p>
              </w:tc>
              <w:tc>
                <w:tcPr>
                  <w:tcW w:w="851" w:type="dxa"/>
                  <w:vAlign w:val="center"/>
                </w:tcPr>
                <w:p w14:paraId="6AE65007">
                  <w:pPr>
                    <w:adjustRightInd w:val="0"/>
                    <w:snapToGrid w:val="0"/>
                    <w:jc w:val="center"/>
                    <w:rPr>
                      <w:rFonts w:hint="default"/>
                      <w:color w:val="auto"/>
                      <w:kern w:val="24"/>
                      <w:szCs w:val="21"/>
                      <w:highlight w:val="none"/>
                      <w:lang w:val="en-US" w:eastAsia="zh-CN"/>
                    </w:rPr>
                  </w:pPr>
                  <w:r>
                    <w:rPr>
                      <w:rFonts w:hint="eastAsia"/>
                      <w:color w:val="auto"/>
                      <w:kern w:val="24"/>
                      <w:szCs w:val="21"/>
                      <w:highlight w:val="none"/>
                      <w:lang w:val="en-US" w:eastAsia="zh-CN"/>
                    </w:rPr>
                    <w:t>0.1</w:t>
                  </w:r>
                </w:p>
              </w:tc>
              <w:tc>
                <w:tcPr>
                  <w:tcW w:w="917" w:type="dxa"/>
                  <w:vMerge w:val="continue"/>
                  <w:vAlign w:val="center"/>
                </w:tcPr>
                <w:p w14:paraId="1458E189">
                  <w:pPr>
                    <w:adjustRightInd w:val="0"/>
                    <w:snapToGrid w:val="0"/>
                    <w:jc w:val="center"/>
                    <w:rPr>
                      <w:color w:val="auto"/>
                      <w:kern w:val="24"/>
                      <w:szCs w:val="21"/>
                      <w:highlight w:val="none"/>
                    </w:rPr>
                  </w:pPr>
                </w:p>
              </w:tc>
              <w:tc>
                <w:tcPr>
                  <w:tcW w:w="870" w:type="dxa"/>
                  <w:vAlign w:val="center"/>
                </w:tcPr>
                <w:p w14:paraId="16E73E95">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w:t>
                  </w:r>
                </w:p>
              </w:tc>
              <w:tc>
                <w:tcPr>
                  <w:tcW w:w="907" w:type="dxa"/>
                  <w:vAlign w:val="center"/>
                </w:tcPr>
                <w:p w14:paraId="5AC26FE3">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w:t>
                  </w:r>
                </w:p>
              </w:tc>
              <w:tc>
                <w:tcPr>
                  <w:tcW w:w="1202" w:type="dxa"/>
                  <w:vAlign w:val="center"/>
                </w:tcPr>
                <w:p w14:paraId="18E54D9C">
                  <w:pPr>
                    <w:adjustRightInd w:val="0"/>
                    <w:snapToGrid w:val="0"/>
                    <w:jc w:val="center"/>
                    <w:rPr>
                      <w:rFonts w:hint="eastAsia" w:eastAsia="宋体"/>
                      <w:color w:val="auto"/>
                      <w:kern w:val="24"/>
                      <w:szCs w:val="21"/>
                      <w:highlight w:val="none"/>
                      <w:lang w:val="en-US" w:eastAsia="zh-CN"/>
                    </w:rPr>
                  </w:pPr>
                  <w:r>
                    <w:rPr>
                      <w:rFonts w:hint="eastAsia"/>
                      <w:color w:val="auto"/>
                      <w:kern w:val="24"/>
                      <w:szCs w:val="21"/>
                      <w:highlight w:val="none"/>
                      <w:lang w:val="en-US" w:eastAsia="zh-CN"/>
                    </w:rPr>
                    <w:t>/</w:t>
                  </w:r>
                </w:p>
              </w:tc>
              <w:tc>
                <w:tcPr>
                  <w:tcW w:w="864" w:type="dxa"/>
                  <w:vAlign w:val="center"/>
                </w:tcPr>
                <w:p w14:paraId="0BB24318">
                  <w:pPr>
                    <w:adjustRightInd w:val="0"/>
                    <w:snapToGrid w:val="0"/>
                    <w:jc w:val="center"/>
                    <w:rPr>
                      <w:rFonts w:hint="eastAsia"/>
                      <w:color w:val="auto"/>
                      <w:kern w:val="24"/>
                      <w:szCs w:val="21"/>
                      <w:highlight w:val="none"/>
                    </w:rPr>
                  </w:pPr>
                  <w:bookmarkStart w:id="37" w:name="_Hlk161928326"/>
                  <w:r>
                    <w:rPr>
                      <w:rFonts w:hint="eastAsia"/>
                      <w:color w:val="auto"/>
                      <w:kern w:val="24"/>
                      <w:szCs w:val="21"/>
                      <w:highlight w:val="none"/>
                    </w:rPr>
                    <w:t>交由环卫部门定期清运处置</w:t>
                  </w:r>
                  <w:bookmarkEnd w:id="37"/>
                </w:p>
              </w:tc>
            </w:tr>
            <w:tr w14:paraId="0793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8" w:hRule="atLeast"/>
              </w:trPr>
              <w:tc>
                <w:tcPr>
                  <w:tcW w:w="428" w:type="dxa"/>
                  <w:vAlign w:val="center"/>
                </w:tcPr>
                <w:p w14:paraId="24DE2941">
                  <w:pPr>
                    <w:adjustRightInd w:val="0"/>
                    <w:snapToGrid w:val="0"/>
                    <w:jc w:val="center"/>
                    <w:rPr>
                      <w:rFonts w:hint="eastAsia" w:eastAsia="宋体"/>
                      <w:color w:val="auto"/>
                      <w:kern w:val="24"/>
                      <w:szCs w:val="21"/>
                      <w:highlight w:val="none"/>
                      <w:lang w:eastAsia="zh-CN"/>
                    </w:rPr>
                  </w:pPr>
                  <w:r>
                    <w:rPr>
                      <w:rFonts w:hint="eastAsia"/>
                      <w:color w:val="auto"/>
                      <w:kern w:val="24"/>
                      <w:szCs w:val="21"/>
                      <w:highlight w:val="none"/>
                      <w:lang w:val="en-US" w:eastAsia="zh-CN"/>
                    </w:rPr>
                    <w:t>5</w:t>
                  </w:r>
                </w:p>
              </w:tc>
              <w:tc>
                <w:tcPr>
                  <w:tcW w:w="567" w:type="dxa"/>
                  <w:vAlign w:val="center"/>
                </w:tcPr>
                <w:p w14:paraId="72F086FF">
                  <w:pPr>
                    <w:adjustRightInd w:val="0"/>
                    <w:snapToGrid w:val="0"/>
                    <w:jc w:val="center"/>
                    <w:rPr>
                      <w:color w:val="auto"/>
                      <w:kern w:val="24"/>
                      <w:szCs w:val="21"/>
                      <w:highlight w:val="none"/>
                    </w:rPr>
                  </w:pPr>
                  <w:r>
                    <w:rPr>
                      <w:color w:val="auto"/>
                      <w:kern w:val="24"/>
                      <w:szCs w:val="21"/>
                      <w:highlight w:val="none"/>
                    </w:rPr>
                    <w:t>生活垃圾</w:t>
                  </w:r>
                </w:p>
              </w:tc>
              <w:tc>
                <w:tcPr>
                  <w:tcW w:w="639" w:type="dxa"/>
                  <w:vAlign w:val="center"/>
                </w:tcPr>
                <w:p w14:paraId="6F0B5B74">
                  <w:pPr>
                    <w:adjustRightInd w:val="0"/>
                    <w:snapToGrid w:val="0"/>
                    <w:jc w:val="center"/>
                    <w:rPr>
                      <w:color w:val="auto"/>
                      <w:kern w:val="24"/>
                      <w:szCs w:val="21"/>
                      <w:highlight w:val="none"/>
                    </w:rPr>
                  </w:pPr>
                  <w:r>
                    <w:rPr>
                      <w:color w:val="auto"/>
                      <w:kern w:val="24"/>
                      <w:szCs w:val="21"/>
                      <w:highlight w:val="none"/>
                    </w:rPr>
                    <w:t>办公、生活</w:t>
                  </w:r>
                </w:p>
              </w:tc>
              <w:tc>
                <w:tcPr>
                  <w:tcW w:w="544" w:type="dxa"/>
                  <w:vAlign w:val="center"/>
                </w:tcPr>
                <w:p w14:paraId="0296E7E7">
                  <w:pPr>
                    <w:adjustRightInd w:val="0"/>
                    <w:snapToGrid w:val="0"/>
                    <w:jc w:val="center"/>
                    <w:rPr>
                      <w:color w:val="auto"/>
                      <w:kern w:val="24"/>
                      <w:szCs w:val="21"/>
                      <w:highlight w:val="none"/>
                    </w:rPr>
                  </w:pPr>
                  <w:r>
                    <w:rPr>
                      <w:color w:val="auto"/>
                      <w:kern w:val="24"/>
                      <w:szCs w:val="21"/>
                      <w:highlight w:val="none"/>
                    </w:rPr>
                    <w:t>一般固废</w:t>
                  </w:r>
                </w:p>
              </w:tc>
              <w:tc>
                <w:tcPr>
                  <w:tcW w:w="627" w:type="dxa"/>
                  <w:vAlign w:val="center"/>
                </w:tcPr>
                <w:p w14:paraId="14712810">
                  <w:pPr>
                    <w:adjustRightInd w:val="0"/>
                    <w:snapToGrid w:val="0"/>
                    <w:jc w:val="center"/>
                    <w:rPr>
                      <w:color w:val="auto"/>
                      <w:kern w:val="24"/>
                      <w:szCs w:val="21"/>
                      <w:highlight w:val="none"/>
                    </w:rPr>
                  </w:pPr>
                  <w:r>
                    <w:rPr>
                      <w:color w:val="auto"/>
                      <w:kern w:val="24"/>
                      <w:szCs w:val="21"/>
                      <w:highlight w:val="none"/>
                    </w:rPr>
                    <w:t>生活垃圾</w:t>
                  </w:r>
                </w:p>
              </w:tc>
              <w:tc>
                <w:tcPr>
                  <w:tcW w:w="851" w:type="dxa"/>
                  <w:vAlign w:val="center"/>
                </w:tcPr>
                <w:p w14:paraId="7AFD3750">
                  <w:pPr>
                    <w:adjustRightInd w:val="0"/>
                    <w:snapToGrid w:val="0"/>
                    <w:jc w:val="center"/>
                    <w:rPr>
                      <w:rFonts w:hint="default" w:eastAsia="宋体"/>
                      <w:color w:val="auto"/>
                      <w:kern w:val="24"/>
                      <w:szCs w:val="21"/>
                      <w:highlight w:val="none"/>
                      <w:lang w:val="en-US" w:eastAsia="zh-CN"/>
                    </w:rPr>
                  </w:pPr>
                  <w:r>
                    <w:rPr>
                      <w:rFonts w:hint="eastAsia"/>
                      <w:color w:val="auto"/>
                      <w:kern w:val="24"/>
                      <w:szCs w:val="21"/>
                      <w:highlight w:val="none"/>
                      <w:lang w:val="en-US" w:eastAsia="zh-CN"/>
                    </w:rPr>
                    <w:t>0.3</w:t>
                  </w:r>
                </w:p>
              </w:tc>
              <w:tc>
                <w:tcPr>
                  <w:tcW w:w="917" w:type="dxa"/>
                  <w:vMerge w:val="continue"/>
                  <w:vAlign w:val="center"/>
                </w:tcPr>
                <w:p w14:paraId="04BCED18">
                  <w:pPr>
                    <w:adjustRightInd w:val="0"/>
                    <w:snapToGrid w:val="0"/>
                    <w:jc w:val="center"/>
                    <w:rPr>
                      <w:color w:val="auto"/>
                      <w:kern w:val="24"/>
                      <w:szCs w:val="21"/>
                      <w:highlight w:val="none"/>
                    </w:rPr>
                  </w:pPr>
                </w:p>
              </w:tc>
              <w:tc>
                <w:tcPr>
                  <w:tcW w:w="870" w:type="dxa"/>
                  <w:vAlign w:val="center"/>
                </w:tcPr>
                <w:p w14:paraId="566B1545">
                  <w:pPr>
                    <w:adjustRightInd w:val="0"/>
                    <w:snapToGrid w:val="0"/>
                    <w:jc w:val="center"/>
                    <w:rPr>
                      <w:color w:val="auto"/>
                      <w:kern w:val="24"/>
                      <w:szCs w:val="21"/>
                      <w:highlight w:val="none"/>
                    </w:rPr>
                  </w:pPr>
                  <w:r>
                    <w:rPr>
                      <w:rFonts w:hint="eastAsia"/>
                      <w:color w:val="auto"/>
                      <w:kern w:val="24"/>
                      <w:szCs w:val="21"/>
                      <w:highlight w:val="none"/>
                    </w:rPr>
                    <w:t>/</w:t>
                  </w:r>
                </w:p>
              </w:tc>
              <w:tc>
                <w:tcPr>
                  <w:tcW w:w="907" w:type="dxa"/>
                  <w:vAlign w:val="center"/>
                </w:tcPr>
                <w:p w14:paraId="2E1092A6">
                  <w:pPr>
                    <w:adjustRightInd w:val="0"/>
                    <w:snapToGrid w:val="0"/>
                    <w:jc w:val="center"/>
                    <w:rPr>
                      <w:color w:val="auto"/>
                      <w:kern w:val="24"/>
                      <w:szCs w:val="21"/>
                      <w:highlight w:val="none"/>
                    </w:rPr>
                  </w:pPr>
                  <w:r>
                    <w:rPr>
                      <w:rFonts w:hint="eastAsia"/>
                      <w:color w:val="auto"/>
                      <w:kern w:val="24"/>
                      <w:szCs w:val="21"/>
                      <w:highlight w:val="none"/>
                    </w:rPr>
                    <w:t>/</w:t>
                  </w:r>
                </w:p>
              </w:tc>
              <w:tc>
                <w:tcPr>
                  <w:tcW w:w="1202" w:type="dxa"/>
                  <w:vAlign w:val="center"/>
                </w:tcPr>
                <w:p w14:paraId="25552C06">
                  <w:pPr>
                    <w:adjustRightInd w:val="0"/>
                    <w:snapToGrid w:val="0"/>
                    <w:jc w:val="center"/>
                    <w:rPr>
                      <w:color w:val="auto"/>
                      <w:kern w:val="24"/>
                      <w:szCs w:val="21"/>
                      <w:highlight w:val="none"/>
                    </w:rPr>
                  </w:pPr>
                  <w:r>
                    <w:rPr>
                      <w:rFonts w:hint="eastAsia"/>
                      <w:color w:val="auto"/>
                      <w:kern w:val="24"/>
                      <w:szCs w:val="21"/>
                      <w:highlight w:val="none"/>
                    </w:rPr>
                    <w:t>/</w:t>
                  </w:r>
                </w:p>
              </w:tc>
              <w:tc>
                <w:tcPr>
                  <w:tcW w:w="864" w:type="dxa"/>
                  <w:vAlign w:val="center"/>
                </w:tcPr>
                <w:p w14:paraId="5D9470A7">
                  <w:pPr>
                    <w:adjustRightInd w:val="0"/>
                    <w:snapToGrid w:val="0"/>
                    <w:jc w:val="center"/>
                    <w:rPr>
                      <w:color w:val="auto"/>
                      <w:kern w:val="24"/>
                      <w:szCs w:val="21"/>
                      <w:highlight w:val="none"/>
                    </w:rPr>
                  </w:pPr>
                  <w:r>
                    <w:rPr>
                      <w:rFonts w:hint="eastAsia"/>
                      <w:color w:val="auto"/>
                      <w:kern w:val="24"/>
                      <w:szCs w:val="21"/>
                      <w:highlight w:val="none"/>
                    </w:rPr>
                    <w:t>委托环卫部门清运处置</w:t>
                  </w:r>
                </w:p>
              </w:tc>
            </w:tr>
            <w:bookmarkEnd w:id="36"/>
          </w:tbl>
          <w:p w14:paraId="1F02AC20">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（1）</w:t>
            </w:r>
            <w:r>
              <w:rPr>
                <w:rFonts w:hint="eastAsia"/>
                <w:color w:val="auto"/>
                <w:kern w:val="24"/>
                <w:sz w:val="24"/>
                <w:highlight w:val="none"/>
                <w:lang w:eastAsia="zh-CN"/>
              </w:rPr>
              <w:t>蒸汽发生器</w:t>
            </w:r>
            <w:r>
              <w:rPr>
                <w:rFonts w:hint="eastAsia"/>
                <w:color w:val="auto"/>
                <w:kern w:val="24"/>
                <w:sz w:val="24"/>
                <w:highlight w:val="none"/>
              </w:rPr>
              <w:t>炉渣</w:t>
            </w:r>
          </w:p>
          <w:p w14:paraId="3C08C266">
            <w:pPr>
              <w:adjustRightInd w:val="0"/>
              <w:snapToGrid w:val="0"/>
              <w:spacing w:line="360" w:lineRule="auto"/>
              <w:ind w:firstLine="480" w:firstLineChars="200"/>
              <w:rPr>
                <w:color w:val="auto"/>
                <w:kern w:val="24"/>
                <w:sz w:val="24"/>
                <w:highlight w:val="none"/>
              </w:rPr>
            </w:pPr>
            <w:r>
              <w:rPr>
                <w:color w:val="auto"/>
                <w:kern w:val="24"/>
                <w:sz w:val="24"/>
                <w:highlight w:val="none"/>
              </w:rPr>
              <w:t>根据《</w:t>
            </w:r>
            <w:r>
              <w:rPr>
                <w:rFonts w:hint="eastAsia"/>
                <w:color w:val="auto"/>
                <w:kern w:val="24"/>
                <w:sz w:val="24"/>
                <w:highlight w:val="none"/>
                <w:lang w:eastAsia="zh-CN"/>
              </w:rPr>
              <w:t>污染源源强核算技术指南 锅炉</w:t>
            </w:r>
            <w:r>
              <w:rPr>
                <w:color w:val="auto"/>
                <w:kern w:val="24"/>
                <w:sz w:val="24"/>
                <w:highlight w:val="none"/>
              </w:rPr>
              <w:t>》（HJ991-2018</w:t>
            </w:r>
            <w:r>
              <w:rPr>
                <w:rFonts w:hint="eastAsia"/>
                <w:color w:val="auto"/>
                <w:kern w:val="24"/>
                <w:sz w:val="24"/>
                <w:highlight w:val="none"/>
              </w:rPr>
              <w:t>）表</w:t>
            </w:r>
            <w:r>
              <w:rPr>
                <w:color w:val="auto"/>
                <w:kern w:val="24"/>
                <w:sz w:val="24"/>
                <w:highlight w:val="none"/>
              </w:rPr>
              <w:t>1</w:t>
            </w:r>
            <w:r>
              <w:rPr>
                <w:rFonts w:hint="eastAsia"/>
                <w:color w:val="auto"/>
                <w:kern w:val="24"/>
                <w:sz w:val="24"/>
                <w:highlight w:val="none"/>
              </w:rPr>
              <w:t>中源强核算方法选取次序表，固体废物的新（改、扩）建工程污染源核算方法及选取优先次序为：</w:t>
            </w:r>
            <w:r>
              <w:rPr>
                <w:color w:val="auto"/>
                <w:kern w:val="24"/>
                <w:sz w:val="24"/>
                <w:highlight w:val="none"/>
              </w:rPr>
              <w:t>1.</w:t>
            </w:r>
            <w:r>
              <w:rPr>
                <w:rFonts w:hint="eastAsia"/>
                <w:color w:val="auto"/>
                <w:kern w:val="24"/>
                <w:sz w:val="24"/>
                <w:highlight w:val="none"/>
              </w:rPr>
              <w:t>物料衡算法、</w:t>
            </w:r>
            <w:r>
              <w:rPr>
                <w:color w:val="auto"/>
                <w:kern w:val="24"/>
                <w:sz w:val="24"/>
                <w:highlight w:val="none"/>
              </w:rPr>
              <w:t>2.</w:t>
            </w:r>
            <w:r>
              <w:rPr>
                <w:rFonts w:hint="eastAsia"/>
                <w:color w:val="auto"/>
                <w:kern w:val="24"/>
                <w:sz w:val="24"/>
                <w:highlight w:val="none"/>
              </w:rPr>
              <w:t>类比法、</w:t>
            </w:r>
            <w:r>
              <w:rPr>
                <w:color w:val="auto"/>
                <w:kern w:val="24"/>
                <w:sz w:val="24"/>
                <w:highlight w:val="none"/>
              </w:rPr>
              <w:t>3.</w:t>
            </w:r>
            <w:r>
              <w:rPr>
                <w:rFonts w:hint="eastAsia"/>
                <w:color w:val="auto"/>
                <w:kern w:val="24"/>
                <w:sz w:val="24"/>
                <w:highlight w:val="none"/>
              </w:rPr>
              <w:t>产污系数法。本项目优先采用物料衡算法，其计算公式为：</w:t>
            </w:r>
          </w:p>
          <w:p w14:paraId="66062051">
            <w:pPr>
              <w:adjustRightInd w:val="0"/>
              <w:snapToGrid w:val="0"/>
              <w:spacing w:line="360" w:lineRule="auto"/>
              <w:jc w:val="center"/>
              <w:rPr>
                <w:color w:val="auto"/>
                <w:kern w:val="24"/>
                <w:sz w:val="24"/>
                <w:highlight w:val="none"/>
              </w:rPr>
            </w:pPr>
            <w:r>
              <w:rPr>
                <w:color w:val="auto"/>
                <w:highlight w:val="none"/>
              </w:rPr>
              <w:drawing>
                <wp:inline distT="0" distB="0" distL="114300" distR="114300">
                  <wp:extent cx="2003425" cy="454025"/>
                  <wp:effectExtent l="0" t="0" r="15875" b="317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2"/>
                          <a:stretch>
                            <a:fillRect/>
                          </a:stretch>
                        </pic:blipFill>
                        <pic:spPr>
                          <a:xfrm>
                            <a:off x="0" y="0"/>
                            <a:ext cx="2003425" cy="454025"/>
                          </a:xfrm>
                          <a:prstGeom prst="rect">
                            <a:avLst/>
                          </a:prstGeom>
                          <a:noFill/>
                          <a:ln>
                            <a:noFill/>
                          </a:ln>
                        </pic:spPr>
                      </pic:pic>
                    </a:graphicData>
                  </a:graphic>
                </wp:inline>
              </w:drawing>
            </w:r>
          </w:p>
          <w:p w14:paraId="6020995D">
            <w:pPr>
              <w:adjustRightInd w:val="0"/>
              <w:snapToGrid w:val="0"/>
              <w:spacing w:line="360" w:lineRule="auto"/>
              <w:ind w:firstLine="480" w:firstLineChars="200"/>
              <w:rPr>
                <w:color w:val="auto"/>
                <w:kern w:val="24"/>
                <w:sz w:val="24"/>
                <w:highlight w:val="none"/>
              </w:rPr>
            </w:pPr>
            <w:r>
              <w:rPr>
                <w:color w:val="auto"/>
                <w:kern w:val="24"/>
                <w:sz w:val="24"/>
                <w:highlight w:val="none"/>
              </w:rPr>
              <w:t>式中：Ehz—</w:t>
            </w:r>
            <w:r>
              <w:rPr>
                <w:rFonts w:hint="eastAsia"/>
                <w:color w:val="auto"/>
                <w:kern w:val="24"/>
                <w:sz w:val="24"/>
                <w:highlight w:val="none"/>
              </w:rPr>
              <w:t>核算时段内灰渣产生量，</w:t>
            </w:r>
            <w:r>
              <w:rPr>
                <w:color w:val="auto"/>
                <w:kern w:val="24"/>
                <w:sz w:val="24"/>
                <w:highlight w:val="none"/>
              </w:rPr>
              <w:t>t</w:t>
            </w:r>
            <w:r>
              <w:rPr>
                <w:rFonts w:hint="eastAsia"/>
                <w:color w:val="auto"/>
                <w:kern w:val="24"/>
                <w:sz w:val="24"/>
                <w:highlight w:val="none"/>
              </w:rPr>
              <w:t xml:space="preserve">； </w:t>
            </w:r>
          </w:p>
          <w:p w14:paraId="364B90AB">
            <w:pPr>
              <w:adjustRightInd w:val="0"/>
              <w:snapToGrid w:val="0"/>
              <w:spacing w:line="360" w:lineRule="auto"/>
              <w:ind w:firstLine="1200" w:firstLineChars="500"/>
              <w:rPr>
                <w:color w:val="auto"/>
                <w:kern w:val="24"/>
                <w:sz w:val="24"/>
                <w:highlight w:val="none"/>
              </w:rPr>
            </w:pPr>
            <w:r>
              <w:rPr>
                <w:color w:val="auto"/>
                <w:kern w:val="24"/>
                <w:sz w:val="24"/>
                <w:highlight w:val="none"/>
              </w:rPr>
              <w:t>R—</w:t>
            </w:r>
            <w:r>
              <w:rPr>
                <w:rFonts w:hint="eastAsia"/>
                <w:color w:val="auto"/>
                <w:kern w:val="24"/>
                <w:sz w:val="24"/>
                <w:highlight w:val="none"/>
              </w:rPr>
              <w:t>核算时段内</w:t>
            </w:r>
            <w:r>
              <w:rPr>
                <w:rFonts w:hint="eastAsia"/>
                <w:color w:val="auto"/>
                <w:kern w:val="24"/>
                <w:sz w:val="24"/>
                <w:highlight w:val="none"/>
                <w:lang w:val="en-US" w:eastAsia="zh-CN"/>
              </w:rPr>
              <w:t>锅炉</w:t>
            </w:r>
            <w:r>
              <w:rPr>
                <w:rFonts w:hint="eastAsia"/>
                <w:color w:val="auto"/>
                <w:kern w:val="24"/>
                <w:sz w:val="24"/>
                <w:highlight w:val="none"/>
              </w:rPr>
              <w:t>燃料耗量，</w:t>
            </w:r>
            <w:r>
              <w:rPr>
                <w:rFonts w:hint="eastAsia"/>
                <w:color w:val="auto"/>
                <w:kern w:val="24"/>
                <w:sz w:val="24"/>
                <w:highlight w:val="none"/>
                <w:lang w:val="en-US" w:eastAsia="zh-CN"/>
              </w:rPr>
              <w:t>1700</w:t>
            </w:r>
            <w:r>
              <w:rPr>
                <w:color w:val="auto"/>
                <w:kern w:val="24"/>
                <w:sz w:val="24"/>
                <w:highlight w:val="none"/>
              </w:rPr>
              <w:t>t</w:t>
            </w:r>
            <w:r>
              <w:rPr>
                <w:rFonts w:hint="eastAsia"/>
                <w:color w:val="auto"/>
                <w:kern w:val="24"/>
                <w:sz w:val="24"/>
                <w:highlight w:val="none"/>
              </w:rPr>
              <w:t xml:space="preserve">； </w:t>
            </w:r>
          </w:p>
          <w:p w14:paraId="5D2B8985">
            <w:pPr>
              <w:adjustRightInd w:val="0"/>
              <w:snapToGrid w:val="0"/>
              <w:spacing w:line="360" w:lineRule="auto"/>
              <w:ind w:firstLine="1200" w:firstLineChars="500"/>
              <w:rPr>
                <w:color w:val="auto"/>
                <w:kern w:val="24"/>
                <w:sz w:val="24"/>
                <w:highlight w:val="none"/>
              </w:rPr>
            </w:pPr>
            <w:r>
              <w:rPr>
                <w:color w:val="auto"/>
                <w:kern w:val="24"/>
                <w:sz w:val="24"/>
                <w:highlight w:val="none"/>
              </w:rPr>
              <w:t>Aar—</w:t>
            </w:r>
            <w:r>
              <w:rPr>
                <w:rFonts w:hint="eastAsia"/>
                <w:color w:val="auto"/>
                <w:kern w:val="24"/>
                <w:sz w:val="24"/>
                <w:highlight w:val="none"/>
              </w:rPr>
              <w:t>收到基灰分的质量分数，</w:t>
            </w:r>
            <w:r>
              <w:rPr>
                <w:rFonts w:hint="eastAsia"/>
                <w:color w:val="auto"/>
                <w:sz w:val="24"/>
                <w:highlight w:val="none"/>
              </w:rPr>
              <w:t>参照煤的不同基之间换算公式，本项目Aad为1.0%，换算得Aar=0.95%</w:t>
            </w:r>
            <w:r>
              <w:rPr>
                <w:rFonts w:hint="eastAsia"/>
                <w:color w:val="auto"/>
                <w:kern w:val="24"/>
                <w:sz w:val="24"/>
                <w:highlight w:val="none"/>
              </w:rPr>
              <w:t xml:space="preserve">； </w:t>
            </w:r>
          </w:p>
          <w:p w14:paraId="6A6A8CFB">
            <w:pPr>
              <w:adjustRightInd w:val="0"/>
              <w:snapToGrid w:val="0"/>
              <w:spacing w:line="360" w:lineRule="auto"/>
              <w:ind w:firstLine="1200" w:firstLineChars="500"/>
              <w:rPr>
                <w:color w:val="auto"/>
                <w:kern w:val="24"/>
                <w:sz w:val="24"/>
                <w:highlight w:val="none"/>
              </w:rPr>
            </w:pPr>
            <w:r>
              <w:rPr>
                <w:color w:val="auto"/>
                <w:kern w:val="24"/>
                <w:sz w:val="24"/>
                <w:highlight w:val="none"/>
              </w:rPr>
              <w:t>q4—</w:t>
            </w:r>
            <w:r>
              <w:rPr>
                <w:rFonts w:hint="eastAsia"/>
                <w:color w:val="auto"/>
                <w:kern w:val="24"/>
                <w:sz w:val="24"/>
                <w:highlight w:val="none"/>
                <w:lang w:val="en-US" w:eastAsia="zh-CN"/>
              </w:rPr>
              <w:t>锅炉</w:t>
            </w:r>
            <w:r>
              <w:rPr>
                <w:rFonts w:hint="eastAsia"/>
                <w:color w:val="auto"/>
                <w:kern w:val="24"/>
                <w:sz w:val="24"/>
                <w:highlight w:val="none"/>
              </w:rPr>
              <w:t>机械不完全燃烧热损失，</w:t>
            </w:r>
            <w:r>
              <w:rPr>
                <w:rFonts w:hint="eastAsia"/>
                <w:color w:val="auto"/>
                <w:sz w:val="24"/>
                <w:highlight w:val="none"/>
              </w:rPr>
              <w:t>参照《</w:t>
            </w:r>
            <w:r>
              <w:rPr>
                <w:rFonts w:hint="eastAsia"/>
                <w:color w:val="auto"/>
                <w:sz w:val="24"/>
                <w:highlight w:val="none"/>
                <w:lang w:eastAsia="zh-CN"/>
              </w:rPr>
              <w:t>污染源源强核算技术指南 锅炉</w:t>
            </w:r>
            <w:r>
              <w:rPr>
                <w:rFonts w:hint="eastAsia"/>
                <w:color w:val="auto"/>
                <w:sz w:val="24"/>
                <w:highlight w:val="none"/>
              </w:rPr>
              <w:t>》（HJ991-2018）表B.1层燃炉（链条炉排炉）取</w:t>
            </w:r>
            <w:r>
              <w:rPr>
                <w:color w:val="auto"/>
                <w:sz w:val="24"/>
                <w:highlight w:val="none"/>
              </w:rPr>
              <w:t>5</w:t>
            </w:r>
            <w:r>
              <w:rPr>
                <w:rFonts w:hint="eastAsia"/>
                <w:color w:val="auto"/>
                <w:sz w:val="24"/>
                <w:highlight w:val="none"/>
              </w:rPr>
              <w:t>%</w:t>
            </w:r>
            <w:r>
              <w:rPr>
                <w:rFonts w:hint="eastAsia"/>
                <w:color w:val="auto"/>
                <w:kern w:val="24"/>
                <w:sz w:val="24"/>
                <w:highlight w:val="none"/>
              </w:rPr>
              <w:t xml:space="preserve">； </w:t>
            </w:r>
          </w:p>
          <w:p w14:paraId="3F712E3F">
            <w:pPr>
              <w:adjustRightInd w:val="0"/>
              <w:snapToGrid w:val="0"/>
              <w:spacing w:line="360" w:lineRule="auto"/>
              <w:ind w:firstLine="1200" w:firstLineChars="500"/>
              <w:rPr>
                <w:color w:val="auto"/>
                <w:kern w:val="24"/>
                <w:sz w:val="24"/>
                <w:highlight w:val="none"/>
              </w:rPr>
            </w:pPr>
            <w:r>
              <w:rPr>
                <w:color w:val="auto"/>
                <w:kern w:val="24"/>
                <w:sz w:val="24"/>
                <w:highlight w:val="none"/>
              </w:rPr>
              <w:t>Qnet,ar—</w:t>
            </w:r>
            <w:r>
              <w:rPr>
                <w:rFonts w:hint="eastAsia"/>
                <w:color w:val="auto"/>
                <w:kern w:val="24"/>
                <w:sz w:val="24"/>
                <w:highlight w:val="none"/>
              </w:rPr>
              <w:t>收到基低位发热量，</w:t>
            </w:r>
            <w:r>
              <w:rPr>
                <w:rFonts w:hint="eastAsia"/>
                <w:color w:val="auto"/>
                <w:kern w:val="24"/>
                <w:sz w:val="24"/>
                <w:highlight w:val="none"/>
                <w:lang w:val="en-US" w:eastAsia="zh-CN"/>
              </w:rPr>
              <w:t>1645</w:t>
            </w:r>
            <w:r>
              <w:rPr>
                <w:rFonts w:hint="eastAsia"/>
                <w:color w:val="auto"/>
                <w:kern w:val="24"/>
                <w:sz w:val="24"/>
                <w:highlight w:val="none"/>
              </w:rPr>
              <w:t>0</w:t>
            </w:r>
            <w:r>
              <w:rPr>
                <w:color w:val="auto"/>
                <w:kern w:val="24"/>
                <w:sz w:val="24"/>
                <w:highlight w:val="none"/>
              </w:rPr>
              <w:t>kJ/kg</w:t>
            </w:r>
            <w:r>
              <w:rPr>
                <w:rFonts w:hint="eastAsia"/>
                <w:color w:val="auto"/>
                <w:kern w:val="24"/>
                <w:sz w:val="24"/>
                <w:highlight w:val="none"/>
              </w:rPr>
              <w:t xml:space="preserve">。 </w:t>
            </w:r>
          </w:p>
          <w:p w14:paraId="2F90D9A7">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计算出本项目</w:t>
            </w:r>
            <w:r>
              <w:rPr>
                <w:rFonts w:hint="eastAsia"/>
                <w:color w:val="auto"/>
                <w:kern w:val="24"/>
                <w:sz w:val="24"/>
                <w:highlight w:val="none"/>
                <w:lang w:eastAsia="zh-CN"/>
              </w:rPr>
              <w:t>蒸汽发生器</w:t>
            </w:r>
            <w:r>
              <w:rPr>
                <w:rFonts w:hint="eastAsia"/>
                <w:color w:val="auto"/>
                <w:kern w:val="24"/>
                <w:sz w:val="24"/>
                <w:highlight w:val="none"/>
              </w:rPr>
              <w:t>炉渣产生量约</w:t>
            </w:r>
            <w:r>
              <w:rPr>
                <w:rFonts w:hint="eastAsia"/>
                <w:color w:val="auto"/>
                <w:kern w:val="24"/>
                <w:sz w:val="24"/>
                <w:highlight w:val="none"/>
                <w:lang w:val="en-US" w:eastAsia="zh-CN"/>
              </w:rPr>
              <w:t>5.96</w:t>
            </w:r>
            <w:r>
              <w:rPr>
                <w:rFonts w:hint="eastAsia"/>
                <w:color w:val="auto"/>
                <w:kern w:val="24"/>
                <w:sz w:val="24"/>
                <w:highlight w:val="none"/>
              </w:rPr>
              <w:t>t/a，</w:t>
            </w:r>
            <w:r>
              <w:rPr>
                <w:rFonts w:hint="eastAsia"/>
                <w:color w:val="auto"/>
                <w:sz w:val="24"/>
                <w:highlight w:val="none"/>
              </w:rPr>
              <w:t>主要成分为草木灰，</w:t>
            </w:r>
            <w:r>
              <w:rPr>
                <w:rFonts w:hint="eastAsia"/>
                <w:color w:val="auto"/>
                <w:kern w:val="24"/>
                <w:sz w:val="24"/>
                <w:highlight w:val="none"/>
              </w:rPr>
              <w:t>建设单位通过采用编织袋收集后</w:t>
            </w:r>
            <w:r>
              <w:rPr>
                <w:rFonts w:hint="eastAsia"/>
                <w:color w:val="auto"/>
                <w:kern w:val="24"/>
                <w:sz w:val="24"/>
                <w:highlight w:val="none"/>
                <w:lang w:eastAsia="zh-CN"/>
              </w:rPr>
              <w:t>，</w:t>
            </w:r>
            <w:r>
              <w:rPr>
                <w:rFonts w:hint="eastAsia"/>
                <w:color w:val="auto"/>
                <w:kern w:val="24"/>
                <w:sz w:val="24"/>
                <w:highlight w:val="none"/>
                <w:lang w:val="en-US" w:eastAsia="zh-CN"/>
              </w:rPr>
              <w:t>暂存于灰渣暂存区，日产日清</w:t>
            </w:r>
            <w:r>
              <w:rPr>
                <w:rFonts w:hint="eastAsia"/>
                <w:color w:val="auto"/>
                <w:kern w:val="24"/>
                <w:sz w:val="24"/>
                <w:highlight w:val="none"/>
              </w:rPr>
              <w:t>运至红塔区志程肥料加工</w:t>
            </w:r>
            <w:r>
              <w:rPr>
                <w:rFonts w:hint="eastAsia"/>
                <w:color w:val="auto"/>
                <w:kern w:val="24"/>
                <w:sz w:val="24"/>
                <w:highlight w:val="none"/>
                <w:lang w:val="en-US" w:eastAsia="zh-CN"/>
              </w:rPr>
              <w:t>厂用于有机肥料生产原料使用</w:t>
            </w:r>
            <w:r>
              <w:rPr>
                <w:rFonts w:hint="eastAsia"/>
                <w:color w:val="auto"/>
                <w:kern w:val="24"/>
                <w:sz w:val="24"/>
                <w:highlight w:val="none"/>
              </w:rPr>
              <w:t>（处理协议详见附件8）</w:t>
            </w:r>
            <w:r>
              <w:rPr>
                <w:rFonts w:hint="eastAsia"/>
                <w:color w:val="auto"/>
                <w:kern w:val="24"/>
                <w:sz w:val="24"/>
                <w:highlight w:val="none"/>
                <w:lang w:eastAsia="zh-CN"/>
              </w:rPr>
              <w:t>，</w:t>
            </w:r>
            <w:r>
              <w:rPr>
                <w:rFonts w:hint="eastAsia"/>
                <w:color w:val="auto"/>
                <w:kern w:val="24"/>
                <w:sz w:val="24"/>
                <w:highlight w:val="none"/>
                <w:lang w:val="en-US" w:eastAsia="zh-CN"/>
              </w:rPr>
              <w:t>不得随意丢弃，以免造成二次污染</w:t>
            </w:r>
            <w:r>
              <w:rPr>
                <w:color w:val="auto"/>
                <w:kern w:val="24"/>
                <w:sz w:val="24"/>
                <w:highlight w:val="none"/>
              </w:rPr>
              <w:t>。项目燃料为合格的生物质</w:t>
            </w:r>
            <w:r>
              <w:rPr>
                <w:rFonts w:hint="eastAsia"/>
                <w:color w:val="auto"/>
                <w:kern w:val="24"/>
                <w:sz w:val="24"/>
                <w:highlight w:val="none"/>
              </w:rPr>
              <w:t>成型</w:t>
            </w:r>
            <w:r>
              <w:rPr>
                <w:color w:val="auto"/>
                <w:kern w:val="24"/>
                <w:sz w:val="24"/>
                <w:highlight w:val="none"/>
              </w:rPr>
              <w:t>燃料，燃烧后产生的炉渣、除尘灰主要成分为草木灰，不含有毒有害成分，可作为有机肥厂的生产原料。</w:t>
            </w:r>
          </w:p>
          <w:p w14:paraId="3E65C3A0">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（2）除尘灰</w:t>
            </w:r>
          </w:p>
          <w:p w14:paraId="6AC35CE0">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lang w:val="en-US" w:eastAsia="zh-CN"/>
              </w:rPr>
              <w:t>根据建设单位提供的资料</w:t>
            </w:r>
            <w:r>
              <w:rPr>
                <w:rFonts w:hint="eastAsia"/>
                <w:color w:val="auto"/>
                <w:kern w:val="24"/>
                <w:sz w:val="24"/>
                <w:highlight w:val="none"/>
              </w:rPr>
              <w:t>，除尘器收集的烟尘量</w:t>
            </w:r>
            <w:r>
              <w:rPr>
                <w:rFonts w:hint="eastAsia"/>
                <w:color w:val="auto"/>
                <w:kern w:val="24"/>
                <w:sz w:val="24"/>
                <w:highlight w:val="none"/>
                <w:lang w:val="en-US" w:eastAsia="zh-CN"/>
              </w:rPr>
              <w:t>实际</w:t>
            </w:r>
            <w:r>
              <w:rPr>
                <w:rFonts w:hint="eastAsia"/>
                <w:color w:val="auto"/>
                <w:kern w:val="24"/>
                <w:sz w:val="24"/>
                <w:highlight w:val="none"/>
              </w:rPr>
              <w:t>为</w:t>
            </w:r>
            <w:r>
              <w:rPr>
                <w:rFonts w:hint="eastAsia"/>
                <w:color w:val="auto"/>
                <w:kern w:val="24"/>
                <w:sz w:val="24"/>
                <w:highlight w:val="none"/>
                <w:lang w:val="en-US" w:eastAsia="zh-CN"/>
              </w:rPr>
              <w:t>48.51</w:t>
            </w:r>
            <w:r>
              <w:rPr>
                <w:rFonts w:hint="eastAsia"/>
                <w:color w:val="auto"/>
                <w:kern w:val="24"/>
                <w:sz w:val="24"/>
                <w:highlight w:val="none"/>
              </w:rPr>
              <w:t>t/a。除尘灰</w:t>
            </w:r>
            <w:r>
              <w:rPr>
                <w:rFonts w:hint="eastAsia"/>
                <w:color w:val="auto"/>
                <w:sz w:val="24"/>
                <w:highlight w:val="none"/>
              </w:rPr>
              <w:t>主要成分为草木灰，</w:t>
            </w:r>
            <w:r>
              <w:rPr>
                <w:rFonts w:ascii="宋体" w:hAnsi="宋体" w:cs="宋体"/>
                <w:color w:val="auto"/>
                <w:sz w:val="24"/>
                <w:highlight w:val="none"/>
              </w:rPr>
              <w:t>不含有毒有害成分。</w:t>
            </w:r>
            <w:r>
              <w:rPr>
                <w:rFonts w:hint="eastAsia" w:ascii="宋体" w:hAnsi="宋体" w:cs="宋体"/>
                <w:color w:val="auto"/>
                <w:sz w:val="24"/>
                <w:highlight w:val="none"/>
                <w:lang w:val="en-US" w:eastAsia="zh-CN"/>
              </w:rPr>
              <w:t>根据建设单位提供信息，本项目旋风除尘器除尘灰及布袋除尘器除尘灰出灰口设有布袋收集，收集过程保持密闭性，累计一定量后采用吨袋收集，并采取洒水降尘，避免集灰二次飞扬，</w:t>
            </w:r>
            <w:r>
              <w:rPr>
                <w:rFonts w:hint="eastAsia"/>
                <w:color w:val="auto"/>
                <w:kern w:val="24"/>
                <w:sz w:val="24"/>
                <w:highlight w:val="none"/>
              </w:rPr>
              <w:t>建设单位通过采用编织袋收集后</w:t>
            </w:r>
            <w:r>
              <w:rPr>
                <w:rFonts w:hint="eastAsia"/>
                <w:color w:val="auto"/>
                <w:kern w:val="24"/>
                <w:sz w:val="24"/>
                <w:highlight w:val="none"/>
                <w:lang w:eastAsia="zh-CN"/>
              </w:rPr>
              <w:t>，</w:t>
            </w:r>
            <w:r>
              <w:rPr>
                <w:rFonts w:hint="eastAsia"/>
                <w:color w:val="auto"/>
                <w:kern w:val="24"/>
                <w:sz w:val="24"/>
                <w:highlight w:val="none"/>
                <w:lang w:val="en-US" w:eastAsia="zh-CN"/>
              </w:rPr>
              <w:t>日产日清</w:t>
            </w:r>
            <w:r>
              <w:rPr>
                <w:rFonts w:hint="eastAsia"/>
                <w:color w:val="auto"/>
                <w:kern w:val="24"/>
                <w:sz w:val="24"/>
                <w:highlight w:val="none"/>
              </w:rPr>
              <w:t>运至红塔区志程肥料加工</w:t>
            </w:r>
            <w:r>
              <w:rPr>
                <w:rFonts w:hint="eastAsia"/>
                <w:color w:val="auto"/>
                <w:kern w:val="24"/>
                <w:sz w:val="24"/>
                <w:highlight w:val="none"/>
                <w:lang w:val="en-US" w:eastAsia="zh-CN"/>
              </w:rPr>
              <w:t>厂用于有机肥料</w:t>
            </w:r>
            <w:r>
              <w:rPr>
                <w:rFonts w:hint="eastAsia"/>
                <w:color w:val="auto"/>
                <w:kern w:val="24"/>
                <w:sz w:val="24"/>
                <w:highlight w:val="none"/>
              </w:rPr>
              <w:t>生产原料使用（处理协议详见附件8）</w:t>
            </w:r>
            <w:r>
              <w:rPr>
                <w:color w:val="auto"/>
                <w:kern w:val="24"/>
                <w:sz w:val="24"/>
                <w:highlight w:val="none"/>
              </w:rPr>
              <w:t>。</w:t>
            </w:r>
          </w:p>
          <w:p w14:paraId="0F579190">
            <w:pPr>
              <w:adjustRightInd w:val="0"/>
              <w:snapToGrid w:val="0"/>
              <w:spacing w:line="360" w:lineRule="auto"/>
              <w:ind w:firstLine="480" w:firstLineChars="200"/>
              <w:rPr>
                <w:color w:val="auto"/>
                <w:kern w:val="24"/>
                <w:sz w:val="24"/>
                <w:highlight w:val="none"/>
              </w:rPr>
            </w:pPr>
            <w:r>
              <w:rPr>
                <w:rFonts w:ascii="宋体" w:hAnsi="宋体" w:cs="宋体"/>
                <w:color w:val="auto"/>
                <w:sz w:val="24"/>
                <w:highlight w:val="none"/>
              </w:rPr>
              <w:t>项目燃料为合格的生物质燃料，燃烧后产生的炉渣、除尘灰主要成分为草木灰，不含有毒有害成分，作为有机肥厂的生产原料</w:t>
            </w:r>
            <w:r>
              <w:rPr>
                <w:rFonts w:hint="eastAsia" w:ascii="宋体" w:hAnsi="宋体" w:cs="宋体"/>
                <w:color w:val="auto"/>
                <w:sz w:val="24"/>
                <w:highlight w:val="none"/>
                <w:lang w:val="en-US" w:eastAsia="zh-CN"/>
              </w:rPr>
              <w:t>合理可行</w:t>
            </w:r>
            <w:r>
              <w:rPr>
                <w:rFonts w:ascii="宋体" w:hAnsi="宋体" w:cs="宋体"/>
                <w:color w:val="auto"/>
                <w:sz w:val="24"/>
                <w:highlight w:val="none"/>
              </w:rPr>
              <w:t>。</w:t>
            </w:r>
          </w:p>
          <w:p w14:paraId="43FC6A4C">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（3）废树脂</w:t>
            </w:r>
          </w:p>
          <w:p w14:paraId="7E986654">
            <w:pPr>
              <w:adjustRightInd w:val="0"/>
              <w:snapToGrid w:val="0"/>
              <w:spacing w:line="360" w:lineRule="auto"/>
              <w:ind w:firstLine="480" w:firstLineChars="200"/>
              <w:rPr>
                <w:color w:val="auto"/>
                <w:kern w:val="24"/>
                <w:sz w:val="24"/>
                <w:highlight w:val="none"/>
              </w:rPr>
            </w:pPr>
            <w:r>
              <w:rPr>
                <w:rFonts w:hint="eastAsia" w:ascii="宋体" w:hAnsi="宋体" w:cs="宋体"/>
                <w:color w:val="auto"/>
                <w:sz w:val="24"/>
                <w:highlight w:val="none"/>
              </w:rPr>
              <w:t>本项目软水制备过程</w:t>
            </w:r>
            <w:r>
              <w:rPr>
                <w:color w:val="auto"/>
                <w:sz w:val="24"/>
                <w:highlight w:val="none"/>
              </w:rPr>
              <w:t>中会产生一定量的废树脂，废树脂的产生量约</w:t>
            </w:r>
            <w:r>
              <w:rPr>
                <w:rFonts w:hint="eastAsia"/>
                <w:color w:val="auto"/>
                <w:sz w:val="24"/>
                <w:highlight w:val="none"/>
                <w:lang w:val="en-US" w:eastAsia="zh-CN"/>
              </w:rPr>
              <w:t>0.1</w:t>
            </w:r>
            <w:r>
              <w:rPr>
                <w:color w:val="auto"/>
                <w:sz w:val="24"/>
                <w:highlight w:val="none"/>
              </w:rPr>
              <w:t>t/a，软水制备过程产生的废树脂未纳入《国家危险废物名录（202</w:t>
            </w:r>
            <w:r>
              <w:rPr>
                <w:rFonts w:hint="eastAsia"/>
                <w:color w:val="auto"/>
                <w:sz w:val="24"/>
                <w:highlight w:val="none"/>
                <w:lang w:val="en-US" w:eastAsia="zh-CN"/>
              </w:rPr>
              <w:t>5</w:t>
            </w:r>
            <w:r>
              <w:rPr>
                <w:color w:val="auto"/>
                <w:sz w:val="24"/>
                <w:highlight w:val="none"/>
              </w:rPr>
              <w:t>年版）》危险废物名单中，</w:t>
            </w:r>
            <w:r>
              <w:rPr>
                <w:rFonts w:hint="eastAsia"/>
                <w:color w:val="auto"/>
                <w:sz w:val="24"/>
                <w:highlight w:val="none"/>
                <w:lang w:val="en-US" w:eastAsia="zh-CN"/>
              </w:rPr>
              <w:t>项目产生的废树脂不在厂区内暂存，由设备方更换后统一回收</w:t>
            </w:r>
            <w:r>
              <w:rPr>
                <w:color w:val="auto"/>
                <w:kern w:val="24"/>
                <w:sz w:val="24"/>
                <w:highlight w:val="none"/>
              </w:rPr>
              <w:t>。</w:t>
            </w:r>
          </w:p>
          <w:p w14:paraId="4796EDEA">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w:t>
            </w:r>
            <w:r>
              <w:rPr>
                <w:rFonts w:hint="eastAsia"/>
                <w:color w:val="auto"/>
                <w:kern w:val="24"/>
                <w:sz w:val="24"/>
                <w:highlight w:val="none"/>
                <w:lang w:val="en-US" w:eastAsia="zh-CN"/>
              </w:rPr>
              <w:t>4</w:t>
            </w:r>
            <w:r>
              <w:rPr>
                <w:rFonts w:hint="eastAsia"/>
                <w:color w:val="auto"/>
                <w:kern w:val="24"/>
                <w:sz w:val="24"/>
                <w:highlight w:val="none"/>
              </w:rPr>
              <w:t>）絮凝沉淀池沉渣</w:t>
            </w:r>
          </w:p>
          <w:p w14:paraId="40425BBF">
            <w:pPr>
              <w:adjustRightInd w:val="0"/>
              <w:snapToGrid w:val="0"/>
              <w:spacing w:line="360" w:lineRule="auto"/>
              <w:ind w:firstLine="480" w:firstLineChars="200"/>
              <w:jc w:val="left"/>
              <w:rPr>
                <w:color w:val="auto"/>
                <w:kern w:val="24"/>
                <w:sz w:val="24"/>
                <w:highlight w:val="none"/>
              </w:rPr>
            </w:pPr>
            <w:r>
              <w:rPr>
                <w:rFonts w:hint="eastAsia"/>
                <w:color w:val="auto"/>
                <w:kern w:val="24"/>
                <w:sz w:val="24"/>
                <w:highlight w:val="none"/>
              </w:rPr>
              <w:t>项目蒸发器强制排水、离子交换树脂再生废水处理过程中絮凝沉淀池沉渣产生量约0.</w:t>
            </w:r>
            <w:r>
              <w:rPr>
                <w:rFonts w:hint="eastAsia"/>
                <w:color w:val="auto"/>
                <w:kern w:val="24"/>
                <w:sz w:val="24"/>
                <w:highlight w:val="none"/>
                <w:lang w:val="en-US" w:eastAsia="zh-CN"/>
              </w:rPr>
              <w:t>1</w:t>
            </w:r>
            <w:r>
              <w:rPr>
                <w:rFonts w:hint="eastAsia"/>
                <w:color w:val="auto"/>
                <w:kern w:val="24"/>
                <w:sz w:val="24"/>
                <w:highlight w:val="none"/>
              </w:rPr>
              <w:t>t/a，交由环卫部门定期清运处置。</w:t>
            </w:r>
          </w:p>
          <w:p w14:paraId="72549DCD">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w:t>
            </w:r>
            <w:r>
              <w:rPr>
                <w:rFonts w:hint="eastAsia"/>
                <w:color w:val="auto"/>
                <w:kern w:val="24"/>
                <w:sz w:val="24"/>
                <w:highlight w:val="none"/>
                <w:lang w:val="en-US" w:eastAsia="zh-CN"/>
              </w:rPr>
              <w:t>5</w:t>
            </w:r>
            <w:r>
              <w:rPr>
                <w:rFonts w:hint="eastAsia"/>
                <w:color w:val="auto"/>
                <w:kern w:val="24"/>
                <w:sz w:val="24"/>
                <w:highlight w:val="none"/>
              </w:rPr>
              <w:t>）生活垃圾</w:t>
            </w:r>
          </w:p>
          <w:p w14:paraId="31F0347E">
            <w:pPr>
              <w:adjustRightInd w:val="0"/>
              <w:snapToGrid w:val="0"/>
              <w:spacing w:line="360" w:lineRule="auto"/>
              <w:ind w:firstLine="480" w:firstLineChars="200"/>
              <w:rPr>
                <w:rFonts w:hint="eastAsia"/>
                <w:color w:val="auto"/>
                <w:kern w:val="24"/>
                <w:sz w:val="24"/>
                <w:highlight w:val="none"/>
              </w:rPr>
            </w:pPr>
            <w:r>
              <w:rPr>
                <w:rFonts w:hint="eastAsia"/>
                <w:color w:val="auto"/>
                <w:kern w:val="24"/>
                <w:sz w:val="24"/>
                <w:highlight w:val="none"/>
              </w:rPr>
              <w:t>据建设单位提供资料，项目共有职工</w:t>
            </w:r>
            <w:r>
              <w:rPr>
                <w:rFonts w:hint="eastAsia"/>
                <w:color w:val="auto"/>
                <w:kern w:val="24"/>
                <w:sz w:val="24"/>
                <w:highlight w:val="none"/>
                <w:lang w:val="en-US" w:eastAsia="zh-CN"/>
              </w:rPr>
              <w:t>2</w:t>
            </w:r>
            <w:r>
              <w:rPr>
                <w:rFonts w:hint="eastAsia"/>
                <w:color w:val="auto"/>
                <w:kern w:val="24"/>
                <w:sz w:val="24"/>
                <w:highlight w:val="none"/>
              </w:rPr>
              <w:t>人，均不在厂区</w:t>
            </w:r>
            <w:r>
              <w:rPr>
                <w:color w:val="auto"/>
                <w:kern w:val="24"/>
                <w:sz w:val="24"/>
                <w:highlight w:val="none"/>
              </w:rPr>
              <w:t>食宿</w:t>
            </w:r>
            <w:r>
              <w:rPr>
                <w:rFonts w:hint="eastAsia"/>
                <w:color w:val="auto"/>
                <w:kern w:val="24"/>
                <w:sz w:val="24"/>
                <w:highlight w:val="none"/>
              </w:rPr>
              <w:t>，不在厂区内食宿人员生活垃圾按0.5kg/人·天计，则项目生活垃圾产生量为</w:t>
            </w:r>
            <w:r>
              <w:rPr>
                <w:rFonts w:hint="eastAsia"/>
                <w:color w:val="auto"/>
                <w:kern w:val="24"/>
                <w:sz w:val="24"/>
                <w:highlight w:val="none"/>
                <w:lang w:val="en-US" w:eastAsia="zh-CN"/>
              </w:rPr>
              <w:t>1</w:t>
            </w:r>
            <w:r>
              <w:rPr>
                <w:rFonts w:hint="eastAsia"/>
                <w:color w:val="auto"/>
                <w:kern w:val="24"/>
                <w:sz w:val="24"/>
                <w:highlight w:val="none"/>
              </w:rPr>
              <w:t>kg/d、</w:t>
            </w:r>
            <w:r>
              <w:rPr>
                <w:rFonts w:hint="eastAsia"/>
                <w:color w:val="auto"/>
                <w:kern w:val="24"/>
                <w:sz w:val="24"/>
                <w:highlight w:val="none"/>
                <w:lang w:val="en-US" w:eastAsia="zh-CN"/>
              </w:rPr>
              <w:t>0.3</w:t>
            </w:r>
            <w:r>
              <w:rPr>
                <w:rFonts w:hint="eastAsia"/>
                <w:color w:val="auto"/>
                <w:kern w:val="24"/>
                <w:sz w:val="24"/>
                <w:highlight w:val="none"/>
              </w:rPr>
              <w:t>t/a（年工作日3</w:t>
            </w:r>
            <w:r>
              <w:rPr>
                <w:rFonts w:hint="eastAsia"/>
                <w:color w:val="auto"/>
                <w:kern w:val="24"/>
                <w:sz w:val="24"/>
                <w:highlight w:val="none"/>
                <w:lang w:val="en-US" w:eastAsia="zh-CN"/>
              </w:rPr>
              <w:t>0</w:t>
            </w:r>
            <w:r>
              <w:rPr>
                <w:rFonts w:hint="eastAsia"/>
                <w:color w:val="auto"/>
                <w:kern w:val="24"/>
                <w:sz w:val="24"/>
                <w:highlight w:val="none"/>
              </w:rPr>
              <w:t>0天）。集中收集后堆存于垃圾箱内，委托环卫部门清运处置。</w:t>
            </w:r>
          </w:p>
          <w:p w14:paraId="675FF9B6">
            <w:pPr>
              <w:adjustRightInd w:val="0"/>
              <w:snapToGrid w:val="0"/>
              <w:spacing w:line="360" w:lineRule="auto"/>
              <w:ind w:firstLine="482" w:firstLineChars="200"/>
              <w:jc w:val="left"/>
              <w:rPr>
                <w:b/>
                <w:bCs/>
                <w:color w:val="auto"/>
                <w:sz w:val="24"/>
                <w:highlight w:val="none"/>
              </w:rPr>
            </w:pPr>
            <w:r>
              <w:rPr>
                <w:rFonts w:hint="eastAsia"/>
                <w:b/>
                <w:bCs/>
                <w:color w:val="auto"/>
                <w:sz w:val="24"/>
                <w:highlight w:val="none"/>
              </w:rPr>
              <w:t>2、</w:t>
            </w:r>
            <w:r>
              <w:rPr>
                <w:b/>
                <w:bCs/>
                <w:color w:val="auto"/>
                <w:sz w:val="24"/>
                <w:highlight w:val="none"/>
              </w:rPr>
              <w:t>固体废物环境管理要求</w:t>
            </w:r>
          </w:p>
          <w:p w14:paraId="2FA5858C">
            <w:pPr>
              <w:adjustRightInd w:val="0"/>
              <w:snapToGrid w:val="0"/>
              <w:spacing w:line="360" w:lineRule="auto"/>
              <w:ind w:firstLine="480" w:firstLineChars="200"/>
              <w:jc w:val="left"/>
              <w:rPr>
                <w:color w:val="auto"/>
                <w:kern w:val="24"/>
                <w:sz w:val="24"/>
                <w:highlight w:val="none"/>
              </w:rPr>
            </w:pPr>
            <w:r>
              <w:rPr>
                <w:color w:val="auto"/>
                <w:kern w:val="24"/>
                <w:sz w:val="24"/>
                <w:highlight w:val="none"/>
              </w:rPr>
              <w:t>（1）固体废物处置要求</w:t>
            </w:r>
          </w:p>
          <w:p w14:paraId="1C8D01EC">
            <w:pPr>
              <w:adjustRightInd w:val="0"/>
              <w:snapToGrid w:val="0"/>
              <w:spacing w:line="360" w:lineRule="auto"/>
              <w:ind w:firstLine="480" w:firstLineChars="200"/>
              <w:jc w:val="left"/>
              <w:rPr>
                <w:color w:val="auto"/>
                <w:kern w:val="24"/>
                <w:sz w:val="24"/>
                <w:highlight w:val="none"/>
              </w:rPr>
            </w:pPr>
            <w:r>
              <w:rPr>
                <w:rFonts w:hint="eastAsia"/>
                <w:color w:val="auto"/>
                <w:kern w:val="24"/>
                <w:sz w:val="24"/>
                <w:highlight w:val="none"/>
              </w:rPr>
              <w:t>项目固体废物按一般固废、生活垃圾进行分类管理。一般固废</w:t>
            </w:r>
            <w:r>
              <w:rPr>
                <w:rFonts w:hint="eastAsia"/>
                <w:color w:val="auto"/>
                <w:kern w:val="24"/>
                <w:sz w:val="24"/>
                <w:highlight w:val="none"/>
                <w:lang w:val="en-US" w:eastAsia="zh-CN"/>
              </w:rPr>
              <w:t>主要为灰渣和除尘灰，</w:t>
            </w:r>
            <w:r>
              <w:rPr>
                <w:rFonts w:hint="eastAsia"/>
                <w:color w:val="auto"/>
                <w:kern w:val="24"/>
                <w:sz w:val="24"/>
                <w:highlight w:val="none"/>
              </w:rPr>
              <w:t>分类收集暂存于灰渣</w:t>
            </w:r>
            <w:r>
              <w:rPr>
                <w:rFonts w:hint="eastAsia"/>
                <w:color w:val="auto"/>
                <w:kern w:val="24"/>
                <w:sz w:val="24"/>
                <w:highlight w:val="none"/>
                <w:lang w:val="en-US" w:eastAsia="zh-CN"/>
              </w:rPr>
              <w:t>暂存区</w:t>
            </w:r>
            <w:r>
              <w:rPr>
                <w:rFonts w:hint="eastAsia"/>
                <w:color w:val="auto"/>
                <w:kern w:val="24"/>
                <w:sz w:val="24"/>
                <w:highlight w:val="none"/>
              </w:rPr>
              <w:t>。本项目于</w:t>
            </w:r>
            <w:r>
              <w:rPr>
                <w:rFonts w:hint="eastAsia"/>
                <w:color w:val="auto"/>
                <w:kern w:val="24"/>
                <w:sz w:val="24"/>
                <w:highlight w:val="none"/>
                <w:lang w:eastAsia="zh-CN"/>
              </w:rPr>
              <w:t>锅炉房</w:t>
            </w:r>
            <w:r>
              <w:rPr>
                <w:rFonts w:hint="eastAsia"/>
                <w:color w:val="auto"/>
                <w:kern w:val="24"/>
                <w:sz w:val="24"/>
                <w:highlight w:val="none"/>
                <w:lang w:val="en-US" w:eastAsia="zh-CN"/>
              </w:rPr>
              <w:t>北侧</w:t>
            </w:r>
            <w:r>
              <w:rPr>
                <w:rFonts w:hint="eastAsia"/>
                <w:color w:val="auto"/>
                <w:kern w:val="24"/>
                <w:sz w:val="24"/>
                <w:highlight w:val="none"/>
              </w:rPr>
              <w:t>面设一个10m</w:t>
            </w:r>
            <w:r>
              <w:rPr>
                <w:rFonts w:hint="eastAsia"/>
                <w:color w:val="auto"/>
                <w:kern w:val="24"/>
                <w:sz w:val="24"/>
                <w:highlight w:val="none"/>
                <w:vertAlign w:val="superscript"/>
              </w:rPr>
              <w:t>2</w:t>
            </w:r>
            <w:r>
              <w:rPr>
                <w:rFonts w:hint="eastAsia"/>
                <w:color w:val="auto"/>
                <w:kern w:val="24"/>
                <w:sz w:val="24"/>
                <w:highlight w:val="none"/>
              </w:rPr>
              <w:t>的灰渣</w:t>
            </w:r>
            <w:r>
              <w:rPr>
                <w:rFonts w:hint="eastAsia"/>
                <w:color w:val="auto"/>
                <w:kern w:val="24"/>
                <w:sz w:val="24"/>
                <w:highlight w:val="none"/>
                <w:lang w:val="en-US" w:eastAsia="zh-CN"/>
              </w:rPr>
              <w:t>暂存区</w:t>
            </w:r>
            <w:r>
              <w:rPr>
                <w:rFonts w:hint="eastAsia"/>
                <w:color w:val="auto"/>
                <w:kern w:val="24"/>
                <w:sz w:val="24"/>
                <w:highlight w:val="none"/>
              </w:rPr>
              <w:t>，用于</w:t>
            </w:r>
            <w:r>
              <w:rPr>
                <w:rFonts w:hint="eastAsia"/>
                <w:color w:val="auto"/>
                <w:kern w:val="24"/>
                <w:sz w:val="24"/>
                <w:highlight w:val="none"/>
                <w:lang w:val="en-US" w:eastAsia="zh-CN"/>
              </w:rPr>
              <w:t>灰渣和除尘灰的暂存</w:t>
            </w:r>
            <w:r>
              <w:rPr>
                <w:color w:val="auto"/>
                <w:kern w:val="24"/>
                <w:sz w:val="24"/>
                <w:highlight w:val="none"/>
              </w:rPr>
              <w:t>。</w:t>
            </w:r>
            <w:r>
              <w:rPr>
                <w:rFonts w:hint="eastAsia"/>
                <w:color w:val="auto"/>
                <w:kern w:val="24"/>
                <w:sz w:val="24"/>
                <w:highlight w:val="none"/>
                <w:lang w:val="en-US" w:eastAsia="zh-CN"/>
              </w:rPr>
              <w:t>灰渣和除尘灰</w:t>
            </w:r>
            <w:r>
              <w:rPr>
                <w:color w:val="auto"/>
                <w:kern w:val="24"/>
                <w:sz w:val="24"/>
                <w:highlight w:val="none"/>
              </w:rPr>
              <w:t>堆放场所选址</w:t>
            </w:r>
            <w:r>
              <w:rPr>
                <w:rFonts w:hint="eastAsia"/>
                <w:color w:val="auto"/>
                <w:kern w:val="24"/>
                <w:sz w:val="24"/>
                <w:highlight w:val="none"/>
              </w:rPr>
              <w:t>、</w:t>
            </w:r>
            <w:r>
              <w:rPr>
                <w:color w:val="auto"/>
                <w:kern w:val="24"/>
                <w:sz w:val="24"/>
                <w:highlight w:val="none"/>
              </w:rPr>
              <w:t>运行等</w:t>
            </w:r>
            <w:r>
              <w:rPr>
                <w:rFonts w:hint="eastAsia"/>
                <w:color w:val="auto"/>
                <w:kern w:val="24"/>
                <w:sz w:val="24"/>
                <w:highlight w:val="none"/>
              </w:rPr>
              <w:t>应</w:t>
            </w:r>
            <w:r>
              <w:rPr>
                <w:color w:val="auto"/>
                <w:kern w:val="24"/>
                <w:sz w:val="24"/>
                <w:highlight w:val="none"/>
              </w:rPr>
              <w:t>满足《</w:t>
            </w:r>
            <w:r>
              <w:rPr>
                <w:rFonts w:hint="eastAsia"/>
                <w:color w:val="auto"/>
                <w:kern w:val="24"/>
                <w:sz w:val="24"/>
                <w:highlight w:val="none"/>
              </w:rPr>
              <w:t>一般工业固体废物贮存和填埋污染控制标准</w:t>
            </w:r>
            <w:r>
              <w:rPr>
                <w:color w:val="auto"/>
                <w:kern w:val="24"/>
                <w:sz w:val="24"/>
                <w:highlight w:val="none"/>
              </w:rPr>
              <w:t>》（GB</w:t>
            </w:r>
            <w:r>
              <w:rPr>
                <w:rFonts w:hint="eastAsia"/>
                <w:color w:val="auto"/>
                <w:kern w:val="24"/>
                <w:sz w:val="24"/>
                <w:highlight w:val="none"/>
              </w:rPr>
              <w:t>18599-2020</w:t>
            </w:r>
            <w:r>
              <w:rPr>
                <w:color w:val="auto"/>
                <w:kern w:val="24"/>
                <w:sz w:val="24"/>
                <w:highlight w:val="none"/>
              </w:rPr>
              <w:t>）</w:t>
            </w:r>
            <w:r>
              <w:rPr>
                <w:rFonts w:hint="eastAsia"/>
                <w:color w:val="auto"/>
                <w:kern w:val="24"/>
                <w:sz w:val="24"/>
                <w:highlight w:val="none"/>
              </w:rPr>
              <w:t>及《</w:t>
            </w:r>
            <w:r>
              <w:rPr>
                <w:color w:val="auto"/>
                <w:kern w:val="24"/>
                <w:sz w:val="24"/>
                <w:highlight w:val="none"/>
              </w:rPr>
              <w:t>一般固体废物</w:t>
            </w:r>
            <w:r>
              <w:rPr>
                <w:rFonts w:hint="eastAsia"/>
                <w:color w:val="auto"/>
                <w:kern w:val="24"/>
                <w:sz w:val="24"/>
                <w:highlight w:val="none"/>
              </w:rPr>
              <w:t>分类与代码》</w:t>
            </w:r>
            <w:r>
              <w:rPr>
                <w:color w:val="auto"/>
                <w:kern w:val="24"/>
                <w:sz w:val="24"/>
                <w:highlight w:val="none"/>
              </w:rPr>
              <w:t>（</w:t>
            </w:r>
            <w:r>
              <w:rPr>
                <w:rFonts w:hint="eastAsia"/>
                <w:color w:val="auto"/>
                <w:kern w:val="24"/>
                <w:sz w:val="24"/>
                <w:highlight w:val="none"/>
              </w:rPr>
              <w:t>GBT39198-2020</w:t>
            </w:r>
            <w:r>
              <w:rPr>
                <w:color w:val="auto"/>
                <w:kern w:val="24"/>
                <w:sz w:val="24"/>
                <w:highlight w:val="none"/>
              </w:rPr>
              <w:t>）中相关要求。</w:t>
            </w:r>
          </w:p>
          <w:p w14:paraId="386F09FC">
            <w:pPr>
              <w:adjustRightInd w:val="0"/>
              <w:snapToGrid w:val="0"/>
              <w:spacing w:line="360" w:lineRule="auto"/>
              <w:ind w:firstLine="480" w:firstLineChars="200"/>
              <w:rPr>
                <w:color w:val="auto"/>
                <w:kern w:val="24"/>
                <w:sz w:val="24"/>
                <w:highlight w:val="none"/>
              </w:rPr>
            </w:pPr>
            <w:r>
              <w:rPr>
                <w:color w:val="auto"/>
                <w:kern w:val="24"/>
                <w:sz w:val="24"/>
                <w:highlight w:val="none"/>
              </w:rPr>
              <w:t>（2）固体废物贮存管理要求</w:t>
            </w:r>
          </w:p>
          <w:p w14:paraId="21DF3227">
            <w:pPr>
              <w:adjustRightInd w:val="0"/>
              <w:snapToGrid w:val="0"/>
              <w:spacing w:line="360" w:lineRule="auto"/>
              <w:ind w:firstLine="480" w:firstLineChars="200"/>
              <w:rPr>
                <w:color w:val="auto"/>
                <w:kern w:val="24"/>
                <w:sz w:val="24"/>
                <w:highlight w:val="none"/>
              </w:rPr>
            </w:pPr>
            <w:r>
              <w:rPr>
                <w:rFonts w:hint="eastAsia"/>
                <w:color w:val="auto"/>
                <w:kern w:val="24"/>
                <w:sz w:val="24"/>
                <w:highlight w:val="none"/>
              </w:rPr>
              <w:t>一般工业固废：</w:t>
            </w:r>
          </w:p>
          <w:p w14:paraId="67A841B1">
            <w:pPr>
              <w:adjustRightInd w:val="0"/>
              <w:snapToGrid w:val="0"/>
              <w:spacing w:line="360" w:lineRule="auto"/>
              <w:ind w:firstLine="480" w:firstLineChars="200"/>
              <w:rPr>
                <w:color w:val="auto"/>
                <w:kern w:val="24"/>
                <w:sz w:val="24"/>
                <w:highlight w:val="none"/>
              </w:rPr>
            </w:pPr>
            <w:r>
              <w:rPr>
                <w:color w:val="auto"/>
                <w:kern w:val="24"/>
                <w:sz w:val="24"/>
                <w:highlight w:val="none"/>
              </w:rPr>
              <w:t>①要按照《</w:t>
            </w:r>
            <w:r>
              <w:rPr>
                <w:rFonts w:hint="eastAsia"/>
                <w:color w:val="auto"/>
                <w:kern w:val="24"/>
                <w:sz w:val="24"/>
                <w:highlight w:val="none"/>
              </w:rPr>
              <w:t>一般工业固体废物贮存和填埋污染控制标准</w:t>
            </w:r>
            <w:r>
              <w:rPr>
                <w:color w:val="auto"/>
                <w:kern w:val="24"/>
                <w:sz w:val="24"/>
                <w:highlight w:val="none"/>
              </w:rPr>
              <w:t>》（GB</w:t>
            </w:r>
            <w:r>
              <w:rPr>
                <w:rFonts w:hint="eastAsia"/>
                <w:color w:val="auto"/>
                <w:kern w:val="24"/>
                <w:sz w:val="24"/>
                <w:highlight w:val="none"/>
              </w:rPr>
              <w:t>18599-2020</w:t>
            </w:r>
            <w:r>
              <w:rPr>
                <w:color w:val="auto"/>
                <w:kern w:val="24"/>
                <w:sz w:val="24"/>
                <w:highlight w:val="none"/>
              </w:rPr>
              <w:t>）</w:t>
            </w:r>
            <w:r>
              <w:rPr>
                <w:rFonts w:hint="eastAsia"/>
                <w:color w:val="auto"/>
                <w:kern w:val="24"/>
                <w:sz w:val="24"/>
                <w:highlight w:val="none"/>
              </w:rPr>
              <w:t>及《</w:t>
            </w:r>
            <w:r>
              <w:rPr>
                <w:color w:val="auto"/>
                <w:kern w:val="24"/>
                <w:sz w:val="24"/>
                <w:highlight w:val="none"/>
              </w:rPr>
              <w:t>一般固体废物</w:t>
            </w:r>
            <w:r>
              <w:rPr>
                <w:rFonts w:hint="eastAsia"/>
                <w:color w:val="auto"/>
                <w:kern w:val="24"/>
                <w:sz w:val="24"/>
                <w:highlight w:val="none"/>
              </w:rPr>
              <w:t>分类与代码》</w:t>
            </w:r>
            <w:r>
              <w:rPr>
                <w:color w:val="auto"/>
                <w:kern w:val="24"/>
                <w:sz w:val="24"/>
                <w:highlight w:val="none"/>
              </w:rPr>
              <w:t>（</w:t>
            </w:r>
            <w:r>
              <w:rPr>
                <w:rFonts w:hint="eastAsia"/>
                <w:color w:val="auto"/>
                <w:kern w:val="24"/>
                <w:sz w:val="24"/>
                <w:highlight w:val="none"/>
              </w:rPr>
              <w:t>GBT39198-2020</w:t>
            </w:r>
            <w:r>
              <w:rPr>
                <w:color w:val="auto"/>
                <w:kern w:val="24"/>
                <w:sz w:val="24"/>
                <w:highlight w:val="none"/>
              </w:rPr>
              <w:t>）的要求设置暂存场所。</w:t>
            </w:r>
          </w:p>
          <w:p w14:paraId="5B42D35E">
            <w:pPr>
              <w:adjustRightInd w:val="0"/>
              <w:snapToGrid w:val="0"/>
              <w:spacing w:line="360" w:lineRule="auto"/>
              <w:ind w:firstLine="480" w:firstLineChars="200"/>
              <w:rPr>
                <w:color w:val="auto"/>
                <w:kern w:val="24"/>
                <w:sz w:val="24"/>
                <w:highlight w:val="none"/>
              </w:rPr>
            </w:pPr>
            <w:r>
              <w:rPr>
                <w:color w:val="auto"/>
                <w:kern w:val="24"/>
                <w:sz w:val="24"/>
                <w:highlight w:val="none"/>
              </w:rPr>
              <w:t>②</w:t>
            </w:r>
            <w:r>
              <w:rPr>
                <w:rFonts w:hint="eastAsia"/>
                <w:color w:val="auto"/>
                <w:kern w:val="24"/>
                <w:sz w:val="24"/>
                <w:highlight w:val="none"/>
                <w:lang w:eastAsia="zh-CN"/>
              </w:rPr>
              <w:t>蒸汽发生器</w:t>
            </w:r>
            <w:r>
              <w:rPr>
                <w:rFonts w:hint="eastAsia"/>
                <w:color w:val="auto"/>
                <w:kern w:val="24"/>
                <w:sz w:val="24"/>
                <w:highlight w:val="none"/>
              </w:rPr>
              <w:t>炉渣及除尘灰收集和转运应采用编织袋集中收集，</w:t>
            </w:r>
            <w:r>
              <w:rPr>
                <w:rFonts w:hint="eastAsia"/>
                <w:color w:val="auto"/>
                <w:kern w:val="24"/>
                <w:sz w:val="24"/>
                <w:highlight w:val="none"/>
                <w:lang w:val="en-US" w:eastAsia="zh-CN"/>
              </w:rPr>
              <w:t>日产日清，</w:t>
            </w:r>
            <w:r>
              <w:rPr>
                <w:rFonts w:hint="eastAsia"/>
                <w:color w:val="auto"/>
                <w:kern w:val="24"/>
                <w:sz w:val="24"/>
                <w:highlight w:val="none"/>
              </w:rPr>
              <w:t>灰渣</w:t>
            </w:r>
            <w:r>
              <w:rPr>
                <w:rFonts w:hint="eastAsia"/>
                <w:color w:val="auto"/>
                <w:kern w:val="24"/>
                <w:sz w:val="24"/>
                <w:highlight w:val="none"/>
                <w:lang w:val="en-US" w:eastAsia="zh-CN"/>
              </w:rPr>
              <w:t>暂存区</w:t>
            </w:r>
            <w:r>
              <w:rPr>
                <w:rFonts w:hint="eastAsia"/>
                <w:color w:val="auto"/>
                <w:kern w:val="24"/>
                <w:sz w:val="24"/>
                <w:highlight w:val="none"/>
              </w:rPr>
              <w:t>做好防风、防雨、防渗漏措施，严禁露天堆放</w:t>
            </w:r>
            <w:r>
              <w:rPr>
                <w:color w:val="auto"/>
                <w:kern w:val="24"/>
                <w:sz w:val="24"/>
                <w:highlight w:val="none"/>
              </w:rPr>
              <w:t>，防止雨水进入产生二次污染。</w:t>
            </w:r>
          </w:p>
          <w:p w14:paraId="36B3230C">
            <w:pPr>
              <w:adjustRightInd w:val="0"/>
              <w:snapToGrid w:val="0"/>
              <w:spacing w:line="360" w:lineRule="auto"/>
              <w:ind w:firstLine="480" w:firstLineChars="200"/>
              <w:rPr>
                <w:color w:val="auto"/>
                <w:kern w:val="24"/>
                <w:sz w:val="24"/>
                <w:highlight w:val="none"/>
              </w:rPr>
            </w:pPr>
            <w:r>
              <w:rPr>
                <w:color w:val="auto"/>
                <w:kern w:val="24"/>
                <w:sz w:val="24"/>
                <w:highlight w:val="none"/>
              </w:rPr>
              <w:t>③</w:t>
            </w:r>
            <w:r>
              <w:rPr>
                <w:rFonts w:hint="eastAsia"/>
                <w:color w:val="auto"/>
                <w:kern w:val="24"/>
                <w:sz w:val="24"/>
                <w:highlight w:val="none"/>
              </w:rPr>
              <w:t>灰渣</w:t>
            </w:r>
            <w:r>
              <w:rPr>
                <w:rFonts w:hint="eastAsia"/>
                <w:color w:val="auto"/>
                <w:kern w:val="24"/>
                <w:sz w:val="24"/>
                <w:highlight w:val="none"/>
                <w:lang w:val="en-US" w:eastAsia="zh-CN"/>
              </w:rPr>
              <w:t>暂存区</w:t>
            </w:r>
            <w:r>
              <w:rPr>
                <w:color w:val="auto"/>
                <w:kern w:val="24"/>
                <w:sz w:val="24"/>
                <w:highlight w:val="none"/>
              </w:rPr>
              <w:t>按照《</w:t>
            </w:r>
            <w:r>
              <w:rPr>
                <w:rFonts w:hint="eastAsia"/>
                <w:color w:val="auto"/>
                <w:kern w:val="24"/>
                <w:sz w:val="24"/>
                <w:highlight w:val="none"/>
              </w:rPr>
              <w:t>一般工业固体废物贮存和填埋污染控制标准</w:t>
            </w:r>
            <w:r>
              <w:rPr>
                <w:color w:val="auto"/>
                <w:kern w:val="24"/>
                <w:sz w:val="24"/>
                <w:highlight w:val="none"/>
              </w:rPr>
              <w:t>》（GB</w:t>
            </w:r>
            <w:r>
              <w:rPr>
                <w:rFonts w:hint="eastAsia"/>
                <w:color w:val="auto"/>
                <w:kern w:val="24"/>
                <w:sz w:val="24"/>
                <w:highlight w:val="none"/>
              </w:rPr>
              <w:t>18599-2020</w:t>
            </w:r>
            <w:r>
              <w:rPr>
                <w:color w:val="auto"/>
                <w:kern w:val="24"/>
                <w:sz w:val="24"/>
                <w:highlight w:val="none"/>
              </w:rPr>
              <w:t>）</w:t>
            </w:r>
            <w:r>
              <w:rPr>
                <w:rFonts w:hint="eastAsia"/>
                <w:color w:val="auto"/>
                <w:kern w:val="24"/>
                <w:sz w:val="24"/>
                <w:highlight w:val="none"/>
              </w:rPr>
              <w:t>及《</w:t>
            </w:r>
            <w:r>
              <w:rPr>
                <w:color w:val="auto"/>
                <w:kern w:val="24"/>
                <w:sz w:val="24"/>
                <w:highlight w:val="none"/>
              </w:rPr>
              <w:t>一般固体废物</w:t>
            </w:r>
            <w:r>
              <w:rPr>
                <w:rFonts w:hint="eastAsia"/>
                <w:color w:val="auto"/>
                <w:kern w:val="24"/>
                <w:sz w:val="24"/>
                <w:highlight w:val="none"/>
              </w:rPr>
              <w:t>分类与代码》</w:t>
            </w:r>
            <w:r>
              <w:rPr>
                <w:color w:val="auto"/>
                <w:kern w:val="24"/>
                <w:sz w:val="24"/>
                <w:highlight w:val="none"/>
              </w:rPr>
              <w:t>（</w:t>
            </w:r>
            <w:r>
              <w:rPr>
                <w:rFonts w:hint="eastAsia"/>
                <w:color w:val="auto"/>
                <w:kern w:val="24"/>
                <w:sz w:val="24"/>
                <w:highlight w:val="none"/>
              </w:rPr>
              <w:t>GBT39198-2020</w:t>
            </w:r>
            <w:r>
              <w:rPr>
                <w:color w:val="auto"/>
                <w:kern w:val="24"/>
                <w:sz w:val="24"/>
                <w:highlight w:val="none"/>
              </w:rPr>
              <w:t>）相关要求建设，地面基础及内墙采取防渗措施，使用防水混凝土。一般固体废物按照不同的类别和性质，分区堆放。通过规范设置固体废物暂存场，同时建立完善厂内固体废物防范措施和管理制度，可使固体废物在收集、存放过程中对环境的影响至最低限度。</w:t>
            </w:r>
          </w:p>
          <w:p w14:paraId="16BC78E8">
            <w:pPr>
              <w:adjustRightInd w:val="0"/>
              <w:snapToGrid w:val="0"/>
              <w:spacing w:line="360" w:lineRule="auto"/>
              <w:ind w:firstLine="482" w:firstLineChars="200"/>
              <w:rPr>
                <w:b/>
                <w:bCs/>
                <w:color w:val="auto"/>
                <w:sz w:val="24"/>
                <w:highlight w:val="none"/>
              </w:rPr>
            </w:pPr>
            <w:r>
              <w:rPr>
                <w:rFonts w:hint="eastAsia"/>
                <w:b/>
                <w:bCs/>
                <w:color w:val="auto"/>
                <w:kern w:val="24"/>
                <w:sz w:val="24"/>
                <w:highlight w:val="none"/>
              </w:rPr>
              <w:t>3、</w:t>
            </w:r>
            <w:r>
              <w:rPr>
                <w:b/>
                <w:bCs/>
                <w:color w:val="auto"/>
                <w:sz w:val="24"/>
                <w:highlight w:val="none"/>
              </w:rPr>
              <w:t>固体废物环境影响分析</w:t>
            </w:r>
          </w:p>
          <w:p w14:paraId="4CB9C513">
            <w:pPr>
              <w:adjustRightInd w:val="0"/>
              <w:snapToGrid w:val="0"/>
              <w:spacing w:line="360" w:lineRule="auto"/>
              <w:ind w:firstLine="480" w:firstLineChars="200"/>
              <w:rPr>
                <w:color w:val="auto"/>
                <w:kern w:val="24"/>
                <w:sz w:val="24"/>
                <w:highlight w:val="none"/>
              </w:rPr>
            </w:pPr>
            <w:r>
              <w:rPr>
                <w:color w:val="auto"/>
                <w:kern w:val="24"/>
                <w:sz w:val="24"/>
                <w:highlight w:val="none"/>
              </w:rPr>
              <w:t>固体废物的处理处置应遵循分类收集、优先综合利用等原则，本项目固体废物处置率100%，对周围环境无直接影响。</w:t>
            </w:r>
          </w:p>
          <w:p w14:paraId="3DA83BCC">
            <w:pPr>
              <w:adjustRightInd w:val="0"/>
              <w:snapToGrid w:val="0"/>
              <w:spacing w:line="360" w:lineRule="auto"/>
              <w:ind w:firstLine="480" w:firstLineChars="200"/>
              <w:rPr>
                <w:color w:val="auto"/>
                <w:kern w:val="24"/>
                <w:sz w:val="24"/>
                <w:highlight w:val="none"/>
              </w:rPr>
            </w:pPr>
            <w:r>
              <w:rPr>
                <w:color w:val="auto"/>
                <w:kern w:val="24"/>
                <w:sz w:val="24"/>
                <w:highlight w:val="none"/>
              </w:rPr>
              <w:t>综上所述，本项目产生的固废经妥善处理、处置后，可以实现零排放，对周围环境不会造成影响，所采取的治理措施是可行的。但必须指出的是，固体废物综合利用、处理处置前在厂内的堆放、贮存场所应按照国家固体废物贮存有关要求设置，避免产生二次污染。建设单位在生产过程中必须做好固废的暂存工作，暂存场所必须做好防渗、防漏、防晒、防淋等工作。在运输过程注意运输安全，途中不得沿路抛洒，并在堆放场所树立明显的标志牌。</w:t>
            </w:r>
          </w:p>
          <w:p w14:paraId="5CE074EF">
            <w:pPr>
              <w:pStyle w:val="80"/>
              <w:ind w:left="0" w:leftChars="0" w:firstLine="0" w:firstLineChars="0"/>
              <w:rPr>
                <w:color w:val="auto"/>
                <w:kern w:val="24"/>
                <w:highlight w:val="none"/>
              </w:rPr>
            </w:pPr>
            <w:r>
              <w:rPr>
                <w:rFonts w:hint="eastAsia"/>
                <w:b/>
                <w:bCs/>
                <w:color w:val="auto"/>
                <w:highlight w:val="none"/>
                <w:lang w:val="en-US" w:eastAsia="zh-CN"/>
              </w:rPr>
              <w:t>六</w:t>
            </w:r>
            <w:r>
              <w:rPr>
                <w:rFonts w:hint="eastAsia"/>
                <w:b/>
                <w:bCs/>
                <w:color w:val="auto"/>
                <w:highlight w:val="none"/>
              </w:rPr>
              <w:t>、运营期地下水、土壤环境影响和保护措施</w:t>
            </w:r>
          </w:p>
          <w:p w14:paraId="2E625AC8">
            <w:pPr>
              <w:pStyle w:val="80"/>
              <w:ind w:firstLine="480"/>
              <w:rPr>
                <w:color w:val="auto"/>
                <w:kern w:val="24"/>
                <w:highlight w:val="none"/>
              </w:rPr>
            </w:pPr>
            <w:r>
              <w:rPr>
                <w:rFonts w:hint="eastAsia"/>
                <w:color w:val="auto"/>
                <w:kern w:val="24"/>
                <w:highlight w:val="none"/>
              </w:rPr>
              <w:t xml:space="preserve">（1）地下水、土壤污染物类型及污染途径分析 </w:t>
            </w:r>
          </w:p>
          <w:p w14:paraId="0ECD0559">
            <w:pPr>
              <w:pStyle w:val="80"/>
              <w:ind w:firstLine="480"/>
              <w:rPr>
                <w:color w:val="auto"/>
                <w:kern w:val="24"/>
                <w:highlight w:val="none"/>
              </w:rPr>
            </w:pPr>
            <w:r>
              <w:rPr>
                <w:rFonts w:hint="eastAsia"/>
                <w:color w:val="auto"/>
                <w:highlight w:val="none"/>
              </w:rPr>
              <w:t>本项目正常情况下不会发生地下水、土壤污染，在</w:t>
            </w:r>
            <w:r>
              <w:rPr>
                <w:rFonts w:hint="eastAsia"/>
                <w:color w:val="auto"/>
                <w:kern w:val="24"/>
                <w:highlight w:val="none"/>
              </w:rPr>
              <w:t>污水管道破损等</w:t>
            </w:r>
            <w:r>
              <w:rPr>
                <w:rFonts w:hint="eastAsia"/>
                <w:color w:val="auto"/>
                <w:highlight w:val="none"/>
              </w:rPr>
              <w:t>非正常状况下，</w:t>
            </w:r>
            <w:r>
              <w:rPr>
                <w:rFonts w:hint="eastAsia"/>
                <w:color w:val="auto"/>
                <w:kern w:val="24"/>
                <w:highlight w:val="none"/>
              </w:rPr>
              <w:t>导致污水流入地下水和土壤等情况可能导致地下水、土壤的污染。</w:t>
            </w:r>
          </w:p>
          <w:p w14:paraId="18056B7E">
            <w:pPr>
              <w:pStyle w:val="80"/>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项目对</w:t>
            </w:r>
            <w:r>
              <w:rPr>
                <w:rFonts w:hint="eastAsia" w:cs="Times New Roman"/>
                <w:color w:val="auto"/>
                <w:highlight w:val="none"/>
                <w:lang w:val="en-US" w:eastAsia="zh-CN"/>
              </w:rPr>
              <w:t>地</w:t>
            </w:r>
            <w:r>
              <w:rPr>
                <w:rFonts w:hint="eastAsia" w:ascii="Times New Roman" w:hAnsi="Times New Roman" w:eastAsia="宋体" w:cs="Times New Roman"/>
                <w:color w:val="auto"/>
                <w:highlight w:val="none"/>
              </w:rPr>
              <w:t>下水、土壤造成的污染途径主要有：</w:t>
            </w:r>
            <w:bookmarkStart w:id="38" w:name="_Hlk161927399"/>
            <w:r>
              <w:rPr>
                <w:rFonts w:hint="eastAsia" w:ascii="Times New Roman" w:hAnsi="Times New Roman" w:eastAsia="宋体" w:cs="Times New Roman"/>
                <w:color w:val="auto"/>
                <w:highlight w:val="none"/>
                <w:lang w:val="en-US" w:eastAsia="zh-CN"/>
              </w:rPr>
              <w:t>冷却循环水池</w:t>
            </w:r>
            <w:r>
              <w:rPr>
                <w:rFonts w:hint="eastAsia" w:ascii="Times New Roman" w:hAnsi="Times New Roman" w:eastAsia="宋体" w:cs="Times New Roman"/>
                <w:color w:val="auto"/>
                <w:highlight w:val="none"/>
              </w:rPr>
              <w:t>或污水输送管道、泵等设施发生老化腐蚀、渗漏</w:t>
            </w:r>
            <w:r>
              <w:rPr>
                <w:rFonts w:hint="eastAsia" w:ascii="Times New Roman" w:hAnsi="Times New Roman" w:eastAsia="宋体" w:cs="Times New Roman"/>
                <w:color w:val="auto"/>
                <w:highlight w:val="none"/>
                <w:lang w:eastAsia="zh-CN"/>
              </w:rPr>
              <w:t>导致</w:t>
            </w:r>
            <w:r>
              <w:rPr>
                <w:rFonts w:hint="eastAsia" w:ascii="Times New Roman" w:hAnsi="Times New Roman" w:eastAsia="宋体" w:cs="Times New Roman"/>
                <w:color w:val="auto"/>
                <w:highlight w:val="none"/>
              </w:rPr>
              <w:t>污水缓慢下渗污染地下水和土壤。</w:t>
            </w:r>
            <w:bookmarkEnd w:id="38"/>
          </w:p>
          <w:p w14:paraId="52E413C1">
            <w:pPr>
              <w:pStyle w:val="25"/>
              <w:adjustRightInd w:val="0"/>
              <w:snapToGrid w:val="0"/>
              <w:spacing w:line="360" w:lineRule="auto"/>
              <w:ind w:firstLine="480"/>
              <w:rPr>
                <w:color w:val="auto"/>
                <w:sz w:val="24"/>
                <w:highlight w:val="none"/>
              </w:rPr>
            </w:pPr>
            <w:r>
              <w:rPr>
                <w:rFonts w:hint="eastAsia"/>
                <w:color w:val="auto"/>
                <w:sz w:val="24"/>
                <w:highlight w:val="none"/>
              </w:rPr>
              <w:t>项目地下水、土壤污染分析见下表。</w:t>
            </w:r>
          </w:p>
          <w:p w14:paraId="1E2F8F1B">
            <w:pPr>
              <w:adjustRightInd w:val="0"/>
              <w:snapToGrid w:val="0"/>
              <w:spacing w:line="360" w:lineRule="auto"/>
              <w:ind w:firstLine="482" w:firstLineChars="200"/>
              <w:jc w:val="center"/>
              <w:rPr>
                <w:b/>
                <w:color w:val="auto"/>
                <w:kern w:val="24"/>
                <w:sz w:val="24"/>
                <w:highlight w:val="none"/>
              </w:rPr>
            </w:pPr>
            <w:r>
              <w:rPr>
                <w:rFonts w:hint="eastAsia"/>
                <w:b/>
                <w:color w:val="auto"/>
                <w:kern w:val="24"/>
                <w:sz w:val="24"/>
                <w:highlight w:val="none"/>
              </w:rPr>
              <w:t>表4-</w:t>
            </w:r>
            <w:r>
              <w:rPr>
                <w:rFonts w:hint="eastAsia"/>
                <w:b/>
                <w:color w:val="auto"/>
                <w:kern w:val="24"/>
                <w:sz w:val="24"/>
                <w:highlight w:val="none"/>
                <w:lang w:val="en-US" w:eastAsia="zh-CN"/>
              </w:rPr>
              <w:t xml:space="preserve">19 </w:t>
            </w:r>
            <w:r>
              <w:rPr>
                <w:rFonts w:hint="eastAsia"/>
                <w:b/>
                <w:color w:val="auto"/>
                <w:kern w:val="24"/>
                <w:sz w:val="24"/>
                <w:highlight w:val="none"/>
              </w:rPr>
              <w:t xml:space="preserve"> 地下水、土壤污染分析一览表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057"/>
              <w:gridCol w:w="1483"/>
              <w:gridCol w:w="3613"/>
              <w:gridCol w:w="1271"/>
            </w:tblGrid>
            <w:tr w14:paraId="59F7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057" w:type="dxa"/>
                  <w:vAlign w:val="center"/>
                </w:tcPr>
                <w:p w14:paraId="1F20B284">
                  <w:pPr>
                    <w:adjustRightInd w:val="0"/>
                    <w:snapToGrid w:val="0"/>
                    <w:jc w:val="center"/>
                    <w:rPr>
                      <w:color w:val="auto"/>
                      <w:kern w:val="24"/>
                      <w:szCs w:val="21"/>
                      <w:highlight w:val="none"/>
                    </w:rPr>
                  </w:pPr>
                  <w:r>
                    <w:rPr>
                      <w:rFonts w:hint="eastAsia"/>
                      <w:color w:val="auto"/>
                      <w:kern w:val="24"/>
                      <w:szCs w:val="21"/>
                      <w:highlight w:val="none"/>
                    </w:rPr>
                    <w:t>地下水、土壤污染源</w:t>
                  </w:r>
                </w:p>
              </w:tc>
              <w:tc>
                <w:tcPr>
                  <w:tcW w:w="1483" w:type="dxa"/>
                  <w:vAlign w:val="center"/>
                </w:tcPr>
                <w:p w14:paraId="59D15930">
                  <w:pPr>
                    <w:adjustRightInd w:val="0"/>
                    <w:snapToGrid w:val="0"/>
                    <w:jc w:val="center"/>
                    <w:rPr>
                      <w:color w:val="auto"/>
                      <w:kern w:val="24"/>
                      <w:szCs w:val="21"/>
                      <w:highlight w:val="none"/>
                    </w:rPr>
                  </w:pPr>
                  <w:r>
                    <w:rPr>
                      <w:rFonts w:hint="eastAsia"/>
                      <w:color w:val="auto"/>
                      <w:kern w:val="24"/>
                      <w:szCs w:val="21"/>
                      <w:highlight w:val="none"/>
                    </w:rPr>
                    <w:t>污染物类型</w:t>
                  </w:r>
                </w:p>
              </w:tc>
              <w:tc>
                <w:tcPr>
                  <w:tcW w:w="3613" w:type="dxa"/>
                  <w:vAlign w:val="center"/>
                </w:tcPr>
                <w:p w14:paraId="43556328">
                  <w:pPr>
                    <w:adjustRightInd w:val="0"/>
                    <w:snapToGrid w:val="0"/>
                    <w:jc w:val="center"/>
                    <w:rPr>
                      <w:color w:val="auto"/>
                      <w:kern w:val="24"/>
                      <w:szCs w:val="21"/>
                      <w:highlight w:val="none"/>
                    </w:rPr>
                  </w:pPr>
                  <w:r>
                    <w:rPr>
                      <w:rFonts w:hint="eastAsia"/>
                      <w:color w:val="auto"/>
                      <w:kern w:val="24"/>
                      <w:szCs w:val="21"/>
                      <w:highlight w:val="none"/>
                    </w:rPr>
                    <w:t>污染途径</w:t>
                  </w:r>
                </w:p>
              </w:tc>
              <w:tc>
                <w:tcPr>
                  <w:tcW w:w="1271" w:type="dxa"/>
                  <w:vAlign w:val="center"/>
                </w:tcPr>
                <w:p w14:paraId="6CAEB052">
                  <w:pPr>
                    <w:adjustRightInd w:val="0"/>
                    <w:snapToGrid w:val="0"/>
                    <w:jc w:val="center"/>
                    <w:rPr>
                      <w:color w:val="auto"/>
                      <w:kern w:val="24"/>
                      <w:szCs w:val="21"/>
                      <w:highlight w:val="none"/>
                    </w:rPr>
                  </w:pPr>
                  <w:r>
                    <w:rPr>
                      <w:rFonts w:hint="eastAsia"/>
                      <w:color w:val="auto"/>
                      <w:kern w:val="24"/>
                      <w:szCs w:val="21"/>
                      <w:highlight w:val="none"/>
                    </w:rPr>
                    <w:t>分区防控</w:t>
                  </w:r>
                </w:p>
              </w:tc>
            </w:tr>
            <w:tr w14:paraId="5D82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2057" w:type="dxa"/>
                  <w:vAlign w:val="center"/>
                </w:tcPr>
                <w:p w14:paraId="3B3E3433">
                  <w:pPr>
                    <w:adjustRightInd w:val="0"/>
                    <w:snapToGrid w:val="0"/>
                    <w:jc w:val="center"/>
                    <w:rPr>
                      <w:color w:val="auto"/>
                      <w:kern w:val="24"/>
                      <w:szCs w:val="21"/>
                      <w:highlight w:val="none"/>
                    </w:rPr>
                  </w:pPr>
                  <w:r>
                    <w:rPr>
                      <w:rFonts w:hint="eastAsia"/>
                      <w:color w:val="auto"/>
                      <w:szCs w:val="21"/>
                      <w:highlight w:val="none"/>
                      <w:lang w:val="en-US" w:eastAsia="zh-CN"/>
                    </w:rPr>
                    <w:t>冷却循环水池</w:t>
                  </w:r>
                  <w:r>
                    <w:rPr>
                      <w:rFonts w:hint="eastAsia"/>
                      <w:color w:val="auto"/>
                      <w:kern w:val="24"/>
                      <w:szCs w:val="21"/>
                      <w:highlight w:val="none"/>
                    </w:rPr>
                    <w:t>、</w:t>
                  </w:r>
                  <w:r>
                    <w:rPr>
                      <w:rFonts w:hint="eastAsia"/>
                      <w:color w:val="auto"/>
                      <w:kern w:val="24"/>
                      <w:szCs w:val="21"/>
                      <w:highlight w:val="none"/>
                      <w:lang w:val="en-US" w:eastAsia="zh-CN"/>
                    </w:rPr>
                    <w:t>絮凝沉淀池、</w:t>
                  </w:r>
                  <w:r>
                    <w:rPr>
                      <w:rFonts w:hint="eastAsia"/>
                      <w:color w:val="auto"/>
                      <w:kern w:val="24"/>
                      <w:szCs w:val="21"/>
                      <w:highlight w:val="none"/>
                    </w:rPr>
                    <w:t>化粪池、污水输送管道</w:t>
                  </w:r>
                </w:p>
              </w:tc>
              <w:tc>
                <w:tcPr>
                  <w:tcW w:w="1483" w:type="dxa"/>
                  <w:vAlign w:val="center"/>
                </w:tcPr>
                <w:p w14:paraId="098E465F">
                  <w:pPr>
                    <w:adjustRightInd w:val="0"/>
                    <w:snapToGrid w:val="0"/>
                    <w:jc w:val="center"/>
                    <w:rPr>
                      <w:color w:val="auto"/>
                      <w:kern w:val="24"/>
                      <w:szCs w:val="21"/>
                      <w:highlight w:val="none"/>
                    </w:rPr>
                  </w:pPr>
                  <w:r>
                    <w:rPr>
                      <w:rFonts w:hint="eastAsia"/>
                      <w:color w:val="auto"/>
                      <w:kern w:val="24"/>
                      <w:szCs w:val="21"/>
                      <w:highlight w:val="none"/>
                    </w:rPr>
                    <w:t>pH、CODcr、NH</w:t>
                  </w:r>
                  <w:r>
                    <w:rPr>
                      <w:rFonts w:hint="eastAsia"/>
                      <w:color w:val="auto"/>
                      <w:kern w:val="24"/>
                      <w:szCs w:val="21"/>
                      <w:highlight w:val="none"/>
                      <w:vertAlign w:val="subscript"/>
                    </w:rPr>
                    <w:t>3</w:t>
                  </w:r>
                  <w:r>
                    <w:rPr>
                      <w:rFonts w:hint="eastAsia"/>
                      <w:color w:val="auto"/>
                      <w:kern w:val="24"/>
                      <w:szCs w:val="21"/>
                      <w:highlight w:val="none"/>
                    </w:rPr>
                    <w:t>-N、TP</w:t>
                  </w:r>
                </w:p>
              </w:tc>
              <w:tc>
                <w:tcPr>
                  <w:tcW w:w="3613" w:type="dxa"/>
                  <w:vAlign w:val="center"/>
                </w:tcPr>
                <w:p w14:paraId="13CCF3D2">
                  <w:pPr>
                    <w:adjustRightInd w:val="0"/>
                    <w:snapToGrid w:val="0"/>
                    <w:jc w:val="center"/>
                    <w:rPr>
                      <w:color w:val="auto"/>
                      <w:kern w:val="24"/>
                      <w:szCs w:val="21"/>
                      <w:highlight w:val="none"/>
                    </w:rPr>
                  </w:pPr>
                  <w:r>
                    <w:rPr>
                      <w:rFonts w:hint="eastAsia"/>
                      <w:color w:val="auto"/>
                      <w:kern w:val="24"/>
                      <w:szCs w:val="21"/>
                      <w:highlight w:val="none"/>
                    </w:rPr>
                    <w:t>污水管道破损导致废水渗漏，</w:t>
                  </w:r>
                  <w:r>
                    <w:rPr>
                      <w:rFonts w:hint="eastAsia"/>
                      <w:color w:val="auto"/>
                      <w:kern w:val="24"/>
                      <w:szCs w:val="21"/>
                      <w:highlight w:val="none"/>
                      <w:lang w:val="en-US" w:eastAsia="zh-CN"/>
                    </w:rPr>
                    <w:t>冷却循环水池</w:t>
                  </w:r>
                  <w:r>
                    <w:rPr>
                      <w:rFonts w:hint="eastAsia"/>
                      <w:color w:val="auto"/>
                      <w:kern w:val="24"/>
                      <w:szCs w:val="21"/>
                      <w:highlight w:val="none"/>
                    </w:rPr>
                    <w:t>、化粪池池体防渗层破裂导致污水</w:t>
                  </w:r>
                  <w:r>
                    <w:rPr>
                      <w:rFonts w:hint="eastAsia"/>
                      <w:color w:val="auto"/>
                      <w:kern w:val="24"/>
                      <w:szCs w:val="21"/>
                      <w:highlight w:val="none"/>
                      <w:lang w:eastAsia="zh-CN"/>
                    </w:rPr>
                    <w:t>泄漏</w:t>
                  </w:r>
                </w:p>
              </w:tc>
              <w:tc>
                <w:tcPr>
                  <w:tcW w:w="1271" w:type="dxa"/>
                  <w:vAlign w:val="center"/>
                </w:tcPr>
                <w:p w14:paraId="253B6272">
                  <w:pPr>
                    <w:adjustRightInd w:val="0"/>
                    <w:snapToGrid w:val="0"/>
                    <w:jc w:val="center"/>
                    <w:rPr>
                      <w:color w:val="auto"/>
                      <w:kern w:val="24"/>
                      <w:szCs w:val="21"/>
                      <w:highlight w:val="none"/>
                    </w:rPr>
                  </w:pPr>
                  <w:r>
                    <w:rPr>
                      <w:rFonts w:hint="eastAsia"/>
                      <w:color w:val="auto"/>
                      <w:kern w:val="24"/>
                      <w:szCs w:val="21"/>
                      <w:highlight w:val="none"/>
                    </w:rPr>
                    <w:t>一般防渗区</w:t>
                  </w:r>
                </w:p>
              </w:tc>
            </w:tr>
          </w:tbl>
          <w:p w14:paraId="2CFCE8D2">
            <w:pPr>
              <w:pStyle w:val="80"/>
              <w:ind w:firstLine="480"/>
              <w:rPr>
                <w:color w:val="auto"/>
                <w:kern w:val="24"/>
                <w:highlight w:val="none"/>
              </w:rPr>
            </w:pPr>
            <w:r>
              <w:rPr>
                <w:rFonts w:hint="eastAsia"/>
                <w:color w:val="auto"/>
                <w:kern w:val="24"/>
                <w:highlight w:val="none"/>
              </w:rPr>
              <w:t xml:space="preserve">（2）污染防控措施 </w:t>
            </w:r>
          </w:p>
          <w:p w14:paraId="41CBA49C">
            <w:pPr>
              <w:pStyle w:val="80"/>
              <w:ind w:firstLine="480"/>
              <w:rPr>
                <w:color w:val="auto"/>
                <w:kern w:val="24"/>
                <w:highlight w:val="none"/>
              </w:rPr>
            </w:pPr>
            <w:r>
              <w:rPr>
                <w:rFonts w:hint="eastAsia"/>
                <w:color w:val="auto"/>
                <w:kern w:val="24"/>
                <w:highlight w:val="none"/>
              </w:rPr>
              <w:t xml:space="preserve">①源头控制措施 </w:t>
            </w:r>
          </w:p>
          <w:p w14:paraId="2D7600DD">
            <w:pPr>
              <w:pStyle w:val="80"/>
              <w:ind w:firstLine="480"/>
              <w:rPr>
                <w:color w:val="auto"/>
                <w:kern w:val="24"/>
                <w:highlight w:val="none"/>
              </w:rPr>
            </w:pPr>
            <w:r>
              <w:rPr>
                <w:rFonts w:hint="eastAsia"/>
                <w:color w:val="auto"/>
                <w:kern w:val="24"/>
                <w:highlight w:val="none"/>
              </w:rPr>
              <w:t xml:space="preserve">a、本项目污水管道定期检查，防止地面污水下渗污染土壤和地下水。 </w:t>
            </w:r>
          </w:p>
          <w:p w14:paraId="4845BB81">
            <w:pPr>
              <w:pStyle w:val="80"/>
              <w:ind w:firstLine="480"/>
              <w:rPr>
                <w:color w:val="auto"/>
                <w:kern w:val="24"/>
                <w:highlight w:val="none"/>
              </w:rPr>
            </w:pPr>
            <w:r>
              <w:rPr>
                <w:rFonts w:hint="eastAsia"/>
                <w:color w:val="auto"/>
                <w:kern w:val="24"/>
                <w:highlight w:val="none"/>
              </w:rPr>
              <w:t>b、在</w:t>
            </w:r>
            <w:r>
              <w:rPr>
                <w:rFonts w:hint="eastAsia"/>
                <w:color w:val="auto"/>
                <w:kern w:val="24"/>
                <w:highlight w:val="none"/>
                <w:lang w:eastAsia="zh-CN"/>
              </w:rPr>
              <w:t>蒸汽发生器</w:t>
            </w:r>
            <w:r>
              <w:rPr>
                <w:rFonts w:hint="eastAsia"/>
                <w:color w:val="auto"/>
                <w:kern w:val="24"/>
                <w:highlight w:val="none"/>
              </w:rPr>
              <w:t xml:space="preserve">等设备选型上把好关，不合格的配件坚决不用；严格掌握关键设备的性能，安装质量要做到一丝不苟，并请劳动安全部门对设备和管道进行探伤、检查。 </w:t>
            </w:r>
          </w:p>
          <w:p w14:paraId="37DD7F15">
            <w:pPr>
              <w:pStyle w:val="80"/>
              <w:ind w:firstLine="480"/>
              <w:rPr>
                <w:color w:val="auto"/>
                <w:kern w:val="24"/>
                <w:highlight w:val="none"/>
              </w:rPr>
            </w:pPr>
            <w:r>
              <w:rPr>
                <w:rFonts w:hint="eastAsia"/>
                <w:color w:val="auto"/>
                <w:kern w:val="24"/>
                <w:highlight w:val="none"/>
              </w:rPr>
              <w:t xml:space="preserve">c、加强生产管理，对管道阀门定期检查，减少“跑、冒、滴、漏”等现象的发生。管道、阀门等尽可能设置在地上，以便于发现破损等问题及时更换，对设置地下的管道必须采用防渗管沟，管沟上设活动观察顶盖，以便于出现渗漏问题及时观察解决。 </w:t>
            </w:r>
          </w:p>
          <w:p w14:paraId="36BA0E84">
            <w:pPr>
              <w:pStyle w:val="80"/>
              <w:ind w:firstLine="480"/>
              <w:rPr>
                <w:color w:val="auto"/>
                <w:kern w:val="24"/>
                <w:highlight w:val="none"/>
              </w:rPr>
            </w:pPr>
            <w:r>
              <w:rPr>
                <w:rFonts w:hint="eastAsia"/>
                <w:color w:val="auto"/>
                <w:kern w:val="24"/>
                <w:highlight w:val="none"/>
              </w:rPr>
              <w:t xml:space="preserve">②分区防控措施 </w:t>
            </w:r>
          </w:p>
          <w:p w14:paraId="22569C9D">
            <w:pPr>
              <w:pStyle w:val="80"/>
              <w:ind w:firstLine="480"/>
              <w:rPr>
                <w:color w:val="auto"/>
                <w:kern w:val="24"/>
                <w:highlight w:val="none"/>
              </w:rPr>
            </w:pPr>
            <w:r>
              <w:rPr>
                <w:rFonts w:hint="eastAsia"/>
                <w:color w:val="auto"/>
                <w:highlight w:val="none"/>
                <w:lang w:val="en-US" w:eastAsia="zh-CN"/>
              </w:rPr>
              <w:t>项目采取分区防渗措施减小对地表水、土壤的影响，具体措施为：</w:t>
            </w:r>
            <w:r>
              <w:rPr>
                <w:rFonts w:hint="eastAsia"/>
                <w:color w:val="auto"/>
                <w:kern w:val="24"/>
                <w:highlight w:val="none"/>
              </w:rPr>
              <w:t xml:space="preserve"> </w:t>
            </w:r>
          </w:p>
          <w:p w14:paraId="7163D076">
            <w:pPr>
              <w:spacing w:line="360" w:lineRule="auto"/>
              <w:jc w:val="center"/>
              <w:rPr>
                <w:b/>
                <w:bCs/>
                <w:color w:val="auto"/>
                <w:kern w:val="24"/>
                <w:sz w:val="24"/>
                <w:highlight w:val="none"/>
              </w:rPr>
            </w:pPr>
            <w:r>
              <w:rPr>
                <w:rFonts w:hint="eastAsia"/>
                <w:b/>
                <w:bCs/>
                <w:color w:val="auto"/>
                <w:kern w:val="24"/>
                <w:sz w:val="24"/>
                <w:highlight w:val="none"/>
              </w:rPr>
              <w:t>表4-</w:t>
            </w:r>
            <w:r>
              <w:rPr>
                <w:rFonts w:hint="eastAsia"/>
                <w:b/>
                <w:bCs/>
                <w:color w:val="auto"/>
                <w:kern w:val="24"/>
                <w:sz w:val="24"/>
                <w:highlight w:val="none"/>
                <w:lang w:val="en-US" w:eastAsia="zh-CN"/>
              </w:rPr>
              <w:t xml:space="preserve">20 </w:t>
            </w:r>
            <w:r>
              <w:rPr>
                <w:rFonts w:hint="eastAsia"/>
                <w:b/>
                <w:bCs/>
                <w:color w:val="auto"/>
                <w:kern w:val="24"/>
                <w:sz w:val="24"/>
                <w:highlight w:val="none"/>
              </w:rPr>
              <w:t xml:space="preserve"> 项目地下水污染防渗分区表</w:t>
            </w:r>
          </w:p>
          <w:tbl>
            <w:tblPr>
              <w:tblStyle w:val="26"/>
              <w:tblW w:w="8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340"/>
              <w:gridCol w:w="2631"/>
              <w:gridCol w:w="1553"/>
            </w:tblGrid>
            <w:tr w14:paraId="07A1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64" w:type="pct"/>
                  <w:shd w:val="clear" w:color="auto" w:fill="auto"/>
                  <w:vAlign w:val="center"/>
                </w:tcPr>
                <w:p w14:paraId="1DE07120">
                  <w:pPr>
                    <w:jc w:val="center"/>
                    <w:rPr>
                      <w:color w:val="auto"/>
                      <w:szCs w:val="21"/>
                      <w:highlight w:val="none"/>
                    </w:rPr>
                  </w:pPr>
                  <w:r>
                    <w:rPr>
                      <w:color w:val="auto"/>
                      <w:szCs w:val="21"/>
                      <w:highlight w:val="none"/>
                    </w:rPr>
                    <w:t>污染防渗区类别</w:t>
                  </w:r>
                </w:p>
              </w:tc>
              <w:tc>
                <w:tcPr>
                  <w:tcW w:w="1411" w:type="pct"/>
                  <w:shd w:val="clear" w:color="auto" w:fill="auto"/>
                  <w:vAlign w:val="center"/>
                </w:tcPr>
                <w:p w14:paraId="70836C29">
                  <w:pPr>
                    <w:jc w:val="center"/>
                    <w:rPr>
                      <w:color w:val="auto"/>
                      <w:szCs w:val="21"/>
                      <w:highlight w:val="none"/>
                    </w:rPr>
                  </w:pPr>
                  <w:r>
                    <w:rPr>
                      <w:color w:val="auto"/>
                      <w:szCs w:val="21"/>
                      <w:highlight w:val="none"/>
                    </w:rPr>
                    <w:t>防渗区名称</w:t>
                  </w:r>
                </w:p>
              </w:tc>
              <w:tc>
                <w:tcPr>
                  <w:tcW w:w="1587" w:type="pct"/>
                  <w:shd w:val="clear" w:color="auto" w:fill="auto"/>
                  <w:vAlign w:val="center"/>
                </w:tcPr>
                <w:p w14:paraId="37C61517">
                  <w:pPr>
                    <w:jc w:val="center"/>
                    <w:rPr>
                      <w:color w:val="auto"/>
                      <w:szCs w:val="21"/>
                      <w:highlight w:val="none"/>
                    </w:rPr>
                  </w:pPr>
                  <w:r>
                    <w:rPr>
                      <w:color w:val="auto"/>
                      <w:szCs w:val="21"/>
                      <w:highlight w:val="none"/>
                    </w:rPr>
                    <w:t>防渗技术要求</w:t>
                  </w:r>
                </w:p>
              </w:tc>
              <w:tc>
                <w:tcPr>
                  <w:tcW w:w="936" w:type="pct"/>
                  <w:shd w:val="clear" w:color="auto" w:fill="auto"/>
                  <w:vAlign w:val="center"/>
                </w:tcPr>
                <w:p w14:paraId="6160DCBC">
                  <w:pPr>
                    <w:jc w:val="center"/>
                    <w:rPr>
                      <w:rFonts w:hint="eastAsia" w:eastAsia="宋体"/>
                      <w:color w:val="auto"/>
                      <w:szCs w:val="21"/>
                      <w:highlight w:val="none"/>
                      <w:lang w:val="en-US" w:eastAsia="zh-CN"/>
                    </w:rPr>
                  </w:pPr>
                  <w:r>
                    <w:rPr>
                      <w:rFonts w:hint="eastAsia"/>
                      <w:color w:val="auto"/>
                      <w:szCs w:val="21"/>
                      <w:highlight w:val="none"/>
                      <w:lang w:val="en-US" w:eastAsia="zh-CN"/>
                    </w:rPr>
                    <w:t>备注</w:t>
                  </w:r>
                </w:p>
              </w:tc>
            </w:tr>
            <w:tr w14:paraId="2A80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64" w:type="pct"/>
                  <w:vAlign w:val="center"/>
                </w:tcPr>
                <w:p w14:paraId="5C5EB5FE">
                  <w:pPr>
                    <w:jc w:val="center"/>
                    <w:rPr>
                      <w:color w:val="auto"/>
                      <w:szCs w:val="21"/>
                      <w:highlight w:val="none"/>
                    </w:rPr>
                  </w:pPr>
                  <w:r>
                    <w:rPr>
                      <w:color w:val="auto"/>
                      <w:szCs w:val="21"/>
                      <w:highlight w:val="none"/>
                    </w:rPr>
                    <w:t>一般防渗区</w:t>
                  </w:r>
                </w:p>
              </w:tc>
              <w:tc>
                <w:tcPr>
                  <w:tcW w:w="1411" w:type="pct"/>
                  <w:vAlign w:val="center"/>
                </w:tcPr>
                <w:p w14:paraId="42991963">
                  <w:pPr>
                    <w:jc w:val="center"/>
                    <w:rPr>
                      <w:rFonts w:hint="default" w:eastAsia="宋体"/>
                      <w:color w:val="auto"/>
                      <w:szCs w:val="21"/>
                      <w:highlight w:val="none"/>
                      <w:lang w:val="en-US" w:eastAsia="zh-CN"/>
                    </w:rPr>
                  </w:pPr>
                  <w:r>
                    <w:rPr>
                      <w:rFonts w:hint="eastAsia"/>
                      <w:color w:val="auto"/>
                      <w:kern w:val="24"/>
                      <w:highlight w:val="none"/>
                      <w:lang w:val="en-US" w:eastAsia="zh-CN"/>
                    </w:rPr>
                    <w:t>化粪池、</w:t>
                  </w:r>
                  <w:r>
                    <w:rPr>
                      <w:rFonts w:hint="eastAsia"/>
                      <w:color w:val="auto"/>
                      <w:kern w:val="24"/>
                      <w:highlight w:val="none"/>
                      <w:lang w:eastAsia="zh-CN"/>
                    </w:rPr>
                    <w:t>锅炉房</w:t>
                  </w:r>
                  <w:r>
                    <w:rPr>
                      <w:rFonts w:hint="eastAsia"/>
                      <w:color w:val="auto"/>
                      <w:kern w:val="24"/>
                      <w:highlight w:val="none"/>
                    </w:rPr>
                    <w:t>、</w:t>
                  </w:r>
                  <w:r>
                    <w:rPr>
                      <w:rFonts w:hint="eastAsia"/>
                      <w:color w:val="auto"/>
                      <w:kern w:val="24"/>
                      <w:highlight w:val="none"/>
                      <w:lang w:val="en-US" w:eastAsia="zh-CN"/>
                    </w:rPr>
                    <w:t>冷却循环水池、</w:t>
                  </w:r>
                  <w:r>
                    <w:rPr>
                      <w:rFonts w:hint="eastAsia"/>
                      <w:color w:val="auto"/>
                      <w:kern w:val="24"/>
                      <w:szCs w:val="21"/>
                      <w:highlight w:val="none"/>
                      <w:lang w:val="en-US" w:eastAsia="zh-CN"/>
                    </w:rPr>
                    <w:t>絮凝沉淀池</w:t>
                  </w:r>
                </w:p>
              </w:tc>
              <w:tc>
                <w:tcPr>
                  <w:tcW w:w="1587" w:type="pct"/>
                  <w:vAlign w:val="center"/>
                </w:tcPr>
                <w:p w14:paraId="0FE59E9C">
                  <w:pPr>
                    <w:pStyle w:val="8"/>
                    <w:snapToGrid w:val="0"/>
                    <w:ind w:firstLine="0"/>
                    <w:jc w:val="center"/>
                    <w:rPr>
                      <w:color w:val="auto"/>
                      <w:szCs w:val="21"/>
                      <w:highlight w:val="none"/>
                    </w:rPr>
                  </w:pPr>
                  <w:r>
                    <w:rPr>
                      <w:color w:val="auto"/>
                      <w:sz w:val="21"/>
                      <w:szCs w:val="21"/>
                      <w:highlight w:val="none"/>
                    </w:rPr>
                    <w:t>等效黏土防渗层</w:t>
                  </w:r>
                  <w:r>
                    <w:rPr>
                      <w:rFonts w:eastAsia="Times New Roman"/>
                      <w:color w:val="auto"/>
                      <w:sz w:val="21"/>
                      <w:szCs w:val="21"/>
                      <w:highlight w:val="none"/>
                    </w:rPr>
                    <w:t>Mb≥1.5m</w:t>
                  </w:r>
                  <w:r>
                    <w:rPr>
                      <w:color w:val="auto"/>
                      <w:sz w:val="21"/>
                      <w:szCs w:val="21"/>
                      <w:highlight w:val="none"/>
                    </w:rPr>
                    <w:t>，</w:t>
                  </w:r>
                  <w:r>
                    <w:rPr>
                      <w:rFonts w:eastAsia="Times New Roman"/>
                      <w:color w:val="auto"/>
                      <w:sz w:val="21"/>
                      <w:szCs w:val="21"/>
                      <w:highlight w:val="none"/>
                    </w:rPr>
                    <w:t>K≤1.0×10</w:t>
                  </w:r>
                  <w:r>
                    <w:rPr>
                      <w:rFonts w:hint="eastAsia"/>
                      <w:color w:val="auto"/>
                      <w:sz w:val="21"/>
                      <w:szCs w:val="21"/>
                      <w:highlight w:val="none"/>
                      <w:vertAlign w:val="superscript"/>
                    </w:rPr>
                    <w:t>-7</w:t>
                  </w:r>
                  <w:r>
                    <w:rPr>
                      <w:rFonts w:eastAsia="Times New Roman"/>
                      <w:color w:val="auto"/>
                      <w:sz w:val="21"/>
                      <w:szCs w:val="21"/>
                      <w:highlight w:val="none"/>
                    </w:rPr>
                    <w:t>cm/s</w:t>
                  </w:r>
                  <w:r>
                    <w:rPr>
                      <w:color w:val="auto"/>
                      <w:sz w:val="21"/>
                      <w:szCs w:val="21"/>
                      <w:highlight w:val="none"/>
                    </w:rPr>
                    <w:t>，或参照</w:t>
                  </w:r>
                  <w:r>
                    <w:rPr>
                      <w:rFonts w:eastAsia="Times New Roman"/>
                      <w:color w:val="auto"/>
                      <w:sz w:val="21"/>
                      <w:szCs w:val="21"/>
                      <w:highlight w:val="none"/>
                    </w:rPr>
                    <w:t>GB18598</w:t>
                  </w:r>
                  <w:r>
                    <w:rPr>
                      <w:color w:val="auto"/>
                      <w:sz w:val="21"/>
                      <w:szCs w:val="21"/>
                      <w:highlight w:val="none"/>
                    </w:rPr>
                    <w:t>执行</w:t>
                  </w:r>
                  <w:r>
                    <w:rPr>
                      <w:rFonts w:hint="eastAsia"/>
                      <w:color w:val="auto"/>
                      <w:sz w:val="21"/>
                      <w:szCs w:val="21"/>
                      <w:highlight w:val="none"/>
                    </w:rPr>
                    <w:t>。</w:t>
                  </w:r>
                </w:p>
              </w:tc>
              <w:tc>
                <w:tcPr>
                  <w:tcW w:w="936" w:type="pct"/>
                  <w:vAlign w:val="center"/>
                </w:tcPr>
                <w:p w14:paraId="1B81026D">
                  <w:pPr>
                    <w:pStyle w:val="8"/>
                    <w:snapToGrid w:val="0"/>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现状已按要求完成防渗措施</w:t>
                  </w:r>
                </w:p>
              </w:tc>
            </w:tr>
            <w:tr w14:paraId="0F97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64" w:type="pct"/>
                  <w:vAlign w:val="center"/>
                </w:tcPr>
                <w:p w14:paraId="0847E616">
                  <w:pPr>
                    <w:jc w:val="center"/>
                    <w:rPr>
                      <w:rFonts w:hint="default" w:eastAsia="宋体"/>
                      <w:color w:val="auto"/>
                      <w:szCs w:val="21"/>
                      <w:highlight w:val="none"/>
                      <w:lang w:val="en-US" w:eastAsia="zh-CN"/>
                    </w:rPr>
                  </w:pPr>
                  <w:r>
                    <w:rPr>
                      <w:rFonts w:hint="eastAsia"/>
                      <w:color w:val="auto"/>
                      <w:szCs w:val="21"/>
                      <w:highlight w:val="none"/>
                      <w:lang w:val="en-US" w:eastAsia="zh-CN"/>
                    </w:rPr>
                    <w:t>简单防渗区</w:t>
                  </w:r>
                </w:p>
              </w:tc>
              <w:tc>
                <w:tcPr>
                  <w:tcW w:w="1411" w:type="pct"/>
                  <w:vAlign w:val="center"/>
                </w:tcPr>
                <w:p w14:paraId="03ED433E">
                  <w:pPr>
                    <w:jc w:val="center"/>
                    <w:rPr>
                      <w:rFonts w:hint="default"/>
                      <w:color w:val="auto"/>
                      <w:kern w:val="24"/>
                      <w:highlight w:val="none"/>
                      <w:lang w:val="en-US" w:eastAsia="zh-CN"/>
                    </w:rPr>
                  </w:pPr>
                  <w:r>
                    <w:rPr>
                      <w:rFonts w:hint="eastAsia"/>
                      <w:color w:val="auto"/>
                      <w:kern w:val="24"/>
                      <w:highlight w:val="none"/>
                      <w:lang w:val="en-US" w:eastAsia="zh-CN"/>
                    </w:rPr>
                    <w:t>厂内道路</w:t>
                  </w:r>
                </w:p>
              </w:tc>
              <w:tc>
                <w:tcPr>
                  <w:tcW w:w="1587" w:type="pct"/>
                  <w:vAlign w:val="center"/>
                </w:tcPr>
                <w:p w14:paraId="0460C0FB">
                  <w:pPr>
                    <w:pStyle w:val="8"/>
                    <w:snapToGrid w:val="0"/>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水泥地面硬化</w:t>
                  </w:r>
                </w:p>
              </w:tc>
              <w:tc>
                <w:tcPr>
                  <w:tcW w:w="936" w:type="pct"/>
                  <w:vAlign w:val="center"/>
                </w:tcPr>
                <w:p w14:paraId="5BE6B267">
                  <w:pPr>
                    <w:pStyle w:val="8"/>
                    <w:snapToGrid w:val="0"/>
                    <w:ind w:firstLine="0"/>
                    <w:jc w:val="center"/>
                    <w:rPr>
                      <w:rFonts w:hint="eastAsia"/>
                      <w:color w:val="auto"/>
                      <w:sz w:val="21"/>
                      <w:szCs w:val="21"/>
                      <w:highlight w:val="none"/>
                      <w:lang w:val="en-US" w:eastAsia="zh-CN"/>
                    </w:rPr>
                  </w:pPr>
                  <w:r>
                    <w:rPr>
                      <w:rFonts w:hint="eastAsia"/>
                      <w:color w:val="auto"/>
                      <w:sz w:val="21"/>
                      <w:szCs w:val="21"/>
                      <w:highlight w:val="none"/>
                      <w:lang w:val="en-US" w:eastAsia="zh-CN"/>
                    </w:rPr>
                    <w:t>现状已按要求完成防渗措施</w:t>
                  </w:r>
                </w:p>
              </w:tc>
            </w:tr>
          </w:tbl>
          <w:p w14:paraId="700047CD">
            <w:pPr>
              <w:pStyle w:val="80"/>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③跟踪监测计划</w:t>
            </w:r>
          </w:p>
          <w:p w14:paraId="382E3A8E">
            <w:pPr>
              <w:pStyle w:val="80"/>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由于项目建设可能导致地下水和土壤污染的可能性较小，因此不设置跟踪监测计划。</w:t>
            </w:r>
          </w:p>
          <w:p w14:paraId="1E0FCA6D">
            <w:pPr>
              <w:pStyle w:val="80"/>
              <w:ind w:firstLine="48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综上分析，项目</w:t>
            </w:r>
            <w:r>
              <w:rPr>
                <w:rFonts w:hint="eastAsia" w:ascii="Times New Roman" w:hAnsi="Times New Roman" w:eastAsia="宋体" w:cs="Times New Roman"/>
                <w:color w:val="auto"/>
                <w:highlight w:val="none"/>
                <w:lang w:eastAsia="zh-CN"/>
              </w:rPr>
              <w:t>锅炉房</w:t>
            </w:r>
            <w:r>
              <w:rPr>
                <w:rFonts w:hint="eastAsia" w:ascii="Times New Roman" w:hAnsi="Times New Roman" w:eastAsia="宋体" w:cs="Times New Roman"/>
                <w:color w:val="auto"/>
                <w:highlight w:val="none"/>
              </w:rPr>
              <w:t>严格做好防渗措施，不会对地下水、土壤产生不良影响。</w:t>
            </w:r>
          </w:p>
          <w:p w14:paraId="1E240E22">
            <w:pPr>
              <w:snapToGrid w:val="0"/>
              <w:spacing w:line="360" w:lineRule="auto"/>
              <w:rPr>
                <w:b/>
                <w:bCs/>
                <w:color w:val="auto"/>
                <w:sz w:val="24"/>
                <w:highlight w:val="none"/>
              </w:rPr>
            </w:pPr>
            <w:r>
              <w:rPr>
                <w:rFonts w:hint="eastAsia"/>
                <w:b/>
                <w:bCs/>
                <w:color w:val="auto"/>
                <w:sz w:val="24"/>
                <w:highlight w:val="none"/>
                <w:lang w:val="en-US" w:eastAsia="zh-CN"/>
              </w:rPr>
              <w:t>七</w:t>
            </w:r>
            <w:r>
              <w:rPr>
                <w:rFonts w:hint="eastAsia"/>
                <w:b/>
                <w:bCs/>
                <w:color w:val="auto"/>
                <w:sz w:val="24"/>
                <w:highlight w:val="none"/>
              </w:rPr>
              <w:t>、环境风险分析</w:t>
            </w:r>
          </w:p>
          <w:p w14:paraId="565C0767">
            <w:pPr>
              <w:snapToGrid w:val="0"/>
              <w:spacing w:line="360" w:lineRule="auto"/>
              <w:ind w:firstLine="480" w:firstLineChars="200"/>
              <w:rPr>
                <w:bCs/>
                <w:color w:val="auto"/>
                <w:sz w:val="24"/>
                <w:highlight w:val="none"/>
              </w:rPr>
            </w:pPr>
            <w:r>
              <w:rPr>
                <w:rFonts w:hint="eastAsia"/>
                <w:bCs/>
                <w:color w:val="auto"/>
                <w:sz w:val="24"/>
                <w:highlight w:val="none"/>
              </w:rPr>
              <w:t xml:space="preserve">1、风险识别 </w:t>
            </w:r>
          </w:p>
          <w:p w14:paraId="69F87442">
            <w:pPr>
              <w:snapToGrid w:val="0"/>
              <w:spacing w:line="360" w:lineRule="auto"/>
              <w:ind w:firstLine="480" w:firstLineChars="200"/>
              <w:rPr>
                <w:bCs/>
                <w:color w:val="auto"/>
                <w:sz w:val="24"/>
                <w:highlight w:val="none"/>
              </w:rPr>
            </w:pPr>
            <w:r>
              <w:rPr>
                <w:rFonts w:hint="eastAsia"/>
                <w:bCs/>
                <w:color w:val="auto"/>
                <w:sz w:val="24"/>
                <w:highlight w:val="none"/>
              </w:rPr>
              <w:t>本项目为热力生产和供应D4430，本项目使用的原辅料主要为生物质</w:t>
            </w:r>
            <w:r>
              <w:rPr>
                <w:rFonts w:hint="eastAsia"/>
                <w:bCs/>
                <w:color w:val="auto"/>
                <w:sz w:val="24"/>
                <w:highlight w:val="none"/>
                <w:lang w:val="en-US" w:eastAsia="zh-CN"/>
              </w:rPr>
              <w:t>燃料</w:t>
            </w:r>
            <w:r>
              <w:rPr>
                <w:rFonts w:hint="eastAsia"/>
                <w:bCs/>
                <w:color w:val="auto"/>
                <w:sz w:val="24"/>
                <w:highlight w:val="none"/>
              </w:rPr>
              <w:t>、工业盐，对照《建设项目环境风险评价技术导则》（HJ169－2018）相关附录，本项目不涉及有毒有害、易燃易爆等危险物质的储存及使用。</w:t>
            </w:r>
          </w:p>
          <w:p w14:paraId="55499109">
            <w:pPr>
              <w:snapToGrid w:val="0"/>
              <w:spacing w:line="360" w:lineRule="auto"/>
              <w:ind w:firstLine="480" w:firstLineChars="200"/>
              <w:rPr>
                <w:bCs/>
                <w:color w:val="auto"/>
                <w:sz w:val="24"/>
                <w:highlight w:val="none"/>
              </w:rPr>
            </w:pPr>
            <w:r>
              <w:rPr>
                <w:rFonts w:hint="eastAsia"/>
                <w:bCs/>
                <w:color w:val="auto"/>
                <w:sz w:val="24"/>
                <w:highlight w:val="none"/>
              </w:rPr>
              <w:t>本项目生产过程涉及的风险源主要为</w:t>
            </w:r>
            <w:bookmarkStart w:id="39" w:name="_Hlk161927714"/>
            <w:r>
              <w:rPr>
                <w:rFonts w:hint="eastAsia" w:ascii="宋体" w:cs="宋体"/>
                <w:color w:val="auto"/>
                <w:kern w:val="0"/>
                <w:sz w:val="24"/>
                <w:highlight w:val="none"/>
              </w:rPr>
              <w:t>生物质</w:t>
            </w:r>
            <w:r>
              <w:rPr>
                <w:rFonts w:hint="eastAsia" w:ascii="宋体" w:cs="宋体"/>
                <w:color w:val="auto"/>
                <w:kern w:val="0"/>
                <w:sz w:val="24"/>
                <w:highlight w:val="none"/>
                <w:lang w:eastAsia="zh-CN"/>
              </w:rPr>
              <w:t>蒸汽发生器</w:t>
            </w:r>
            <w:r>
              <w:rPr>
                <w:rFonts w:hint="eastAsia"/>
                <w:bCs/>
                <w:color w:val="auto"/>
                <w:sz w:val="24"/>
                <w:highlight w:val="none"/>
              </w:rPr>
              <w:t>、生物质</w:t>
            </w:r>
            <w:r>
              <w:rPr>
                <w:rFonts w:hint="eastAsia"/>
                <w:bCs/>
                <w:color w:val="auto"/>
                <w:sz w:val="24"/>
                <w:highlight w:val="none"/>
                <w:lang w:val="en-US" w:eastAsia="zh-CN"/>
              </w:rPr>
              <w:t>燃料</w:t>
            </w:r>
            <w:r>
              <w:rPr>
                <w:rFonts w:hint="eastAsia"/>
                <w:bCs/>
                <w:color w:val="auto"/>
                <w:sz w:val="24"/>
                <w:highlight w:val="none"/>
              </w:rPr>
              <w:t>在运输和贮存过程中由于人为管理不当或其他不确定因素，导致火灾引发的</w:t>
            </w:r>
            <w:r>
              <w:rPr>
                <w:rFonts w:hint="eastAsia"/>
                <w:bCs/>
                <w:color w:val="auto"/>
                <w:sz w:val="24"/>
                <w:highlight w:val="none"/>
                <w:lang w:eastAsia="zh-CN"/>
              </w:rPr>
              <w:t>伴生</w:t>
            </w:r>
            <w:r>
              <w:rPr>
                <w:rFonts w:hint="eastAsia"/>
                <w:bCs/>
                <w:color w:val="auto"/>
                <w:sz w:val="24"/>
                <w:highlight w:val="none"/>
              </w:rPr>
              <w:t>/次生污染物C</w:t>
            </w:r>
            <w:r>
              <w:rPr>
                <w:bCs/>
                <w:color w:val="auto"/>
                <w:sz w:val="24"/>
                <w:highlight w:val="none"/>
              </w:rPr>
              <w:t>O</w:t>
            </w:r>
            <w:r>
              <w:rPr>
                <w:rFonts w:hint="eastAsia"/>
                <w:bCs/>
                <w:color w:val="auto"/>
                <w:sz w:val="24"/>
                <w:highlight w:val="none"/>
              </w:rPr>
              <w:t>、C</w:t>
            </w:r>
            <w:r>
              <w:rPr>
                <w:bCs/>
                <w:color w:val="auto"/>
                <w:sz w:val="24"/>
                <w:highlight w:val="none"/>
              </w:rPr>
              <w:t>O</w:t>
            </w:r>
            <w:r>
              <w:rPr>
                <w:bCs/>
                <w:color w:val="auto"/>
                <w:sz w:val="24"/>
                <w:highlight w:val="none"/>
                <w:vertAlign w:val="subscript"/>
              </w:rPr>
              <w:t>2</w:t>
            </w:r>
            <w:r>
              <w:rPr>
                <w:rFonts w:hint="eastAsia"/>
                <w:bCs/>
                <w:color w:val="auto"/>
                <w:sz w:val="24"/>
                <w:highlight w:val="none"/>
              </w:rPr>
              <w:t>、消防废水等的排放，</w:t>
            </w:r>
            <w:bookmarkEnd w:id="39"/>
            <w:r>
              <w:rPr>
                <w:rFonts w:hint="eastAsia"/>
                <w:bCs/>
                <w:color w:val="auto"/>
                <w:sz w:val="24"/>
                <w:highlight w:val="none"/>
              </w:rPr>
              <w:t>可能的影响途径为环境空气、地表水、土壤。</w:t>
            </w:r>
          </w:p>
          <w:p w14:paraId="6A47D0A0">
            <w:pPr>
              <w:snapToGrid w:val="0"/>
              <w:spacing w:line="360" w:lineRule="auto"/>
              <w:ind w:firstLine="480" w:firstLineChars="200"/>
              <w:rPr>
                <w:bCs/>
                <w:color w:val="auto"/>
                <w:sz w:val="24"/>
                <w:highlight w:val="none"/>
              </w:rPr>
            </w:pPr>
            <w:r>
              <w:rPr>
                <w:rFonts w:hint="eastAsia"/>
                <w:bCs/>
                <w:color w:val="auto"/>
                <w:sz w:val="24"/>
                <w:highlight w:val="none"/>
              </w:rPr>
              <w:t xml:space="preserve">2、环境风险防范措施 </w:t>
            </w:r>
          </w:p>
          <w:p w14:paraId="74688915">
            <w:pPr>
              <w:spacing w:line="360" w:lineRule="auto"/>
              <w:ind w:firstLine="480" w:firstLineChars="200"/>
              <w:rPr>
                <w:color w:val="auto"/>
                <w:kern w:val="24"/>
                <w:sz w:val="24"/>
                <w:highlight w:val="none"/>
              </w:rPr>
            </w:pPr>
            <w:r>
              <w:rPr>
                <w:rFonts w:hint="eastAsia"/>
                <w:color w:val="auto"/>
                <w:kern w:val="24"/>
                <w:sz w:val="24"/>
                <w:highlight w:val="none"/>
              </w:rPr>
              <w:t>（1）环境风险管理</w:t>
            </w:r>
          </w:p>
          <w:p w14:paraId="43F11855">
            <w:pPr>
              <w:spacing w:line="360" w:lineRule="auto"/>
              <w:ind w:firstLine="480" w:firstLineChars="200"/>
              <w:rPr>
                <w:color w:val="auto"/>
                <w:kern w:val="24"/>
                <w:sz w:val="24"/>
                <w:highlight w:val="none"/>
              </w:rPr>
            </w:pPr>
            <w:r>
              <w:rPr>
                <w:rFonts w:hint="eastAsia"/>
                <w:color w:val="auto"/>
                <w:kern w:val="24"/>
                <w:sz w:val="24"/>
                <w:highlight w:val="none"/>
              </w:rPr>
              <w:t>根据本项目特点，风险管理措施如下：</w:t>
            </w:r>
          </w:p>
          <w:p w14:paraId="1A32F419">
            <w:pPr>
              <w:spacing w:line="360" w:lineRule="auto"/>
              <w:ind w:firstLine="480" w:firstLineChars="200"/>
              <w:rPr>
                <w:color w:val="auto"/>
                <w:kern w:val="24"/>
                <w:sz w:val="24"/>
                <w:highlight w:val="none"/>
              </w:rPr>
            </w:pPr>
            <w:r>
              <w:rPr>
                <w:rFonts w:hint="eastAsia"/>
                <w:color w:val="auto"/>
                <w:kern w:val="24"/>
                <w:sz w:val="24"/>
                <w:highlight w:val="none"/>
              </w:rPr>
              <w:t>①严格按照安全生产规定，设置安全监控点。</w:t>
            </w:r>
          </w:p>
          <w:p w14:paraId="52E696D6">
            <w:pPr>
              <w:spacing w:line="360" w:lineRule="auto"/>
              <w:ind w:firstLine="480" w:firstLineChars="200"/>
              <w:rPr>
                <w:color w:val="auto"/>
                <w:kern w:val="24"/>
                <w:sz w:val="24"/>
                <w:highlight w:val="none"/>
              </w:rPr>
            </w:pPr>
            <w:r>
              <w:rPr>
                <w:rFonts w:hint="eastAsia"/>
                <w:color w:val="auto"/>
                <w:kern w:val="24"/>
                <w:sz w:val="24"/>
                <w:highlight w:val="none"/>
              </w:rPr>
              <w:t>②加强原材料管理，场内暂存转运规范作业流程，操作人员进行安全生产教育。</w:t>
            </w:r>
          </w:p>
          <w:p w14:paraId="7DE608D3">
            <w:pPr>
              <w:spacing w:line="360" w:lineRule="auto"/>
              <w:ind w:firstLine="480" w:firstLineChars="200"/>
              <w:rPr>
                <w:color w:val="auto"/>
                <w:kern w:val="24"/>
                <w:sz w:val="24"/>
                <w:highlight w:val="none"/>
              </w:rPr>
            </w:pPr>
            <w:r>
              <w:rPr>
                <w:rFonts w:hint="eastAsia"/>
                <w:color w:val="auto"/>
                <w:kern w:val="24"/>
                <w:sz w:val="24"/>
                <w:highlight w:val="none"/>
              </w:rPr>
              <w:t>③加强职工安全环保教育，防止和减少因人为因素造成的事故，同时也要加强防火安全教育。</w:t>
            </w:r>
          </w:p>
          <w:p w14:paraId="695D1C80">
            <w:pPr>
              <w:spacing w:line="360" w:lineRule="auto"/>
              <w:ind w:firstLine="480" w:firstLineChars="200"/>
              <w:rPr>
                <w:color w:val="auto"/>
                <w:kern w:val="24"/>
                <w:sz w:val="24"/>
                <w:highlight w:val="none"/>
              </w:rPr>
            </w:pPr>
            <w:r>
              <w:rPr>
                <w:rFonts w:hint="eastAsia"/>
                <w:color w:val="auto"/>
                <w:kern w:val="24"/>
                <w:sz w:val="24"/>
                <w:highlight w:val="none"/>
              </w:rPr>
              <w:t>④应配备足够的消防设施，落实安全管理责任。</w:t>
            </w:r>
          </w:p>
          <w:p w14:paraId="1C13DBD9">
            <w:pPr>
              <w:spacing w:line="360" w:lineRule="auto"/>
              <w:ind w:firstLine="480" w:firstLineChars="200"/>
              <w:rPr>
                <w:rFonts w:hint="eastAsia"/>
                <w:color w:val="auto"/>
                <w:kern w:val="24"/>
                <w:sz w:val="24"/>
                <w:highlight w:val="none"/>
              </w:rPr>
            </w:pPr>
            <w:r>
              <w:rPr>
                <w:rFonts w:hint="eastAsia"/>
                <w:color w:val="auto"/>
                <w:kern w:val="24"/>
                <w:sz w:val="24"/>
                <w:highlight w:val="none"/>
              </w:rPr>
              <w:t>⑤强化设备检修，减少因设备损坏、老化带来的遗漏。</w:t>
            </w:r>
          </w:p>
          <w:p w14:paraId="1EE58091">
            <w:pPr>
              <w:pStyle w:val="24"/>
              <w:ind w:firstLine="480" w:firstLineChars="200"/>
              <w:rPr>
                <w:rFonts w:hint="default" w:ascii="Times New Roman" w:hAnsi="Times New Roman" w:eastAsia="宋体" w:cs="Times New Roman"/>
                <w:color w:val="auto"/>
                <w:kern w:val="24"/>
                <w:sz w:val="24"/>
                <w:szCs w:val="24"/>
                <w:highlight w:val="none"/>
                <w:lang w:val="en-US" w:eastAsia="zh-CN" w:bidi="ar-SA"/>
              </w:rPr>
            </w:pPr>
            <w:r>
              <w:rPr>
                <w:rFonts w:hint="eastAsia" w:ascii="Times New Roman" w:hAnsi="Times New Roman" w:eastAsia="宋体" w:cs="Times New Roman"/>
                <w:color w:val="auto"/>
                <w:kern w:val="24"/>
                <w:sz w:val="24"/>
                <w:szCs w:val="24"/>
                <w:highlight w:val="none"/>
                <w:lang w:val="en-US" w:eastAsia="zh-CN" w:bidi="ar-SA"/>
              </w:rPr>
              <w:t>⑥稀盐酸泄漏时用干砂土、蛭石等惰性吸附材料覆盖，再用耐腐蚀工具收集至密封塑料桶（加碱液中和后处置）。</w:t>
            </w:r>
          </w:p>
          <w:p w14:paraId="65F81E45">
            <w:pPr>
              <w:spacing w:line="360" w:lineRule="auto"/>
              <w:ind w:firstLine="480" w:firstLineChars="200"/>
              <w:rPr>
                <w:color w:val="auto"/>
                <w:kern w:val="24"/>
                <w:sz w:val="24"/>
                <w:highlight w:val="none"/>
              </w:rPr>
            </w:pPr>
            <w:r>
              <w:rPr>
                <w:rFonts w:hint="eastAsia"/>
                <w:color w:val="auto"/>
                <w:kern w:val="24"/>
                <w:sz w:val="24"/>
                <w:highlight w:val="none"/>
              </w:rPr>
              <w:t>（</w:t>
            </w:r>
            <w:r>
              <w:rPr>
                <w:color w:val="auto"/>
                <w:kern w:val="24"/>
                <w:sz w:val="24"/>
                <w:highlight w:val="none"/>
              </w:rPr>
              <w:t>2</w:t>
            </w:r>
            <w:r>
              <w:rPr>
                <w:rFonts w:hint="eastAsia"/>
                <w:color w:val="auto"/>
                <w:kern w:val="24"/>
                <w:sz w:val="24"/>
                <w:highlight w:val="none"/>
              </w:rPr>
              <w:t>）火灾事故防范措施</w:t>
            </w:r>
          </w:p>
          <w:p w14:paraId="6CD3D528">
            <w:pPr>
              <w:spacing w:line="360" w:lineRule="auto"/>
              <w:ind w:firstLine="480" w:firstLineChars="200"/>
              <w:rPr>
                <w:color w:val="auto"/>
                <w:kern w:val="24"/>
                <w:sz w:val="24"/>
                <w:highlight w:val="none"/>
              </w:rPr>
            </w:pPr>
            <w:r>
              <w:rPr>
                <w:rFonts w:hint="eastAsia"/>
                <w:color w:val="auto"/>
                <w:kern w:val="24"/>
                <w:sz w:val="24"/>
                <w:highlight w:val="none"/>
              </w:rPr>
              <w:t>①库房远离火源、电源、同时加强管理，严禁烟火。</w:t>
            </w:r>
          </w:p>
          <w:p w14:paraId="470824D7">
            <w:pPr>
              <w:spacing w:line="360" w:lineRule="auto"/>
              <w:ind w:firstLine="480" w:firstLineChars="200"/>
              <w:rPr>
                <w:color w:val="auto"/>
                <w:kern w:val="24"/>
                <w:sz w:val="24"/>
                <w:highlight w:val="none"/>
              </w:rPr>
            </w:pPr>
            <w:r>
              <w:rPr>
                <w:rFonts w:hint="eastAsia"/>
                <w:color w:val="auto"/>
                <w:kern w:val="24"/>
                <w:sz w:val="24"/>
                <w:highlight w:val="none"/>
              </w:rPr>
              <w:t>②加强管理，严禁将生物质</w:t>
            </w:r>
            <w:r>
              <w:rPr>
                <w:rFonts w:hint="eastAsia"/>
                <w:color w:val="auto"/>
                <w:kern w:val="24"/>
                <w:sz w:val="24"/>
                <w:highlight w:val="none"/>
                <w:lang w:val="en-US" w:eastAsia="zh-CN"/>
              </w:rPr>
              <w:t>燃料</w:t>
            </w:r>
            <w:r>
              <w:rPr>
                <w:rFonts w:hint="eastAsia"/>
                <w:color w:val="auto"/>
                <w:kern w:val="24"/>
                <w:sz w:val="24"/>
                <w:highlight w:val="none"/>
              </w:rPr>
              <w:t>放置在有火源、高温、有易燃易爆物品处，生物质</w:t>
            </w:r>
            <w:r>
              <w:rPr>
                <w:rFonts w:hint="eastAsia"/>
                <w:color w:val="auto"/>
                <w:kern w:val="24"/>
                <w:sz w:val="24"/>
                <w:highlight w:val="none"/>
                <w:lang w:val="en-US" w:eastAsia="zh-CN"/>
              </w:rPr>
              <w:t>燃料</w:t>
            </w:r>
            <w:r>
              <w:rPr>
                <w:rFonts w:hint="eastAsia"/>
                <w:color w:val="auto"/>
                <w:kern w:val="24"/>
                <w:sz w:val="24"/>
                <w:highlight w:val="none"/>
              </w:rPr>
              <w:t>旁严禁吸烟、使用火源。</w:t>
            </w:r>
          </w:p>
          <w:p w14:paraId="56769A2B">
            <w:pPr>
              <w:pStyle w:val="13"/>
              <w:spacing w:before="0" w:after="0" w:line="360" w:lineRule="auto"/>
              <w:ind w:right="0" w:firstLine="480" w:firstLineChars="200"/>
              <w:rPr>
                <w:color w:val="auto"/>
                <w:kern w:val="24"/>
                <w:sz w:val="24"/>
                <w:szCs w:val="24"/>
                <w:highlight w:val="none"/>
              </w:rPr>
            </w:pPr>
            <w:r>
              <w:rPr>
                <w:rFonts w:hint="eastAsia"/>
                <w:color w:val="auto"/>
                <w:kern w:val="24"/>
                <w:sz w:val="24"/>
                <w:szCs w:val="24"/>
                <w:highlight w:val="none"/>
              </w:rPr>
              <w:t>③应配备收集桶、铁锹、吸附棉、黄沙、消防器材等应急</w:t>
            </w:r>
            <w:r>
              <w:rPr>
                <w:rFonts w:hint="eastAsia"/>
                <w:color w:val="auto"/>
                <w:kern w:val="24"/>
                <w:sz w:val="24"/>
                <w:szCs w:val="24"/>
                <w:highlight w:val="none"/>
                <w:lang w:eastAsia="zh-CN"/>
              </w:rPr>
              <w:t>物资</w:t>
            </w:r>
            <w:r>
              <w:rPr>
                <w:rFonts w:hint="eastAsia"/>
                <w:color w:val="auto"/>
                <w:kern w:val="24"/>
                <w:sz w:val="24"/>
                <w:szCs w:val="24"/>
                <w:highlight w:val="none"/>
              </w:rPr>
              <w:t>，防止火灾事故废水后流入地表水、土壤，造成环境污染。</w:t>
            </w:r>
          </w:p>
          <w:p w14:paraId="112FB2A8">
            <w:pPr>
              <w:pStyle w:val="13"/>
              <w:spacing w:before="0" w:after="0" w:line="360" w:lineRule="auto"/>
              <w:ind w:right="0" w:firstLine="480" w:firstLineChars="200"/>
              <w:rPr>
                <w:rFonts w:hint="eastAsia"/>
                <w:bCs/>
                <w:color w:val="auto"/>
                <w:sz w:val="24"/>
                <w:highlight w:val="none"/>
              </w:rPr>
            </w:pPr>
            <w:r>
              <w:rPr>
                <w:rFonts w:hint="eastAsia"/>
                <w:color w:val="auto"/>
                <w:kern w:val="24"/>
                <w:sz w:val="24"/>
                <w:highlight w:val="none"/>
              </w:rPr>
              <w:t>④</w:t>
            </w:r>
            <w:r>
              <w:rPr>
                <w:rFonts w:hint="eastAsia"/>
                <w:bCs/>
                <w:color w:val="auto"/>
                <w:sz w:val="24"/>
                <w:highlight w:val="none"/>
              </w:rPr>
              <w:t>生产装置的供电、供水等公用设施必须加强日常管理，确保满足正常生产和事故状态下的要求。建立和健全电气安全规章制度和安全操作规程，并严格执行。加强对电气设施进行维护、保养、检修，保持电气设备正常运行。</w:t>
            </w:r>
          </w:p>
          <w:p w14:paraId="4D0BBCA3">
            <w:pPr>
              <w:snapToGrid w:val="0"/>
              <w:spacing w:line="360" w:lineRule="auto"/>
              <w:ind w:firstLine="480" w:firstLineChars="200"/>
              <w:rPr>
                <w:rFonts w:hint="eastAsia" w:ascii="Times New Roman" w:hAnsi="Times New Roman" w:eastAsia="宋体" w:cs="Times New Roman"/>
                <w:bCs/>
                <w:color w:val="auto"/>
                <w:sz w:val="24"/>
                <w:highlight w:val="none"/>
                <w:lang w:eastAsia="zh-CN"/>
              </w:rPr>
            </w:pPr>
            <w:r>
              <w:rPr>
                <w:rFonts w:hint="eastAsia" w:ascii="Times New Roman" w:hAnsi="Times New Roman" w:eastAsia="宋体" w:cs="Times New Roman"/>
                <w:bCs/>
                <w:color w:val="auto"/>
                <w:sz w:val="24"/>
                <w:highlight w:val="none"/>
                <w:lang w:val="en-US" w:eastAsia="zh-CN"/>
              </w:rPr>
              <w:t>3</w:t>
            </w:r>
            <w:r>
              <w:rPr>
                <w:rFonts w:hint="eastAsia"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highlight w:val="none"/>
                <w:lang w:val="en-US" w:eastAsia="zh-CN"/>
              </w:rPr>
              <w:t>结论</w:t>
            </w:r>
          </w:p>
          <w:p w14:paraId="2128624C">
            <w:pPr>
              <w:pStyle w:val="13"/>
              <w:spacing w:before="0" w:after="0" w:line="360" w:lineRule="auto"/>
              <w:ind w:right="0" w:firstLine="480" w:firstLineChars="200"/>
              <w:rPr>
                <w:rFonts w:hint="eastAsia" w:ascii="Times New Roman" w:hAnsi="Times New Roman" w:eastAsia="宋体" w:cs="Times New Roman"/>
                <w:color w:val="auto"/>
                <w:kern w:val="24"/>
                <w:sz w:val="24"/>
                <w:highlight w:val="none"/>
              </w:rPr>
            </w:pPr>
            <w:r>
              <w:rPr>
                <w:rFonts w:hint="eastAsia" w:ascii="Times New Roman" w:hAnsi="Times New Roman" w:eastAsia="宋体" w:cs="Times New Roman"/>
                <w:color w:val="auto"/>
                <w:kern w:val="24"/>
                <w:sz w:val="24"/>
                <w:highlight w:val="none"/>
                <w:lang w:val="en-US" w:eastAsia="zh-CN"/>
              </w:rPr>
              <w:t>根据以上分析，建设单位只要落实相关风险措施、严格管理、将能有效防治风险事故的发生。一旦发生事故，依靠完善的安全防护设施和事故应急措施则能有效控制事故，防止事故的蔓延。在此基础上，项目的环境风险是可以接受的。</w:t>
            </w:r>
          </w:p>
          <w:p w14:paraId="0B0235AA">
            <w:pPr>
              <w:rPr>
                <w:rFonts w:hint="eastAsia"/>
                <w:bCs/>
                <w:color w:val="auto"/>
                <w:sz w:val="24"/>
                <w:highlight w:val="none"/>
              </w:rPr>
            </w:pPr>
          </w:p>
          <w:p w14:paraId="3DD1FB66">
            <w:pPr>
              <w:pStyle w:val="24"/>
              <w:rPr>
                <w:rFonts w:hint="eastAsia"/>
                <w:bCs/>
                <w:color w:val="auto"/>
                <w:sz w:val="24"/>
                <w:highlight w:val="none"/>
              </w:rPr>
            </w:pPr>
          </w:p>
          <w:p w14:paraId="6002BDFC">
            <w:pPr>
              <w:pStyle w:val="24"/>
              <w:ind w:left="0" w:leftChars="0" w:firstLine="0" w:firstLineChars="0"/>
              <w:rPr>
                <w:color w:val="auto"/>
              </w:rPr>
            </w:pPr>
          </w:p>
        </w:tc>
      </w:tr>
    </w:tbl>
    <w:p w14:paraId="3DCBD901">
      <w:pPr>
        <w:adjustRightInd w:val="0"/>
        <w:snapToGrid w:val="0"/>
        <w:spacing w:line="360" w:lineRule="auto"/>
        <w:rPr>
          <w:b/>
          <w:color w:val="auto"/>
          <w:kern w:val="0"/>
          <w:sz w:val="28"/>
          <w:szCs w:val="28"/>
          <w:highlight w:val="none"/>
        </w:rPr>
        <w:sectPr>
          <w:pgSz w:w="11907" w:h="16840"/>
          <w:pgMar w:top="1701" w:right="1531" w:bottom="2127" w:left="1531" w:header="851" w:footer="851" w:gutter="0"/>
          <w:pgNumType w:fmt="decimal"/>
          <w:cols w:space="720" w:num="1"/>
          <w:docGrid w:linePitch="312" w:charSpace="0"/>
        </w:sectPr>
      </w:pPr>
    </w:p>
    <w:p w14:paraId="48105969">
      <w:pPr>
        <w:pStyle w:val="22"/>
        <w:jc w:val="center"/>
        <w:outlineLvl w:val="0"/>
        <w:rPr>
          <w:rFonts w:ascii="Times New Roman" w:hAnsi="Times New Roman" w:eastAsia="黑体"/>
          <w:snapToGrid w:val="0"/>
          <w:color w:val="auto"/>
          <w:sz w:val="30"/>
          <w:szCs w:val="30"/>
          <w:highlight w:val="none"/>
        </w:rPr>
      </w:pPr>
      <w:bookmarkStart w:id="40" w:name="_Toc165"/>
      <w:r>
        <w:rPr>
          <w:rFonts w:ascii="Times New Roman" w:hAnsi="黑体" w:eastAsia="黑体"/>
          <w:snapToGrid w:val="0"/>
          <w:color w:val="auto"/>
          <w:sz w:val="30"/>
          <w:szCs w:val="30"/>
          <w:highlight w:val="none"/>
        </w:rPr>
        <w:t>五、</w:t>
      </w:r>
      <w:bookmarkStart w:id="41" w:name="_Hlk54167917"/>
      <w:r>
        <w:rPr>
          <w:rFonts w:ascii="Times New Roman" w:hAnsi="黑体" w:eastAsia="黑体"/>
          <w:snapToGrid w:val="0"/>
          <w:color w:val="auto"/>
          <w:sz w:val="30"/>
          <w:szCs w:val="30"/>
          <w:highlight w:val="none"/>
        </w:rPr>
        <w:t>环境保护措施监督检查清单</w:t>
      </w:r>
      <w:bookmarkEnd w:id="40"/>
      <w:bookmarkEnd w:id="41"/>
    </w:p>
    <w:tbl>
      <w:tblPr>
        <w:tblStyle w:val="26"/>
        <w:tblW w:w="9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922"/>
        <w:gridCol w:w="1346"/>
        <w:gridCol w:w="1923"/>
        <w:gridCol w:w="2277"/>
      </w:tblGrid>
      <w:tr w14:paraId="08FD0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tcBorders>
              <w:tl2br w:val="single" w:color="auto" w:sz="4" w:space="0"/>
            </w:tcBorders>
          </w:tcPr>
          <w:p w14:paraId="134AF85C">
            <w:pPr>
              <w:adjustRightInd w:val="0"/>
              <w:snapToGrid w:val="0"/>
              <w:ind w:firstLine="840"/>
              <w:rPr>
                <w:color w:val="auto"/>
                <w:sz w:val="24"/>
                <w:highlight w:val="none"/>
              </w:rPr>
            </w:pPr>
            <w:r>
              <w:rPr>
                <w:rFonts w:hAnsi="宋体"/>
                <w:color w:val="auto"/>
                <w:sz w:val="24"/>
                <w:highlight w:val="none"/>
              </w:rPr>
              <w:t>内容</w:t>
            </w:r>
          </w:p>
          <w:p w14:paraId="593E6809">
            <w:pPr>
              <w:adjustRightInd w:val="0"/>
              <w:snapToGrid w:val="0"/>
              <w:rPr>
                <w:color w:val="auto"/>
                <w:sz w:val="24"/>
                <w:highlight w:val="none"/>
              </w:rPr>
            </w:pPr>
            <w:r>
              <w:rPr>
                <w:rFonts w:hAnsi="宋体"/>
                <w:color w:val="auto"/>
                <w:sz w:val="24"/>
                <w:highlight w:val="none"/>
              </w:rPr>
              <w:t>要素</w:t>
            </w:r>
          </w:p>
        </w:tc>
        <w:tc>
          <w:tcPr>
            <w:tcW w:w="1922" w:type="dxa"/>
            <w:vAlign w:val="center"/>
          </w:tcPr>
          <w:p w14:paraId="381F023F">
            <w:pPr>
              <w:adjustRightInd w:val="0"/>
              <w:snapToGrid w:val="0"/>
              <w:jc w:val="center"/>
              <w:rPr>
                <w:color w:val="auto"/>
                <w:sz w:val="24"/>
                <w:highlight w:val="none"/>
              </w:rPr>
            </w:pPr>
            <w:r>
              <w:rPr>
                <w:rFonts w:hAnsi="宋体"/>
                <w:color w:val="auto"/>
                <w:sz w:val="24"/>
                <w:highlight w:val="none"/>
              </w:rPr>
              <w:t>排放口</w:t>
            </w:r>
            <w:r>
              <w:rPr>
                <w:color w:val="auto"/>
                <w:sz w:val="24"/>
                <w:highlight w:val="none"/>
              </w:rPr>
              <w:t>(</w:t>
            </w:r>
            <w:r>
              <w:rPr>
                <w:rFonts w:hAnsi="宋体"/>
                <w:color w:val="auto"/>
                <w:sz w:val="24"/>
                <w:highlight w:val="none"/>
              </w:rPr>
              <w:t>编号、</w:t>
            </w:r>
          </w:p>
          <w:p w14:paraId="31036B23">
            <w:pPr>
              <w:adjustRightInd w:val="0"/>
              <w:snapToGrid w:val="0"/>
              <w:jc w:val="center"/>
              <w:rPr>
                <w:color w:val="auto"/>
                <w:sz w:val="24"/>
                <w:highlight w:val="none"/>
              </w:rPr>
            </w:pPr>
            <w:r>
              <w:rPr>
                <w:rFonts w:hAnsi="宋体"/>
                <w:color w:val="auto"/>
                <w:sz w:val="24"/>
                <w:highlight w:val="none"/>
              </w:rPr>
              <w:t>名称</w:t>
            </w:r>
            <w:r>
              <w:rPr>
                <w:color w:val="auto"/>
                <w:sz w:val="24"/>
                <w:highlight w:val="none"/>
              </w:rPr>
              <w:t>)/</w:t>
            </w:r>
            <w:r>
              <w:rPr>
                <w:rFonts w:hAnsi="宋体"/>
                <w:color w:val="auto"/>
                <w:sz w:val="24"/>
                <w:highlight w:val="none"/>
              </w:rPr>
              <w:t>污染源</w:t>
            </w:r>
          </w:p>
        </w:tc>
        <w:tc>
          <w:tcPr>
            <w:tcW w:w="1346" w:type="dxa"/>
            <w:vAlign w:val="center"/>
          </w:tcPr>
          <w:p w14:paraId="663D37C1">
            <w:pPr>
              <w:adjustRightInd w:val="0"/>
              <w:snapToGrid w:val="0"/>
              <w:jc w:val="center"/>
              <w:rPr>
                <w:color w:val="auto"/>
                <w:sz w:val="24"/>
                <w:highlight w:val="none"/>
              </w:rPr>
            </w:pPr>
            <w:r>
              <w:rPr>
                <w:rFonts w:hAnsi="宋体"/>
                <w:color w:val="auto"/>
                <w:sz w:val="24"/>
                <w:highlight w:val="none"/>
              </w:rPr>
              <w:t>污染物项目</w:t>
            </w:r>
          </w:p>
        </w:tc>
        <w:tc>
          <w:tcPr>
            <w:tcW w:w="1923" w:type="dxa"/>
            <w:vAlign w:val="center"/>
          </w:tcPr>
          <w:p w14:paraId="6D5C0551">
            <w:pPr>
              <w:adjustRightInd w:val="0"/>
              <w:snapToGrid w:val="0"/>
              <w:jc w:val="center"/>
              <w:rPr>
                <w:color w:val="auto"/>
                <w:sz w:val="24"/>
                <w:highlight w:val="none"/>
              </w:rPr>
            </w:pPr>
            <w:r>
              <w:rPr>
                <w:rFonts w:hAnsi="宋体"/>
                <w:color w:val="auto"/>
                <w:sz w:val="24"/>
                <w:highlight w:val="none"/>
              </w:rPr>
              <w:t>环境保护措施</w:t>
            </w:r>
          </w:p>
        </w:tc>
        <w:tc>
          <w:tcPr>
            <w:tcW w:w="2277" w:type="dxa"/>
            <w:vAlign w:val="center"/>
          </w:tcPr>
          <w:p w14:paraId="353E6C44">
            <w:pPr>
              <w:adjustRightInd w:val="0"/>
              <w:snapToGrid w:val="0"/>
              <w:jc w:val="center"/>
              <w:rPr>
                <w:color w:val="auto"/>
                <w:sz w:val="24"/>
                <w:highlight w:val="none"/>
              </w:rPr>
            </w:pPr>
            <w:r>
              <w:rPr>
                <w:rFonts w:hAnsi="宋体"/>
                <w:color w:val="auto"/>
                <w:sz w:val="24"/>
                <w:highlight w:val="none"/>
              </w:rPr>
              <w:t>执行标准</w:t>
            </w:r>
          </w:p>
        </w:tc>
      </w:tr>
      <w:tr w14:paraId="40810F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restart"/>
            <w:vAlign w:val="center"/>
          </w:tcPr>
          <w:p w14:paraId="664510D5">
            <w:pPr>
              <w:adjustRightInd w:val="0"/>
              <w:snapToGrid w:val="0"/>
              <w:jc w:val="center"/>
              <w:rPr>
                <w:color w:val="auto"/>
                <w:sz w:val="24"/>
                <w:highlight w:val="none"/>
              </w:rPr>
            </w:pPr>
            <w:r>
              <w:rPr>
                <w:rFonts w:hAnsi="宋体"/>
                <w:color w:val="auto"/>
                <w:sz w:val="24"/>
                <w:highlight w:val="none"/>
              </w:rPr>
              <w:t>大气环境</w:t>
            </w:r>
          </w:p>
        </w:tc>
        <w:tc>
          <w:tcPr>
            <w:tcW w:w="1922" w:type="dxa"/>
            <w:vAlign w:val="center"/>
          </w:tcPr>
          <w:p w14:paraId="4F8ADA87">
            <w:pPr>
              <w:jc w:val="center"/>
              <w:rPr>
                <w:color w:val="auto"/>
                <w:sz w:val="21"/>
                <w:szCs w:val="21"/>
                <w:highlight w:val="none"/>
              </w:rPr>
            </w:pPr>
            <w:r>
              <w:rPr>
                <w:rFonts w:hint="eastAsia"/>
                <w:color w:val="auto"/>
                <w:kern w:val="24"/>
                <w:sz w:val="21"/>
                <w:szCs w:val="21"/>
                <w:highlight w:val="none"/>
                <w:lang w:eastAsia="zh-CN"/>
              </w:rPr>
              <w:t>蒸汽发生器</w:t>
            </w:r>
            <w:r>
              <w:rPr>
                <w:rFonts w:hint="eastAsia"/>
                <w:color w:val="auto"/>
                <w:kern w:val="24"/>
                <w:sz w:val="21"/>
                <w:szCs w:val="21"/>
                <w:highlight w:val="none"/>
              </w:rPr>
              <w:t>排放口</w:t>
            </w:r>
            <w:r>
              <w:rPr>
                <w:color w:val="auto"/>
                <w:sz w:val="21"/>
                <w:szCs w:val="21"/>
                <w:highlight w:val="none"/>
              </w:rPr>
              <w:t>（DA001）</w:t>
            </w:r>
          </w:p>
        </w:tc>
        <w:tc>
          <w:tcPr>
            <w:tcW w:w="1346" w:type="dxa"/>
            <w:vAlign w:val="center"/>
          </w:tcPr>
          <w:p w14:paraId="1052E2C8">
            <w:pPr>
              <w:jc w:val="center"/>
              <w:rPr>
                <w:color w:val="auto"/>
                <w:sz w:val="21"/>
                <w:szCs w:val="21"/>
                <w:highlight w:val="none"/>
              </w:rPr>
            </w:pPr>
            <w:r>
              <w:rPr>
                <w:rFonts w:hint="eastAsia"/>
                <w:color w:val="auto"/>
                <w:sz w:val="21"/>
                <w:szCs w:val="21"/>
                <w:highlight w:val="none"/>
              </w:rPr>
              <w:t>颗粒物、SO</w:t>
            </w:r>
            <w:r>
              <w:rPr>
                <w:rFonts w:hint="eastAsia"/>
                <w:color w:val="auto"/>
                <w:sz w:val="21"/>
                <w:szCs w:val="21"/>
                <w:highlight w:val="none"/>
                <w:vertAlign w:val="subscript"/>
              </w:rPr>
              <w:t>2</w:t>
            </w:r>
            <w:r>
              <w:rPr>
                <w:rFonts w:hint="eastAsia"/>
                <w:color w:val="auto"/>
                <w:sz w:val="21"/>
                <w:szCs w:val="21"/>
                <w:highlight w:val="none"/>
              </w:rPr>
              <w:t>、NO</w:t>
            </w:r>
            <w:r>
              <w:rPr>
                <w:rFonts w:hint="eastAsia"/>
                <w:color w:val="auto"/>
                <w:sz w:val="21"/>
                <w:szCs w:val="21"/>
                <w:highlight w:val="none"/>
                <w:vertAlign w:val="subscript"/>
              </w:rPr>
              <w:t>X</w:t>
            </w:r>
            <w:r>
              <w:rPr>
                <w:rFonts w:hint="eastAsia"/>
                <w:color w:val="auto"/>
                <w:sz w:val="21"/>
                <w:szCs w:val="21"/>
                <w:highlight w:val="none"/>
              </w:rPr>
              <w:t>、林格曼黑度</w:t>
            </w:r>
          </w:p>
        </w:tc>
        <w:tc>
          <w:tcPr>
            <w:tcW w:w="1923" w:type="dxa"/>
            <w:vAlign w:val="center"/>
          </w:tcPr>
          <w:p w14:paraId="0DAC348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①3套“</w:t>
            </w:r>
            <w:r>
              <w:rPr>
                <w:rFonts w:hint="eastAsia"/>
                <w:color w:val="auto"/>
                <w:szCs w:val="21"/>
                <w:highlight w:val="none"/>
              </w:rPr>
              <w:t>低氮燃烧技术+</w:t>
            </w:r>
            <w:r>
              <w:rPr>
                <w:rFonts w:hint="eastAsia" w:ascii="宋体" w:hAnsi="宋体" w:eastAsia="宋体" w:cs="宋体"/>
                <w:color w:val="auto"/>
                <w:sz w:val="21"/>
                <w:szCs w:val="21"/>
                <w:lang w:val="en-US" w:eastAsia="zh-CN"/>
              </w:rPr>
              <w:t>旋风除尘器+布袋除尘器”（TA001、TA002、TA003，综合除尘效率99%；</w:t>
            </w:r>
          </w:p>
          <w:p w14:paraId="4096C6BB">
            <w:pPr>
              <w:jc w:val="center"/>
              <w:rPr>
                <w:color w:val="auto"/>
                <w:sz w:val="21"/>
                <w:szCs w:val="21"/>
                <w:highlight w:val="none"/>
              </w:rPr>
            </w:pPr>
            <w:r>
              <w:rPr>
                <w:rFonts w:hint="eastAsia" w:ascii="宋体" w:hAnsi="宋体" w:eastAsia="宋体" w:cs="宋体"/>
                <w:color w:val="auto"/>
                <w:sz w:val="21"/>
                <w:szCs w:val="21"/>
                <w:lang w:val="en-US" w:eastAsia="zh-CN"/>
              </w:rPr>
              <w:t>②1根35m排气筒（DA001）</w:t>
            </w:r>
          </w:p>
        </w:tc>
        <w:tc>
          <w:tcPr>
            <w:tcW w:w="2277" w:type="dxa"/>
            <w:vAlign w:val="center"/>
          </w:tcPr>
          <w:p w14:paraId="14ABACBA">
            <w:pPr>
              <w:jc w:val="center"/>
              <w:rPr>
                <w:color w:val="auto"/>
                <w:sz w:val="21"/>
                <w:szCs w:val="21"/>
                <w:highlight w:val="none"/>
              </w:rPr>
            </w:pPr>
            <w:r>
              <w:rPr>
                <w:rFonts w:hint="eastAsia"/>
                <w:color w:val="auto"/>
                <w:sz w:val="21"/>
                <w:szCs w:val="21"/>
                <w:highlight w:val="none"/>
              </w:rPr>
              <w:t>《</w:t>
            </w:r>
            <w:r>
              <w:rPr>
                <w:rFonts w:hint="eastAsia"/>
                <w:color w:val="auto"/>
                <w:sz w:val="21"/>
                <w:szCs w:val="21"/>
                <w:highlight w:val="none"/>
                <w:lang w:eastAsia="zh-CN"/>
              </w:rPr>
              <w:t>锅炉大气污染物排放标准</w:t>
            </w:r>
            <w:r>
              <w:rPr>
                <w:rFonts w:hint="eastAsia"/>
                <w:color w:val="auto"/>
                <w:sz w:val="21"/>
                <w:szCs w:val="21"/>
                <w:highlight w:val="none"/>
              </w:rPr>
              <w:t>》</w:t>
            </w:r>
          </w:p>
          <w:p w14:paraId="1C329E3C">
            <w:pPr>
              <w:jc w:val="center"/>
              <w:rPr>
                <w:rFonts w:hint="eastAsia" w:eastAsia="宋体"/>
                <w:color w:val="auto"/>
                <w:sz w:val="21"/>
                <w:szCs w:val="21"/>
                <w:highlight w:val="none"/>
                <w:lang w:eastAsia="zh-CN"/>
              </w:rPr>
            </w:pPr>
            <w:r>
              <w:rPr>
                <w:rFonts w:hint="eastAsia"/>
                <w:color w:val="auto"/>
                <w:sz w:val="21"/>
                <w:szCs w:val="21"/>
                <w:highlight w:val="none"/>
              </w:rPr>
              <w:t>（GB13271-2014）中新</w:t>
            </w:r>
            <w:r>
              <w:rPr>
                <w:rFonts w:hint="eastAsia"/>
                <w:color w:val="auto"/>
                <w:sz w:val="21"/>
                <w:szCs w:val="21"/>
                <w:highlight w:val="none"/>
                <w:lang w:eastAsia="zh-CN"/>
              </w:rPr>
              <w:t>建</w:t>
            </w:r>
            <w:r>
              <w:rPr>
                <w:rFonts w:hint="eastAsia"/>
                <w:color w:val="auto"/>
                <w:sz w:val="21"/>
                <w:szCs w:val="21"/>
                <w:highlight w:val="none"/>
                <w:lang w:val="en-US" w:eastAsia="zh-CN"/>
              </w:rPr>
              <w:t>燃煤</w:t>
            </w:r>
            <w:r>
              <w:rPr>
                <w:rFonts w:hint="eastAsia"/>
                <w:color w:val="auto"/>
                <w:sz w:val="21"/>
                <w:szCs w:val="21"/>
                <w:highlight w:val="none"/>
                <w:lang w:eastAsia="zh-CN"/>
              </w:rPr>
              <w:t>锅炉大气污染物排放限值</w:t>
            </w:r>
          </w:p>
        </w:tc>
      </w:tr>
      <w:tr w14:paraId="450B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370AD4E0">
            <w:pPr>
              <w:adjustRightInd w:val="0"/>
              <w:snapToGrid w:val="0"/>
              <w:jc w:val="center"/>
              <w:rPr>
                <w:rFonts w:hAnsi="宋体"/>
                <w:color w:val="auto"/>
                <w:sz w:val="24"/>
                <w:highlight w:val="none"/>
              </w:rPr>
            </w:pPr>
          </w:p>
        </w:tc>
        <w:tc>
          <w:tcPr>
            <w:tcW w:w="1922" w:type="dxa"/>
            <w:vAlign w:val="center"/>
          </w:tcPr>
          <w:p w14:paraId="071E46C7">
            <w:pPr>
              <w:jc w:val="center"/>
              <w:rPr>
                <w:color w:val="auto"/>
                <w:kern w:val="24"/>
                <w:sz w:val="21"/>
                <w:szCs w:val="21"/>
                <w:highlight w:val="none"/>
              </w:rPr>
            </w:pPr>
            <w:r>
              <w:rPr>
                <w:rFonts w:hint="eastAsia"/>
                <w:color w:val="auto"/>
                <w:kern w:val="24"/>
                <w:sz w:val="21"/>
                <w:szCs w:val="21"/>
                <w:highlight w:val="none"/>
              </w:rPr>
              <w:t>无组织废气</w:t>
            </w:r>
          </w:p>
        </w:tc>
        <w:tc>
          <w:tcPr>
            <w:tcW w:w="1346" w:type="dxa"/>
            <w:vAlign w:val="center"/>
          </w:tcPr>
          <w:p w14:paraId="570A5F03">
            <w:pPr>
              <w:jc w:val="center"/>
              <w:rPr>
                <w:color w:val="auto"/>
                <w:sz w:val="21"/>
                <w:szCs w:val="21"/>
                <w:highlight w:val="none"/>
              </w:rPr>
            </w:pPr>
            <w:r>
              <w:rPr>
                <w:rFonts w:hint="eastAsia"/>
                <w:color w:val="auto"/>
                <w:sz w:val="21"/>
                <w:szCs w:val="21"/>
                <w:highlight w:val="none"/>
              </w:rPr>
              <w:t>颗粒物</w:t>
            </w:r>
          </w:p>
        </w:tc>
        <w:tc>
          <w:tcPr>
            <w:tcW w:w="1923" w:type="dxa"/>
            <w:vAlign w:val="center"/>
          </w:tcPr>
          <w:p w14:paraId="1B62B95A">
            <w:pPr>
              <w:jc w:val="center"/>
              <w:rPr>
                <w:color w:val="auto"/>
                <w:sz w:val="21"/>
                <w:szCs w:val="21"/>
                <w:highlight w:val="none"/>
              </w:rPr>
            </w:pPr>
            <w:r>
              <w:rPr>
                <w:rFonts w:hint="eastAsia"/>
                <w:color w:val="auto"/>
                <w:sz w:val="21"/>
                <w:szCs w:val="21"/>
                <w:highlight w:val="none"/>
              </w:rPr>
              <w:t>生产</w:t>
            </w:r>
            <w:r>
              <w:rPr>
                <w:color w:val="auto"/>
                <w:sz w:val="21"/>
                <w:szCs w:val="21"/>
                <w:highlight w:val="none"/>
              </w:rPr>
              <w:t>车间</w:t>
            </w:r>
            <w:r>
              <w:rPr>
                <w:rFonts w:hint="eastAsia"/>
                <w:color w:val="auto"/>
                <w:sz w:val="21"/>
                <w:szCs w:val="21"/>
                <w:highlight w:val="none"/>
              </w:rPr>
              <w:t>通风</w:t>
            </w:r>
            <w:r>
              <w:rPr>
                <w:color w:val="auto"/>
                <w:sz w:val="21"/>
                <w:szCs w:val="21"/>
                <w:highlight w:val="none"/>
              </w:rPr>
              <w:t>换气</w:t>
            </w:r>
          </w:p>
        </w:tc>
        <w:tc>
          <w:tcPr>
            <w:tcW w:w="2277" w:type="dxa"/>
            <w:vAlign w:val="center"/>
          </w:tcPr>
          <w:p w14:paraId="0415006A">
            <w:pPr>
              <w:jc w:val="center"/>
              <w:rPr>
                <w:color w:val="auto"/>
                <w:kern w:val="24"/>
                <w:sz w:val="21"/>
                <w:szCs w:val="21"/>
                <w:highlight w:val="none"/>
              </w:rPr>
            </w:pPr>
            <w:r>
              <w:rPr>
                <w:color w:val="auto"/>
                <w:kern w:val="24"/>
                <w:sz w:val="21"/>
                <w:szCs w:val="21"/>
                <w:highlight w:val="none"/>
              </w:rPr>
              <w:t>《大气污染物综合排放标准》（GB16297-1996）表2无组织排放监控浓度限值标准</w:t>
            </w:r>
          </w:p>
        </w:tc>
      </w:tr>
      <w:tr w14:paraId="3D99B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restart"/>
            <w:vAlign w:val="center"/>
          </w:tcPr>
          <w:p w14:paraId="6A089C45">
            <w:pPr>
              <w:adjustRightInd w:val="0"/>
              <w:snapToGrid w:val="0"/>
              <w:jc w:val="center"/>
              <w:rPr>
                <w:color w:val="auto"/>
                <w:sz w:val="24"/>
                <w:highlight w:val="none"/>
              </w:rPr>
            </w:pPr>
            <w:r>
              <w:rPr>
                <w:rFonts w:hAnsi="宋体"/>
                <w:color w:val="auto"/>
                <w:sz w:val="24"/>
                <w:highlight w:val="none"/>
              </w:rPr>
              <w:t>地表水环境</w:t>
            </w:r>
          </w:p>
        </w:tc>
        <w:tc>
          <w:tcPr>
            <w:tcW w:w="1922" w:type="dxa"/>
            <w:vAlign w:val="center"/>
          </w:tcPr>
          <w:p w14:paraId="42E6C048">
            <w:pPr>
              <w:jc w:val="center"/>
              <w:rPr>
                <w:color w:val="auto"/>
                <w:sz w:val="21"/>
                <w:szCs w:val="21"/>
                <w:highlight w:val="none"/>
              </w:rPr>
            </w:pPr>
            <w:r>
              <w:rPr>
                <w:rFonts w:hint="eastAsia"/>
                <w:color w:val="auto"/>
                <w:sz w:val="21"/>
                <w:szCs w:val="21"/>
                <w:highlight w:val="none"/>
                <w:lang w:eastAsia="zh-CN"/>
              </w:rPr>
              <w:t>蒸汽发生器</w:t>
            </w:r>
            <w:r>
              <w:rPr>
                <w:rFonts w:hint="eastAsia"/>
                <w:color w:val="auto"/>
                <w:sz w:val="21"/>
                <w:szCs w:val="21"/>
                <w:highlight w:val="none"/>
              </w:rPr>
              <w:t>排水、软水制备废水</w:t>
            </w:r>
          </w:p>
        </w:tc>
        <w:tc>
          <w:tcPr>
            <w:tcW w:w="1346" w:type="dxa"/>
            <w:vAlign w:val="center"/>
          </w:tcPr>
          <w:p w14:paraId="29D21430">
            <w:pPr>
              <w:jc w:val="center"/>
              <w:rPr>
                <w:color w:val="auto"/>
                <w:sz w:val="21"/>
                <w:szCs w:val="21"/>
                <w:highlight w:val="none"/>
              </w:rPr>
            </w:pPr>
            <w:r>
              <w:rPr>
                <w:color w:val="auto"/>
                <w:sz w:val="21"/>
                <w:szCs w:val="21"/>
                <w:highlight w:val="none"/>
              </w:rPr>
              <w:t>pH、CODcr、BOD</w:t>
            </w:r>
            <w:r>
              <w:rPr>
                <w:color w:val="auto"/>
                <w:sz w:val="21"/>
                <w:szCs w:val="21"/>
                <w:highlight w:val="none"/>
                <w:vertAlign w:val="subscript"/>
              </w:rPr>
              <w:t>5</w:t>
            </w:r>
            <w:r>
              <w:rPr>
                <w:color w:val="auto"/>
                <w:sz w:val="21"/>
                <w:szCs w:val="21"/>
                <w:highlight w:val="none"/>
              </w:rPr>
              <w:t>、SS、NH</w:t>
            </w:r>
            <w:r>
              <w:rPr>
                <w:color w:val="auto"/>
                <w:sz w:val="21"/>
                <w:szCs w:val="21"/>
                <w:highlight w:val="none"/>
                <w:vertAlign w:val="subscript"/>
              </w:rPr>
              <w:t>3</w:t>
            </w:r>
            <w:r>
              <w:rPr>
                <w:color w:val="auto"/>
                <w:sz w:val="21"/>
                <w:szCs w:val="21"/>
                <w:highlight w:val="none"/>
              </w:rPr>
              <w:t>-N、</w:t>
            </w:r>
            <w:r>
              <w:rPr>
                <w:rFonts w:hint="eastAsia"/>
                <w:color w:val="auto"/>
                <w:sz w:val="21"/>
                <w:szCs w:val="21"/>
                <w:highlight w:val="none"/>
              </w:rPr>
              <w:t>溶解性总固体</w:t>
            </w:r>
          </w:p>
        </w:tc>
        <w:tc>
          <w:tcPr>
            <w:tcW w:w="1923" w:type="dxa"/>
            <w:vAlign w:val="center"/>
          </w:tcPr>
          <w:p w14:paraId="61E806D7">
            <w:pPr>
              <w:pStyle w:val="82"/>
              <w:rPr>
                <w:rFonts w:hint="default" w:eastAsia="宋体"/>
                <w:color w:val="auto"/>
                <w:kern w:val="2"/>
                <w:sz w:val="21"/>
                <w:szCs w:val="21"/>
                <w:highlight w:val="none"/>
                <w:lang w:val="en-US" w:eastAsia="zh-CN"/>
              </w:rPr>
            </w:pPr>
            <w:r>
              <w:rPr>
                <w:rFonts w:hint="eastAsia"/>
                <w:color w:val="auto"/>
                <w:kern w:val="2"/>
                <w:sz w:val="21"/>
                <w:szCs w:val="21"/>
                <w:highlight w:val="none"/>
                <w:lang w:val="en-US"/>
              </w:rPr>
              <w:t>絮凝沉淀池（1个，容积</w:t>
            </w:r>
            <w:r>
              <w:rPr>
                <w:rFonts w:hint="eastAsia"/>
                <w:color w:val="auto"/>
                <w:kern w:val="2"/>
                <w:sz w:val="21"/>
                <w:szCs w:val="21"/>
                <w:highlight w:val="none"/>
                <w:lang w:val="en-US" w:eastAsia="zh-CN"/>
              </w:rPr>
              <w:t>5</w:t>
            </w:r>
            <w:r>
              <w:rPr>
                <w:rFonts w:hint="eastAsia"/>
                <w:color w:val="auto"/>
                <w:kern w:val="2"/>
                <w:sz w:val="21"/>
                <w:szCs w:val="21"/>
                <w:highlight w:val="none"/>
                <w:lang w:val="en-US"/>
              </w:rPr>
              <w:t>m</w:t>
            </w:r>
            <w:r>
              <w:rPr>
                <w:rFonts w:hint="eastAsia"/>
                <w:color w:val="auto"/>
                <w:kern w:val="2"/>
                <w:sz w:val="21"/>
                <w:szCs w:val="21"/>
                <w:highlight w:val="none"/>
                <w:vertAlign w:val="superscript"/>
                <w:lang w:val="en-US"/>
              </w:rPr>
              <w:t>3</w:t>
            </w:r>
            <w:r>
              <w:rPr>
                <w:rFonts w:hint="eastAsia"/>
                <w:color w:val="auto"/>
                <w:kern w:val="2"/>
                <w:sz w:val="21"/>
                <w:szCs w:val="21"/>
                <w:highlight w:val="none"/>
                <w:lang w:val="en-US"/>
              </w:rPr>
              <w:t>）沉淀处理后</w:t>
            </w:r>
            <w:r>
              <w:rPr>
                <w:rFonts w:hint="eastAsia"/>
                <w:color w:val="auto"/>
                <w:kern w:val="2"/>
                <w:sz w:val="21"/>
                <w:szCs w:val="21"/>
                <w:highlight w:val="none"/>
                <w:lang w:val="en-US" w:eastAsia="zh-CN"/>
              </w:rPr>
              <w:t>排入钧澄公司冷却循环水池（1个，容积30m</w:t>
            </w:r>
            <w:r>
              <w:rPr>
                <w:rFonts w:hint="eastAsia"/>
                <w:color w:val="auto"/>
                <w:kern w:val="2"/>
                <w:sz w:val="21"/>
                <w:szCs w:val="21"/>
                <w:highlight w:val="none"/>
                <w:vertAlign w:val="superscript"/>
                <w:lang w:val="en-US" w:eastAsia="zh-CN"/>
              </w:rPr>
              <w:t>3</w:t>
            </w:r>
            <w:r>
              <w:rPr>
                <w:rFonts w:hint="eastAsia"/>
                <w:color w:val="auto"/>
                <w:kern w:val="2"/>
                <w:sz w:val="21"/>
                <w:szCs w:val="21"/>
                <w:highlight w:val="none"/>
                <w:lang w:val="en-US" w:eastAsia="zh-CN"/>
              </w:rPr>
              <w:t>）循环使用</w:t>
            </w:r>
          </w:p>
        </w:tc>
        <w:tc>
          <w:tcPr>
            <w:tcW w:w="2277" w:type="dxa"/>
            <w:vMerge w:val="restart"/>
            <w:vAlign w:val="center"/>
          </w:tcPr>
          <w:p w14:paraId="23F0898B">
            <w:pPr>
              <w:jc w:val="center"/>
              <w:rPr>
                <w:rFonts w:hint="eastAsia" w:eastAsia="宋体"/>
                <w:color w:val="auto"/>
                <w:sz w:val="21"/>
                <w:szCs w:val="21"/>
                <w:highlight w:val="none"/>
                <w:lang w:eastAsia="zh-CN"/>
              </w:rPr>
            </w:pPr>
            <w:r>
              <w:rPr>
                <w:rFonts w:hint="eastAsia"/>
                <w:color w:val="auto"/>
                <w:kern w:val="0"/>
                <w:sz w:val="21"/>
                <w:szCs w:val="21"/>
                <w:highlight w:val="none"/>
                <w:lang w:val="en-US" w:eastAsia="zh-CN"/>
              </w:rPr>
              <w:t>不外排</w:t>
            </w:r>
          </w:p>
        </w:tc>
      </w:tr>
      <w:tr w14:paraId="13928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73383C9E">
            <w:pPr>
              <w:adjustRightInd w:val="0"/>
              <w:snapToGrid w:val="0"/>
              <w:jc w:val="center"/>
              <w:rPr>
                <w:rFonts w:hAnsi="宋体"/>
                <w:color w:val="auto"/>
                <w:sz w:val="24"/>
                <w:highlight w:val="none"/>
              </w:rPr>
            </w:pPr>
          </w:p>
        </w:tc>
        <w:tc>
          <w:tcPr>
            <w:tcW w:w="1922" w:type="dxa"/>
            <w:vAlign w:val="center"/>
          </w:tcPr>
          <w:p w14:paraId="5EDFAE62">
            <w:pPr>
              <w:jc w:val="center"/>
              <w:rPr>
                <w:color w:val="auto"/>
                <w:sz w:val="21"/>
                <w:szCs w:val="21"/>
                <w:highlight w:val="none"/>
              </w:rPr>
            </w:pPr>
            <w:r>
              <w:rPr>
                <w:rFonts w:hint="eastAsia"/>
                <w:color w:val="auto"/>
                <w:sz w:val="21"/>
                <w:szCs w:val="21"/>
                <w:highlight w:val="none"/>
              </w:rPr>
              <w:t>生活污水</w:t>
            </w:r>
          </w:p>
        </w:tc>
        <w:tc>
          <w:tcPr>
            <w:tcW w:w="1346" w:type="dxa"/>
            <w:vAlign w:val="center"/>
          </w:tcPr>
          <w:p w14:paraId="2E9692E0">
            <w:pPr>
              <w:jc w:val="center"/>
              <w:rPr>
                <w:color w:val="auto"/>
                <w:sz w:val="21"/>
                <w:szCs w:val="21"/>
                <w:highlight w:val="none"/>
              </w:rPr>
            </w:pPr>
            <w:r>
              <w:rPr>
                <w:color w:val="auto"/>
                <w:sz w:val="21"/>
                <w:szCs w:val="21"/>
                <w:highlight w:val="none"/>
              </w:rPr>
              <w:t>pH、CODcr、BOD</w:t>
            </w:r>
            <w:r>
              <w:rPr>
                <w:color w:val="auto"/>
                <w:sz w:val="21"/>
                <w:szCs w:val="21"/>
                <w:highlight w:val="none"/>
                <w:vertAlign w:val="subscript"/>
              </w:rPr>
              <w:t>5</w:t>
            </w:r>
            <w:r>
              <w:rPr>
                <w:color w:val="auto"/>
                <w:sz w:val="21"/>
                <w:szCs w:val="21"/>
                <w:highlight w:val="none"/>
              </w:rPr>
              <w:t>、SS、NH</w:t>
            </w:r>
            <w:r>
              <w:rPr>
                <w:color w:val="auto"/>
                <w:sz w:val="21"/>
                <w:szCs w:val="21"/>
                <w:highlight w:val="none"/>
                <w:vertAlign w:val="subscript"/>
              </w:rPr>
              <w:t>3</w:t>
            </w:r>
            <w:r>
              <w:rPr>
                <w:color w:val="auto"/>
                <w:sz w:val="21"/>
                <w:szCs w:val="21"/>
                <w:highlight w:val="none"/>
              </w:rPr>
              <w:t>-N、TP</w:t>
            </w:r>
            <w:r>
              <w:rPr>
                <w:rFonts w:hint="eastAsia"/>
                <w:color w:val="auto"/>
                <w:sz w:val="21"/>
                <w:szCs w:val="21"/>
                <w:highlight w:val="none"/>
              </w:rPr>
              <w:t>等</w:t>
            </w:r>
          </w:p>
        </w:tc>
        <w:tc>
          <w:tcPr>
            <w:tcW w:w="1923" w:type="dxa"/>
            <w:vAlign w:val="center"/>
          </w:tcPr>
          <w:p w14:paraId="776823FF">
            <w:pPr>
              <w:pStyle w:val="82"/>
              <w:rPr>
                <w:color w:val="auto"/>
                <w:kern w:val="2"/>
                <w:sz w:val="21"/>
                <w:szCs w:val="21"/>
                <w:highlight w:val="none"/>
                <w:lang w:val="en-US"/>
              </w:rPr>
            </w:pPr>
            <w:r>
              <w:rPr>
                <w:rFonts w:hint="eastAsia"/>
                <w:color w:val="auto"/>
                <w:sz w:val="21"/>
                <w:szCs w:val="21"/>
                <w:highlight w:val="none"/>
                <w:lang w:val="en-US" w:eastAsia="zh-CN"/>
              </w:rPr>
              <w:t>钧澄</w:t>
            </w:r>
            <w:r>
              <w:rPr>
                <w:rFonts w:hint="eastAsia" w:ascii="Times New Roman" w:hAnsi="Times New Roman" w:eastAsia="宋体" w:cs="Times New Roman"/>
                <w:snapToGrid/>
                <w:color w:val="auto"/>
                <w:kern w:val="2"/>
                <w:sz w:val="21"/>
                <w:szCs w:val="21"/>
                <w:highlight w:val="none"/>
                <w:lang w:val="en-US" w:eastAsia="zh-CN" w:bidi="ar-SA"/>
              </w:rPr>
              <w:t>公司化粪池（1个，容积3m</w:t>
            </w:r>
            <w:r>
              <w:rPr>
                <w:rFonts w:hint="eastAsia" w:ascii="Times New Roman" w:hAnsi="Times New Roman" w:eastAsia="宋体" w:cs="Times New Roman"/>
                <w:snapToGrid/>
                <w:color w:val="auto"/>
                <w:kern w:val="2"/>
                <w:sz w:val="21"/>
                <w:szCs w:val="21"/>
                <w:highlight w:val="none"/>
                <w:vertAlign w:val="superscript"/>
                <w:lang w:val="en-US" w:eastAsia="zh-CN" w:bidi="ar-SA"/>
              </w:rPr>
              <w:t>3</w:t>
            </w:r>
            <w:r>
              <w:rPr>
                <w:rFonts w:hint="eastAsia" w:ascii="Times New Roman" w:hAnsi="Times New Roman" w:eastAsia="宋体" w:cs="Times New Roman"/>
                <w:snapToGrid/>
                <w:color w:val="auto"/>
                <w:kern w:val="2"/>
                <w:sz w:val="21"/>
                <w:szCs w:val="21"/>
                <w:highlight w:val="none"/>
                <w:lang w:val="en-US" w:eastAsia="zh-CN" w:bidi="ar-SA"/>
              </w:rPr>
              <w:t>）进行处理</w:t>
            </w:r>
          </w:p>
        </w:tc>
        <w:tc>
          <w:tcPr>
            <w:tcW w:w="2277" w:type="dxa"/>
            <w:vMerge w:val="continue"/>
            <w:vAlign w:val="center"/>
          </w:tcPr>
          <w:p w14:paraId="2C0FFBD5">
            <w:pPr>
              <w:jc w:val="center"/>
              <w:rPr>
                <w:color w:val="auto"/>
                <w:kern w:val="0"/>
                <w:sz w:val="21"/>
                <w:szCs w:val="21"/>
                <w:highlight w:val="none"/>
              </w:rPr>
            </w:pPr>
          </w:p>
        </w:tc>
      </w:tr>
      <w:tr w14:paraId="53B64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Align w:val="center"/>
          </w:tcPr>
          <w:p w14:paraId="257BF8D2">
            <w:pPr>
              <w:adjustRightInd w:val="0"/>
              <w:snapToGrid w:val="0"/>
              <w:jc w:val="center"/>
              <w:rPr>
                <w:color w:val="auto"/>
                <w:sz w:val="24"/>
                <w:highlight w:val="none"/>
              </w:rPr>
            </w:pPr>
            <w:r>
              <w:rPr>
                <w:rFonts w:hAnsi="宋体"/>
                <w:color w:val="auto"/>
                <w:sz w:val="24"/>
                <w:highlight w:val="none"/>
              </w:rPr>
              <w:t>声环境</w:t>
            </w:r>
          </w:p>
        </w:tc>
        <w:tc>
          <w:tcPr>
            <w:tcW w:w="1922" w:type="dxa"/>
            <w:vAlign w:val="center"/>
          </w:tcPr>
          <w:p w14:paraId="51FBA801">
            <w:pPr>
              <w:adjustRightInd w:val="0"/>
              <w:snapToGrid w:val="0"/>
              <w:jc w:val="center"/>
              <w:rPr>
                <w:color w:val="auto"/>
                <w:sz w:val="21"/>
                <w:szCs w:val="21"/>
                <w:highlight w:val="none"/>
              </w:rPr>
            </w:pPr>
            <w:r>
              <w:rPr>
                <w:color w:val="auto"/>
                <w:sz w:val="21"/>
                <w:szCs w:val="21"/>
                <w:highlight w:val="none"/>
              </w:rPr>
              <w:t>生产设备</w:t>
            </w:r>
          </w:p>
        </w:tc>
        <w:tc>
          <w:tcPr>
            <w:tcW w:w="1346" w:type="dxa"/>
            <w:vAlign w:val="center"/>
          </w:tcPr>
          <w:p w14:paraId="64028469">
            <w:pPr>
              <w:adjustRightInd w:val="0"/>
              <w:snapToGrid w:val="0"/>
              <w:jc w:val="center"/>
              <w:rPr>
                <w:color w:val="auto"/>
                <w:sz w:val="21"/>
                <w:szCs w:val="21"/>
                <w:highlight w:val="none"/>
              </w:rPr>
            </w:pPr>
            <w:r>
              <w:rPr>
                <w:color w:val="auto"/>
                <w:sz w:val="21"/>
                <w:szCs w:val="21"/>
                <w:highlight w:val="none"/>
              </w:rPr>
              <w:t>等效连续A声级</w:t>
            </w:r>
          </w:p>
        </w:tc>
        <w:tc>
          <w:tcPr>
            <w:tcW w:w="1923" w:type="dxa"/>
            <w:vAlign w:val="center"/>
          </w:tcPr>
          <w:p w14:paraId="7154E19E">
            <w:pPr>
              <w:adjustRightInd w:val="0"/>
              <w:snapToGrid w:val="0"/>
              <w:jc w:val="center"/>
              <w:rPr>
                <w:color w:val="auto"/>
                <w:sz w:val="21"/>
                <w:szCs w:val="21"/>
                <w:highlight w:val="none"/>
              </w:rPr>
            </w:pPr>
            <w:r>
              <w:rPr>
                <w:rFonts w:hint="eastAsia"/>
                <w:color w:val="auto"/>
                <w:sz w:val="21"/>
                <w:szCs w:val="21"/>
                <w:highlight w:val="none"/>
              </w:rPr>
              <w:t>优化设备、做好设备隔震减震措施、合理布局、合理安排生产时间等。</w:t>
            </w:r>
          </w:p>
        </w:tc>
        <w:tc>
          <w:tcPr>
            <w:tcW w:w="2277" w:type="dxa"/>
            <w:vAlign w:val="center"/>
          </w:tcPr>
          <w:p w14:paraId="28E0886C">
            <w:pPr>
              <w:adjustRightInd w:val="0"/>
              <w:snapToGrid w:val="0"/>
              <w:jc w:val="center"/>
              <w:rPr>
                <w:color w:val="auto"/>
                <w:sz w:val="21"/>
                <w:szCs w:val="21"/>
                <w:highlight w:val="none"/>
              </w:rPr>
            </w:pPr>
            <w:r>
              <w:rPr>
                <w:rFonts w:hint="eastAsia"/>
                <w:color w:val="auto"/>
                <w:sz w:val="21"/>
                <w:szCs w:val="21"/>
                <w:highlight w:val="none"/>
                <w:lang w:val="en-US" w:eastAsia="zh-CN"/>
              </w:rPr>
              <w:t>厂界</w:t>
            </w:r>
            <w:r>
              <w:rPr>
                <w:color w:val="auto"/>
                <w:sz w:val="21"/>
                <w:szCs w:val="21"/>
                <w:highlight w:val="none"/>
              </w:rPr>
              <w:t>噪声</w:t>
            </w:r>
            <w:r>
              <w:rPr>
                <w:rFonts w:hint="eastAsia"/>
                <w:color w:val="auto"/>
                <w:sz w:val="21"/>
                <w:szCs w:val="21"/>
                <w:highlight w:val="none"/>
              </w:rPr>
              <w:t>执行</w:t>
            </w:r>
            <w:r>
              <w:rPr>
                <w:color w:val="auto"/>
                <w:sz w:val="21"/>
                <w:szCs w:val="21"/>
                <w:highlight w:val="none"/>
              </w:rPr>
              <w:t>《工业企业厂界环境噪声排放标准》（GB12348-2008）</w:t>
            </w:r>
            <w:r>
              <w:rPr>
                <w:rFonts w:hint="eastAsia"/>
                <w:color w:val="auto"/>
                <w:sz w:val="21"/>
                <w:szCs w:val="21"/>
                <w:highlight w:val="none"/>
                <w:lang w:val="en-US" w:eastAsia="zh-CN"/>
              </w:rPr>
              <w:t>2</w:t>
            </w:r>
            <w:r>
              <w:rPr>
                <w:color w:val="auto"/>
                <w:sz w:val="21"/>
                <w:szCs w:val="21"/>
                <w:highlight w:val="none"/>
              </w:rPr>
              <w:t>类标准</w:t>
            </w:r>
          </w:p>
        </w:tc>
      </w:tr>
      <w:tr w14:paraId="122DA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Align w:val="center"/>
          </w:tcPr>
          <w:p w14:paraId="37B1A1C2">
            <w:pPr>
              <w:adjustRightInd w:val="0"/>
              <w:snapToGrid w:val="0"/>
              <w:jc w:val="center"/>
              <w:rPr>
                <w:color w:val="auto"/>
                <w:sz w:val="24"/>
                <w:highlight w:val="none"/>
              </w:rPr>
            </w:pPr>
            <w:r>
              <w:rPr>
                <w:rFonts w:hAnsi="宋体"/>
                <w:color w:val="auto"/>
                <w:sz w:val="24"/>
                <w:highlight w:val="none"/>
              </w:rPr>
              <w:t>电磁辐射</w:t>
            </w:r>
          </w:p>
        </w:tc>
        <w:tc>
          <w:tcPr>
            <w:tcW w:w="7468" w:type="dxa"/>
            <w:gridSpan w:val="4"/>
            <w:vAlign w:val="center"/>
          </w:tcPr>
          <w:p w14:paraId="1F9AE66C">
            <w:pPr>
              <w:adjustRightInd w:val="0"/>
              <w:snapToGrid w:val="0"/>
              <w:jc w:val="center"/>
              <w:rPr>
                <w:color w:val="auto"/>
                <w:sz w:val="21"/>
                <w:szCs w:val="21"/>
                <w:highlight w:val="none"/>
              </w:rPr>
            </w:pPr>
            <w:r>
              <w:rPr>
                <w:rFonts w:hint="eastAsia"/>
                <w:color w:val="auto"/>
                <w:sz w:val="21"/>
                <w:szCs w:val="21"/>
                <w:highlight w:val="none"/>
              </w:rPr>
              <w:t>/</w:t>
            </w:r>
          </w:p>
        </w:tc>
      </w:tr>
      <w:tr w14:paraId="0728D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restart"/>
            <w:vAlign w:val="center"/>
          </w:tcPr>
          <w:p w14:paraId="2FE05701">
            <w:pPr>
              <w:adjustRightInd w:val="0"/>
              <w:snapToGrid w:val="0"/>
              <w:jc w:val="center"/>
              <w:rPr>
                <w:rFonts w:hAnsi="宋体"/>
                <w:color w:val="auto"/>
                <w:sz w:val="24"/>
                <w:highlight w:val="none"/>
              </w:rPr>
            </w:pPr>
            <w:r>
              <w:rPr>
                <w:rFonts w:hAnsi="宋体"/>
                <w:color w:val="auto"/>
                <w:sz w:val="24"/>
                <w:highlight w:val="none"/>
              </w:rPr>
              <w:t>固体废物</w:t>
            </w:r>
          </w:p>
        </w:tc>
        <w:tc>
          <w:tcPr>
            <w:tcW w:w="1922" w:type="dxa"/>
            <w:vAlign w:val="center"/>
          </w:tcPr>
          <w:p w14:paraId="16C09EF4">
            <w:pPr>
              <w:adjustRightInd w:val="0"/>
              <w:snapToGrid w:val="0"/>
              <w:jc w:val="center"/>
              <w:rPr>
                <w:color w:val="auto"/>
                <w:sz w:val="21"/>
                <w:szCs w:val="21"/>
                <w:highlight w:val="none"/>
              </w:rPr>
            </w:pPr>
            <w:r>
              <w:rPr>
                <w:rFonts w:hint="eastAsia"/>
                <w:color w:val="auto"/>
                <w:kern w:val="24"/>
                <w:sz w:val="21"/>
                <w:szCs w:val="21"/>
                <w:highlight w:val="none"/>
                <w:lang w:eastAsia="zh-CN"/>
              </w:rPr>
              <w:t>锅炉房</w:t>
            </w:r>
          </w:p>
        </w:tc>
        <w:tc>
          <w:tcPr>
            <w:tcW w:w="1346" w:type="dxa"/>
            <w:vAlign w:val="center"/>
          </w:tcPr>
          <w:p w14:paraId="35E0CD33">
            <w:pPr>
              <w:adjustRightInd w:val="0"/>
              <w:snapToGrid w:val="0"/>
              <w:jc w:val="center"/>
              <w:rPr>
                <w:color w:val="auto"/>
                <w:sz w:val="21"/>
                <w:szCs w:val="21"/>
                <w:highlight w:val="none"/>
              </w:rPr>
            </w:pPr>
            <w:r>
              <w:rPr>
                <w:rFonts w:hint="eastAsia"/>
                <w:color w:val="auto"/>
                <w:kern w:val="24"/>
                <w:sz w:val="21"/>
                <w:szCs w:val="21"/>
                <w:highlight w:val="none"/>
                <w:lang w:eastAsia="zh-CN"/>
              </w:rPr>
              <w:t>蒸汽发生器</w:t>
            </w:r>
            <w:r>
              <w:rPr>
                <w:rFonts w:hint="eastAsia"/>
                <w:color w:val="auto"/>
                <w:kern w:val="24"/>
                <w:sz w:val="21"/>
                <w:szCs w:val="21"/>
                <w:highlight w:val="none"/>
              </w:rPr>
              <w:t>炉渣</w:t>
            </w:r>
          </w:p>
        </w:tc>
        <w:tc>
          <w:tcPr>
            <w:tcW w:w="1923" w:type="dxa"/>
            <w:vMerge w:val="restart"/>
            <w:vAlign w:val="center"/>
          </w:tcPr>
          <w:p w14:paraId="4094F0BC">
            <w:pPr>
              <w:adjustRightInd w:val="0"/>
              <w:snapToGrid w:val="0"/>
              <w:jc w:val="center"/>
              <w:rPr>
                <w:color w:val="auto"/>
                <w:sz w:val="21"/>
                <w:szCs w:val="21"/>
                <w:highlight w:val="none"/>
              </w:rPr>
            </w:pPr>
            <w:r>
              <w:rPr>
                <w:rFonts w:hint="eastAsia"/>
                <w:color w:val="auto"/>
                <w:sz w:val="21"/>
                <w:szCs w:val="21"/>
                <w:highlight w:val="none"/>
              </w:rPr>
              <w:t>运至红塔区志程肥料加工</w:t>
            </w:r>
            <w:r>
              <w:rPr>
                <w:rFonts w:hint="eastAsia"/>
                <w:color w:val="auto"/>
                <w:sz w:val="21"/>
                <w:szCs w:val="21"/>
                <w:highlight w:val="none"/>
                <w:lang w:val="en-US" w:eastAsia="zh-CN"/>
              </w:rPr>
              <w:t>厂用于有机肥料生产原料使用</w:t>
            </w:r>
          </w:p>
        </w:tc>
        <w:tc>
          <w:tcPr>
            <w:tcW w:w="2277" w:type="dxa"/>
            <w:vMerge w:val="restart"/>
            <w:vAlign w:val="center"/>
          </w:tcPr>
          <w:p w14:paraId="6005FEB8">
            <w:pPr>
              <w:jc w:val="center"/>
              <w:rPr>
                <w:color w:val="auto"/>
                <w:sz w:val="21"/>
                <w:szCs w:val="21"/>
                <w:highlight w:val="none"/>
              </w:rPr>
            </w:pPr>
            <w:r>
              <w:rPr>
                <w:color w:val="auto"/>
                <w:kern w:val="24"/>
                <w:sz w:val="21"/>
                <w:szCs w:val="21"/>
                <w:highlight w:val="none"/>
              </w:rPr>
              <w:t>《</w:t>
            </w:r>
            <w:r>
              <w:rPr>
                <w:rFonts w:hint="eastAsia"/>
                <w:color w:val="auto"/>
                <w:kern w:val="24"/>
                <w:sz w:val="21"/>
                <w:szCs w:val="21"/>
                <w:highlight w:val="none"/>
              </w:rPr>
              <w:t>一般工业固体废物贮存和填埋污染控制标准</w:t>
            </w:r>
            <w:r>
              <w:rPr>
                <w:color w:val="auto"/>
                <w:kern w:val="24"/>
                <w:sz w:val="21"/>
                <w:szCs w:val="21"/>
                <w:highlight w:val="none"/>
              </w:rPr>
              <w:t>》（GB</w:t>
            </w:r>
            <w:r>
              <w:rPr>
                <w:rFonts w:hint="eastAsia"/>
                <w:color w:val="auto"/>
                <w:kern w:val="24"/>
                <w:sz w:val="21"/>
                <w:szCs w:val="21"/>
                <w:highlight w:val="none"/>
              </w:rPr>
              <w:t>18599-2020</w:t>
            </w:r>
            <w:r>
              <w:rPr>
                <w:color w:val="auto"/>
                <w:kern w:val="24"/>
                <w:sz w:val="21"/>
                <w:szCs w:val="21"/>
                <w:highlight w:val="none"/>
              </w:rPr>
              <w:t>）</w:t>
            </w:r>
          </w:p>
        </w:tc>
      </w:tr>
      <w:tr w14:paraId="66BAA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48" w:type="dxa"/>
            <w:vMerge w:val="continue"/>
            <w:vAlign w:val="center"/>
          </w:tcPr>
          <w:p w14:paraId="57CC4391">
            <w:pPr>
              <w:adjustRightInd w:val="0"/>
              <w:snapToGrid w:val="0"/>
              <w:jc w:val="center"/>
              <w:rPr>
                <w:rFonts w:hAnsi="宋体"/>
                <w:color w:val="auto"/>
                <w:sz w:val="24"/>
                <w:highlight w:val="none"/>
              </w:rPr>
            </w:pPr>
          </w:p>
        </w:tc>
        <w:tc>
          <w:tcPr>
            <w:tcW w:w="1922" w:type="dxa"/>
            <w:vAlign w:val="center"/>
          </w:tcPr>
          <w:p w14:paraId="2373A84A">
            <w:pPr>
              <w:adjustRightInd w:val="0"/>
              <w:snapToGrid w:val="0"/>
              <w:jc w:val="center"/>
              <w:rPr>
                <w:color w:val="auto"/>
                <w:sz w:val="21"/>
                <w:szCs w:val="21"/>
                <w:highlight w:val="none"/>
              </w:rPr>
            </w:pPr>
            <w:r>
              <w:rPr>
                <w:rFonts w:hint="eastAsia"/>
                <w:color w:val="auto"/>
                <w:kern w:val="24"/>
                <w:sz w:val="21"/>
                <w:szCs w:val="21"/>
                <w:highlight w:val="none"/>
                <w:lang w:eastAsia="zh-CN"/>
              </w:rPr>
              <w:t>锅炉房</w:t>
            </w:r>
          </w:p>
        </w:tc>
        <w:tc>
          <w:tcPr>
            <w:tcW w:w="1346" w:type="dxa"/>
            <w:vAlign w:val="center"/>
          </w:tcPr>
          <w:p w14:paraId="52743A03">
            <w:pPr>
              <w:adjustRightInd w:val="0"/>
              <w:snapToGrid w:val="0"/>
              <w:jc w:val="center"/>
              <w:rPr>
                <w:color w:val="auto"/>
                <w:kern w:val="24"/>
                <w:sz w:val="21"/>
                <w:szCs w:val="21"/>
                <w:highlight w:val="none"/>
              </w:rPr>
            </w:pPr>
            <w:r>
              <w:rPr>
                <w:rFonts w:hint="eastAsia"/>
                <w:color w:val="auto"/>
                <w:kern w:val="24"/>
                <w:sz w:val="21"/>
                <w:szCs w:val="21"/>
                <w:highlight w:val="none"/>
              </w:rPr>
              <w:t>除尘灰</w:t>
            </w:r>
          </w:p>
        </w:tc>
        <w:tc>
          <w:tcPr>
            <w:tcW w:w="1923" w:type="dxa"/>
            <w:vMerge w:val="continue"/>
            <w:vAlign w:val="center"/>
          </w:tcPr>
          <w:p w14:paraId="6BD04593">
            <w:pPr>
              <w:adjustRightInd w:val="0"/>
              <w:snapToGrid w:val="0"/>
              <w:jc w:val="center"/>
              <w:rPr>
                <w:color w:val="auto"/>
                <w:sz w:val="21"/>
                <w:szCs w:val="21"/>
                <w:highlight w:val="none"/>
              </w:rPr>
            </w:pPr>
          </w:p>
        </w:tc>
        <w:tc>
          <w:tcPr>
            <w:tcW w:w="2277" w:type="dxa"/>
            <w:vMerge w:val="continue"/>
            <w:vAlign w:val="center"/>
          </w:tcPr>
          <w:p w14:paraId="05BA31A5">
            <w:pPr>
              <w:jc w:val="center"/>
              <w:rPr>
                <w:color w:val="auto"/>
                <w:sz w:val="21"/>
                <w:szCs w:val="21"/>
                <w:highlight w:val="none"/>
              </w:rPr>
            </w:pPr>
          </w:p>
        </w:tc>
      </w:tr>
      <w:tr w14:paraId="75DCC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3E2CECF9">
            <w:pPr>
              <w:adjustRightInd w:val="0"/>
              <w:snapToGrid w:val="0"/>
              <w:jc w:val="center"/>
              <w:rPr>
                <w:rFonts w:hAnsi="宋体"/>
                <w:color w:val="auto"/>
                <w:sz w:val="24"/>
                <w:highlight w:val="none"/>
              </w:rPr>
            </w:pPr>
          </w:p>
        </w:tc>
        <w:tc>
          <w:tcPr>
            <w:tcW w:w="1922" w:type="dxa"/>
            <w:vAlign w:val="center"/>
          </w:tcPr>
          <w:p w14:paraId="0317FF70">
            <w:pPr>
              <w:adjustRightInd w:val="0"/>
              <w:snapToGrid w:val="0"/>
              <w:jc w:val="center"/>
              <w:rPr>
                <w:color w:val="auto"/>
                <w:kern w:val="24"/>
                <w:sz w:val="21"/>
                <w:szCs w:val="21"/>
                <w:highlight w:val="none"/>
              </w:rPr>
            </w:pPr>
            <w:r>
              <w:rPr>
                <w:rFonts w:hint="eastAsia"/>
                <w:color w:val="auto"/>
                <w:kern w:val="24"/>
                <w:sz w:val="21"/>
                <w:szCs w:val="21"/>
                <w:highlight w:val="none"/>
              </w:rPr>
              <w:t>软水制备</w:t>
            </w:r>
          </w:p>
        </w:tc>
        <w:tc>
          <w:tcPr>
            <w:tcW w:w="1346" w:type="dxa"/>
            <w:vAlign w:val="center"/>
          </w:tcPr>
          <w:p w14:paraId="272CBFB8">
            <w:pPr>
              <w:adjustRightInd w:val="0"/>
              <w:snapToGrid w:val="0"/>
              <w:jc w:val="center"/>
              <w:rPr>
                <w:color w:val="auto"/>
                <w:kern w:val="24"/>
                <w:sz w:val="21"/>
                <w:szCs w:val="21"/>
                <w:highlight w:val="none"/>
              </w:rPr>
            </w:pPr>
            <w:r>
              <w:rPr>
                <w:rFonts w:hint="eastAsia"/>
                <w:color w:val="auto"/>
                <w:kern w:val="24"/>
                <w:sz w:val="21"/>
                <w:szCs w:val="21"/>
                <w:highlight w:val="none"/>
              </w:rPr>
              <w:t>废树脂</w:t>
            </w:r>
          </w:p>
        </w:tc>
        <w:tc>
          <w:tcPr>
            <w:tcW w:w="1923" w:type="dxa"/>
            <w:vAlign w:val="center"/>
          </w:tcPr>
          <w:p w14:paraId="0E1AADAC">
            <w:pPr>
              <w:adjustRightInd w:val="0"/>
              <w:snapToGrid w:val="0"/>
              <w:jc w:val="center"/>
              <w:rPr>
                <w:rFonts w:hint="eastAsia" w:eastAsia="宋体"/>
                <w:color w:val="auto"/>
                <w:kern w:val="24"/>
                <w:sz w:val="21"/>
                <w:szCs w:val="21"/>
                <w:highlight w:val="none"/>
                <w:lang w:eastAsia="zh-CN"/>
              </w:rPr>
            </w:pPr>
            <w:r>
              <w:rPr>
                <w:rFonts w:hint="eastAsia"/>
                <w:color w:val="auto"/>
                <w:kern w:val="24"/>
                <w:sz w:val="21"/>
                <w:szCs w:val="21"/>
                <w:highlight w:val="none"/>
              </w:rPr>
              <w:t>交由厂家回收处理</w:t>
            </w:r>
          </w:p>
        </w:tc>
        <w:tc>
          <w:tcPr>
            <w:tcW w:w="2277" w:type="dxa"/>
            <w:vMerge w:val="continue"/>
            <w:vAlign w:val="center"/>
          </w:tcPr>
          <w:p w14:paraId="2BDF18F9">
            <w:pPr>
              <w:jc w:val="center"/>
              <w:rPr>
                <w:color w:val="auto"/>
                <w:sz w:val="21"/>
                <w:szCs w:val="21"/>
                <w:highlight w:val="none"/>
              </w:rPr>
            </w:pPr>
          </w:p>
        </w:tc>
      </w:tr>
      <w:tr w14:paraId="6714C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65ACA631">
            <w:pPr>
              <w:adjustRightInd w:val="0"/>
              <w:snapToGrid w:val="0"/>
              <w:jc w:val="center"/>
              <w:rPr>
                <w:rFonts w:hAnsi="宋体"/>
                <w:color w:val="auto"/>
                <w:sz w:val="24"/>
                <w:highlight w:val="none"/>
              </w:rPr>
            </w:pPr>
          </w:p>
        </w:tc>
        <w:tc>
          <w:tcPr>
            <w:tcW w:w="1922" w:type="dxa"/>
            <w:vAlign w:val="center"/>
          </w:tcPr>
          <w:p w14:paraId="12DE73F2">
            <w:pPr>
              <w:adjustRightInd w:val="0"/>
              <w:snapToGrid w:val="0"/>
              <w:jc w:val="center"/>
              <w:rPr>
                <w:rFonts w:hint="eastAsia"/>
                <w:color w:val="auto"/>
                <w:kern w:val="24"/>
                <w:sz w:val="21"/>
                <w:szCs w:val="21"/>
                <w:highlight w:val="none"/>
              </w:rPr>
            </w:pPr>
            <w:r>
              <w:rPr>
                <w:rFonts w:hint="eastAsia"/>
                <w:color w:val="auto"/>
                <w:kern w:val="24"/>
                <w:sz w:val="21"/>
                <w:szCs w:val="21"/>
                <w:highlight w:val="none"/>
              </w:rPr>
              <w:t>絮凝沉淀池</w:t>
            </w:r>
          </w:p>
        </w:tc>
        <w:tc>
          <w:tcPr>
            <w:tcW w:w="1346" w:type="dxa"/>
            <w:vAlign w:val="center"/>
          </w:tcPr>
          <w:p w14:paraId="794E28F1">
            <w:pPr>
              <w:adjustRightInd w:val="0"/>
              <w:snapToGrid w:val="0"/>
              <w:jc w:val="center"/>
              <w:rPr>
                <w:rFonts w:hint="eastAsia"/>
                <w:color w:val="auto"/>
                <w:kern w:val="24"/>
                <w:sz w:val="21"/>
                <w:szCs w:val="21"/>
                <w:highlight w:val="none"/>
              </w:rPr>
            </w:pPr>
            <w:r>
              <w:rPr>
                <w:rFonts w:hint="eastAsia"/>
                <w:color w:val="auto"/>
                <w:kern w:val="24"/>
                <w:sz w:val="21"/>
                <w:szCs w:val="21"/>
                <w:highlight w:val="none"/>
              </w:rPr>
              <w:t>絮凝沉淀池沉渣</w:t>
            </w:r>
          </w:p>
        </w:tc>
        <w:tc>
          <w:tcPr>
            <w:tcW w:w="1923" w:type="dxa"/>
            <w:vAlign w:val="center"/>
          </w:tcPr>
          <w:p w14:paraId="67FA77B4">
            <w:pPr>
              <w:adjustRightInd w:val="0"/>
              <w:snapToGrid w:val="0"/>
              <w:jc w:val="center"/>
              <w:rPr>
                <w:rFonts w:hint="eastAsia"/>
                <w:color w:val="auto"/>
                <w:kern w:val="24"/>
                <w:sz w:val="21"/>
                <w:szCs w:val="21"/>
                <w:highlight w:val="none"/>
              </w:rPr>
            </w:pPr>
            <w:r>
              <w:rPr>
                <w:rFonts w:hint="eastAsia"/>
                <w:color w:val="auto"/>
                <w:kern w:val="24"/>
                <w:sz w:val="21"/>
                <w:szCs w:val="21"/>
                <w:highlight w:val="none"/>
              </w:rPr>
              <w:t>交由环卫部门定期清运处置</w:t>
            </w:r>
          </w:p>
        </w:tc>
        <w:tc>
          <w:tcPr>
            <w:tcW w:w="2277" w:type="dxa"/>
            <w:vMerge w:val="continue"/>
            <w:vAlign w:val="center"/>
          </w:tcPr>
          <w:p w14:paraId="526C6E81">
            <w:pPr>
              <w:jc w:val="center"/>
              <w:rPr>
                <w:color w:val="auto"/>
                <w:sz w:val="21"/>
                <w:szCs w:val="21"/>
                <w:highlight w:val="none"/>
              </w:rPr>
            </w:pPr>
          </w:p>
        </w:tc>
      </w:tr>
      <w:tr w14:paraId="2FB43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48" w:type="dxa"/>
            <w:vMerge w:val="continue"/>
            <w:vAlign w:val="center"/>
          </w:tcPr>
          <w:p w14:paraId="309BF40C">
            <w:pPr>
              <w:adjustRightInd w:val="0"/>
              <w:snapToGrid w:val="0"/>
              <w:jc w:val="center"/>
              <w:rPr>
                <w:rFonts w:hAnsi="宋体"/>
                <w:color w:val="auto"/>
                <w:sz w:val="24"/>
                <w:highlight w:val="none"/>
              </w:rPr>
            </w:pPr>
          </w:p>
        </w:tc>
        <w:tc>
          <w:tcPr>
            <w:tcW w:w="1922" w:type="dxa"/>
            <w:vAlign w:val="center"/>
          </w:tcPr>
          <w:p w14:paraId="1AAB23D7">
            <w:pPr>
              <w:adjustRightInd w:val="0"/>
              <w:snapToGrid w:val="0"/>
              <w:jc w:val="center"/>
              <w:rPr>
                <w:color w:val="auto"/>
                <w:sz w:val="21"/>
                <w:szCs w:val="21"/>
                <w:highlight w:val="none"/>
              </w:rPr>
            </w:pPr>
            <w:r>
              <w:rPr>
                <w:color w:val="auto"/>
                <w:kern w:val="24"/>
                <w:sz w:val="21"/>
                <w:szCs w:val="21"/>
                <w:highlight w:val="none"/>
              </w:rPr>
              <w:t>办公、生活</w:t>
            </w:r>
          </w:p>
        </w:tc>
        <w:tc>
          <w:tcPr>
            <w:tcW w:w="1346" w:type="dxa"/>
            <w:vAlign w:val="center"/>
          </w:tcPr>
          <w:p w14:paraId="5CDF4807">
            <w:pPr>
              <w:adjustRightInd w:val="0"/>
              <w:snapToGrid w:val="0"/>
              <w:jc w:val="center"/>
              <w:rPr>
                <w:color w:val="auto"/>
                <w:kern w:val="24"/>
                <w:sz w:val="21"/>
                <w:szCs w:val="21"/>
                <w:highlight w:val="none"/>
              </w:rPr>
            </w:pPr>
            <w:r>
              <w:rPr>
                <w:color w:val="auto"/>
                <w:kern w:val="24"/>
                <w:sz w:val="21"/>
                <w:szCs w:val="21"/>
                <w:highlight w:val="none"/>
              </w:rPr>
              <w:t>生活垃圾</w:t>
            </w:r>
          </w:p>
        </w:tc>
        <w:tc>
          <w:tcPr>
            <w:tcW w:w="1923" w:type="dxa"/>
            <w:vAlign w:val="center"/>
          </w:tcPr>
          <w:p w14:paraId="493F3501">
            <w:pPr>
              <w:adjustRightInd w:val="0"/>
              <w:snapToGrid w:val="0"/>
              <w:jc w:val="center"/>
              <w:rPr>
                <w:color w:val="auto"/>
                <w:sz w:val="21"/>
                <w:szCs w:val="21"/>
                <w:highlight w:val="none"/>
              </w:rPr>
            </w:pPr>
            <w:r>
              <w:rPr>
                <w:rFonts w:hint="eastAsia"/>
                <w:color w:val="auto"/>
                <w:kern w:val="24"/>
                <w:sz w:val="21"/>
                <w:szCs w:val="21"/>
                <w:highlight w:val="none"/>
              </w:rPr>
              <w:t>交由</w:t>
            </w:r>
            <w:r>
              <w:rPr>
                <w:color w:val="auto"/>
                <w:kern w:val="24"/>
                <w:sz w:val="21"/>
                <w:szCs w:val="21"/>
                <w:highlight w:val="none"/>
              </w:rPr>
              <w:t>环卫部门清运处置</w:t>
            </w:r>
          </w:p>
        </w:tc>
        <w:tc>
          <w:tcPr>
            <w:tcW w:w="2277" w:type="dxa"/>
            <w:vMerge w:val="continue"/>
            <w:vAlign w:val="center"/>
          </w:tcPr>
          <w:p w14:paraId="77A20916">
            <w:pPr>
              <w:jc w:val="center"/>
              <w:rPr>
                <w:color w:val="auto"/>
                <w:sz w:val="21"/>
                <w:szCs w:val="21"/>
                <w:highlight w:val="none"/>
              </w:rPr>
            </w:pPr>
          </w:p>
        </w:tc>
      </w:tr>
      <w:tr w14:paraId="7A9B4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8" w:type="dxa"/>
            <w:vAlign w:val="center"/>
          </w:tcPr>
          <w:p w14:paraId="044B0402">
            <w:pPr>
              <w:adjustRightInd w:val="0"/>
              <w:snapToGrid w:val="0"/>
              <w:jc w:val="center"/>
              <w:rPr>
                <w:color w:val="auto"/>
                <w:sz w:val="24"/>
                <w:highlight w:val="none"/>
              </w:rPr>
            </w:pPr>
            <w:r>
              <w:rPr>
                <w:rFonts w:hAnsi="宋体"/>
                <w:color w:val="auto"/>
                <w:sz w:val="24"/>
                <w:highlight w:val="none"/>
              </w:rPr>
              <w:t>土壤及地下水</w:t>
            </w:r>
          </w:p>
          <w:p w14:paraId="202DCF43">
            <w:pPr>
              <w:adjustRightInd w:val="0"/>
              <w:snapToGrid w:val="0"/>
              <w:jc w:val="center"/>
              <w:rPr>
                <w:color w:val="auto"/>
                <w:sz w:val="24"/>
                <w:highlight w:val="none"/>
              </w:rPr>
            </w:pPr>
            <w:r>
              <w:rPr>
                <w:rFonts w:hAnsi="宋体"/>
                <w:color w:val="auto"/>
                <w:sz w:val="24"/>
                <w:highlight w:val="none"/>
              </w:rPr>
              <w:t>污染防治措施</w:t>
            </w:r>
          </w:p>
        </w:tc>
        <w:tc>
          <w:tcPr>
            <w:tcW w:w="7468" w:type="dxa"/>
            <w:gridSpan w:val="4"/>
            <w:vAlign w:val="center"/>
          </w:tcPr>
          <w:p w14:paraId="393479FD">
            <w:pPr>
              <w:pStyle w:val="80"/>
              <w:spacing w:line="240" w:lineRule="auto"/>
              <w:ind w:firstLine="0" w:firstLineChars="0"/>
              <w:rPr>
                <w:color w:val="auto"/>
                <w:highlight w:val="none"/>
              </w:rPr>
            </w:pPr>
            <w:r>
              <w:rPr>
                <w:color w:val="auto"/>
                <w:highlight w:val="none"/>
              </w:rPr>
              <w:t>项目</w:t>
            </w:r>
            <w:r>
              <w:rPr>
                <w:rFonts w:hint="eastAsia"/>
                <w:color w:val="auto"/>
                <w:highlight w:val="none"/>
                <w:lang w:val="en-US" w:eastAsia="zh-CN"/>
              </w:rPr>
              <w:t>冷却循环水池</w:t>
            </w:r>
            <w:r>
              <w:rPr>
                <w:rFonts w:hint="eastAsia"/>
                <w:color w:val="auto"/>
                <w:highlight w:val="none"/>
              </w:rPr>
              <w:t>、</w:t>
            </w:r>
            <w:r>
              <w:rPr>
                <w:rFonts w:hint="eastAsia"/>
                <w:color w:val="auto"/>
                <w:highlight w:val="none"/>
                <w:lang w:val="en-US" w:eastAsia="zh-CN"/>
              </w:rPr>
              <w:t>絮凝沉淀池、</w:t>
            </w:r>
            <w:r>
              <w:rPr>
                <w:rFonts w:hint="eastAsia"/>
                <w:color w:val="auto"/>
                <w:highlight w:val="none"/>
              </w:rPr>
              <w:t>化粪池、污水输送管道进行一般</w:t>
            </w:r>
            <w:r>
              <w:rPr>
                <w:color w:val="auto"/>
                <w:highlight w:val="none"/>
              </w:rPr>
              <w:t>防渗处理</w:t>
            </w:r>
          </w:p>
        </w:tc>
      </w:tr>
      <w:tr w14:paraId="3DEC2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48" w:type="dxa"/>
            <w:vAlign w:val="center"/>
          </w:tcPr>
          <w:p w14:paraId="1A1C0125">
            <w:pPr>
              <w:adjustRightInd w:val="0"/>
              <w:snapToGrid w:val="0"/>
              <w:jc w:val="center"/>
              <w:rPr>
                <w:color w:val="auto"/>
                <w:sz w:val="24"/>
                <w:highlight w:val="none"/>
              </w:rPr>
            </w:pPr>
            <w:r>
              <w:rPr>
                <w:rFonts w:hAnsi="宋体"/>
                <w:color w:val="auto"/>
                <w:sz w:val="24"/>
                <w:highlight w:val="none"/>
              </w:rPr>
              <w:t>生态保护措施</w:t>
            </w:r>
          </w:p>
        </w:tc>
        <w:tc>
          <w:tcPr>
            <w:tcW w:w="7468" w:type="dxa"/>
            <w:gridSpan w:val="4"/>
            <w:vAlign w:val="center"/>
          </w:tcPr>
          <w:p w14:paraId="2CD31CD7">
            <w:pPr>
              <w:jc w:val="center"/>
              <w:rPr>
                <w:color w:val="auto"/>
                <w:sz w:val="24"/>
                <w:highlight w:val="none"/>
              </w:rPr>
            </w:pPr>
            <w:r>
              <w:rPr>
                <w:rFonts w:hint="eastAsia"/>
                <w:color w:val="auto"/>
                <w:sz w:val="24"/>
                <w:highlight w:val="none"/>
              </w:rPr>
              <w:t>/</w:t>
            </w:r>
          </w:p>
        </w:tc>
      </w:tr>
      <w:tr w14:paraId="6784B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48" w:type="dxa"/>
            <w:vAlign w:val="center"/>
          </w:tcPr>
          <w:p w14:paraId="4D8C69AF">
            <w:pPr>
              <w:adjustRightInd w:val="0"/>
              <w:snapToGrid w:val="0"/>
              <w:jc w:val="center"/>
              <w:rPr>
                <w:color w:val="auto"/>
                <w:sz w:val="24"/>
                <w:highlight w:val="none"/>
              </w:rPr>
            </w:pPr>
            <w:r>
              <w:rPr>
                <w:rFonts w:hAnsi="宋体"/>
                <w:color w:val="auto"/>
                <w:sz w:val="24"/>
                <w:highlight w:val="none"/>
              </w:rPr>
              <w:t>环境风险</w:t>
            </w:r>
          </w:p>
          <w:p w14:paraId="2BC4F649">
            <w:pPr>
              <w:adjustRightInd w:val="0"/>
              <w:snapToGrid w:val="0"/>
              <w:jc w:val="center"/>
              <w:rPr>
                <w:color w:val="auto"/>
                <w:sz w:val="24"/>
                <w:highlight w:val="none"/>
              </w:rPr>
            </w:pPr>
            <w:r>
              <w:rPr>
                <w:rFonts w:hAnsi="宋体"/>
                <w:color w:val="auto"/>
                <w:sz w:val="24"/>
                <w:highlight w:val="none"/>
              </w:rPr>
              <w:t>防范措施</w:t>
            </w:r>
          </w:p>
        </w:tc>
        <w:tc>
          <w:tcPr>
            <w:tcW w:w="7468" w:type="dxa"/>
            <w:gridSpan w:val="4"/>
            <w:vAlign w:val="center"/>
          </w:tcPr>
          <w:p w14:paraId="4FDF6B5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（1）环境风险管理</w:t>
            </w:r>
          </w:p>
          <w:p w14:paraId="6A106D4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①严格按照安全生产规定，设置安全监控点。</w:t>
            </w:r>
          </w:p>
          <w:p w14:paraId="07BD47D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②加强原材料管理，场内暂存转运规范作业流程，操作人员进行安全生产教育。</w:t>
            </w:r>
          </w:p>
          <w:p w14:paraId="2F1397E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③加强职工安全环保教育，防止和减少因人为因素造成的事故，同时也要加强防火安全教育。</w:t>
            </w:r>
          </w:p>
          <w:p w14:paraId="5F17A40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④应配备足够的消防设施，落实安全管理责任。</w:t>
            </w:r>
          </w:p>
          <w:p w14:paraId="7EBB90B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⑤强化设备检修，减少因设备损坏、老化带来的遗漏。</w:t>
            </w:r>
          </w:p>
          <w:p w14:paraId="1E662FC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（2）火灾事故防范措施</w:t>
            </w:r>
          </w:p>
          <w:p w14:paraId="71A1498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①库房远离火源、电源、同时加强管理，严禁烟火。</w:t>
            </w:r>
          </w:p>
          <w:p w14:paraId="7E9012A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②加强管理，严禁将生物质</w:t>
            </w:r>
            <w:r>
              <w:rPr>
                <w:rFonts w:hint="eastAsia" w:ascii="宋体" w:hAnsi="宋体" w:cs="宋体"/>
                <w:color w:val="auto"/>
                <w:kern w:val="0"/>
                <w:sz w:val="24"/>
                <w:highlight w:val="none"/>
                <w:lang w:val="en-US" w:eastAsia="zh-CN"/>
              </w:rPr>
              <w:t>燃料</w:t>
            </w:r>
            <w:r>
              <w:rPr>
                <w:rFonts w:hint="eastAsia" w:ascii="宋体" w:hAnsi="宋体" w:cs="宋体"/>
                <w:color w:val="auto"/>
                <w:kern w:val="0"/>
                <w:sz w:val="24"/>
                <w:highlight w:val="none"/>
              </w:rPr>
              <w:t>放置在有火源、高温、有易燃易爆物品处，生物质</w:t>
            </w:r>
            <w:r>
              <w:rPr>
                <w:rFonts w:hint="eastAsia" w:ascii="宋体" w:hAnsi="宋体" w:cs="宋体"/>
                <w:color w:val="auto"/>
                <w:kern w:val="0"/>
                <w:sz w:val="24"/>
                <w:highlight w:val="none"/>
                <w:lang w:val="en-US" w:eastAsia="zh-CN"/>
              </w:rPr>
              <w:t>燃料</w:t>
            </w:r>
            <w:r>
              <w:rPr>
                <w:rFonts w:hint="eastAsia" w:ascii="宋体" w:hAnsi="宋体" w:cs="宋体"/>
                <w:color w:val="auto"/>
                <w:kern w:val="0"/>
                <w:sz w:val="24"/>
                <w:highlight w:val="none"/>
              </w:rPr>
              <w:t>旁严禁吸烟、使用火源。</w:t>
            </w:r>
          </w:p>
          <w:p w14:paraId="64394AC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③应配备收集桶、铁锹、吸附棉、黄沙、消防器材等应急</w:t>
            </w:r>
            <w:r>
              <w:rPr>
                <w:rFonts w:hint="eastAsia" w:ascii="宋体" w:hAnsi="宋体" w:cs="宋体"/>
                <w:color w:val="auto"/>
                <w:kern w:val="0"/>
                <w:sz w:val="24"/>
                <w:highlight w:val="none"/>
                <w:lang w:eastAsia="zh-CN"/>
              </w:rPr>
              <w:t>物资</w:t>
            </w:r>
            <w:r>
              <w:rPr>
                <w:rFonts w:hint="eastAsia" w:ascii="宋体" w:hAnsi="宋体" w:cs="宋体"/>
                <w:color w:val="auto"/>
                <w:kern w:val="0"/>
                <w:sz w:val="24"/>
                <w:highlight w:val="none"/>
              </w:rPr>
              <w:t>，防止火灾事故废水后流入地表水、土壤，造成环境污染。</w:t>
            </w:r>
          </w:p>
          <w:p w14:paraId="13E9B81B">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④生产装置的供电、供水等公用设施必须加强日常管理，确保满足正常生产和事故状态下的要求。建立和健全电气安全规章制度和安全操作规程，并严格执行。加强对电气设施进行维护、保养、检修，保持电气设备正常运行。</w:t>
            </w:r>
          </w:p>
          <w:p w14:paraId="54C8C7F7">
            <w:pPr>
              <w:pStyle w:val="2"/>
              <w:rPr>
                <w:rFonts w:hint="eastAsia" w:ascii="宋体" w:hAnsi="宋体" w:cs="宋体"/>
                <w:color w:val="auto"/>
                <w:kern w:val="0"/>
                <w:sz w:val="24"/>
                <w:highlight w:val="none"/>
              </w:rPr>
            </w:pPr>
          </w:p>
          <w:p w14:paraId="7A259192">
            <w:pPr>
              <w:pStyle w:val="2"/>
              <w:rPr>
                <w:rFonts w:hint="eastAsia" w:ascii="宋体" w:hAnsi="宋体" w:cs="宋体"/>
                <w:color w:val="auto"/>
                <w:kern w:val="0"/>
                <w:sz w:val="24"/>
                <w:highlight w:val="none"/>
              </w:rPr>
            </w:pPr>
          </w:p>
          <w:p w14:paraId="37E6D65F">
            <w:pPr>
              <w:pStyle w:val="2"/>
              <w:rPr>
                <w:rFonts w:hint="eastAsia" w:ascii="宋体" w:hAnsi="宋体" w:cs="宋体"/>
                <w:color w:val="auto"/>
                <w:kern w:val="0"/>
                <w:sz w:val="24"/>
                <w:highlight w:val="none"/>
              </w:rPr>
            </w:pPr>
          </w:p>
          <w:p w14:paraId="3C6013B0">
            <w:pPr>
              <w:pStyle w:val="2"/>
              <w:rPr>
                <w:rFonts w:hint="eastAsia" w:ascii="宋体" w:hAnsi="宋体" w:cs="宋体"/>
                <w:color w:val="auto"/>
                <w:kern w:val="0"/>
                <w:sz w:val="24"/>
                <w:highlight w:val="none"/>
              </w:rPr>
            </w:pPr>
          </w:p>
          <w:p w14:paraId="58F67C02">
            <w:pPr>
              <w:pStyle w:val="2"/>
              <w:rPr>
                <w:rFonts w:hint="eastAsia" w:ascii="宋体" w:hAnsi="宋体" w:cs="宋体"/>
                <w:color w:val="auto"/>
                <w:kern w:val="0"/>
                <w:sz w:val="24"/>
                <w:highlight w:val="none"/>
              </w:rPr>
            </w:pPr>
          </w:p>
          <w:p w14:paraId="15FE5E8D">
            <w:pPr>
              <w:pStyle w:val="2"/>
              <w:rPr>
                <w:rFonts w:hint="eastAsia" w:ascii="宋体" w:hAnsi="宋体" w:cs="宋体"/>
                <w:color w:val="auto"/>
                <w:kern w:val="0"/>
                <w:sz w:val="24"/>
                <w:highlight w:val="none"/>
              </w:rPr>
            </w:pPr>
          </w:p>
          <w:p w14:paraId="4C949482">
            <w:pPr>
              <w:pStyle w:val="2"/>
              <w:rPr>
                <w:rFonts w:hint="eastAsia" w:ascii="宋体" w:hAnsi="宋体" w:cs="宋体"/>
                <w:color w:val="auto"/>
                <w:kern w:val="0"/>
                <w:sz w:val="24"/>
                <w:highlight w:val="none"/>
              </w:rPr>
            </w:pPr>
          </w:p>
          <w:p w14:paraId="409F0DD5">
            <w:pPr>
              <w:pStyle w:val="2"/>
              <w:rPr>
                <w:rFonts w:hint="eastAsia" w:ascii="宋体" w:hAnsi="宋体" w:cs="宋体"/>
                <w:color w:val="auto"/>
                <w:kern w:val="0"/>
                <w:sz w:val="24"/>
                <w:highlight w:val="none"/>
              </w:rPr>
            </w:pPr>
          </w:p>
          <w:p w14:paraId="22351F60">
            <w:pPr>
              <w:pStyle w:val="2"/>
              <w:rPr>
                <w:rFonts w:hint="eastAsia" w:ascii="宋体" w:hAnsi="宋体" w:cs="宋体"/>
                <w:color w:val="auto"/>
                <w:kern w:val="0"/>
                <w:sz w:val="24"/>
                <w:highlight w:val="none"/>
              </w:rPr>
            </w:pPr>
          </w:p>
          <w:p w14:paraId="7637F67C">
            <w:pPr>
              <w:pStyle w:val="2"/>
              <w:rPr>
                <w:rFonts w:hint="eastAsia" w:ascii="宋体" w:hAnsi="宋体" w:cs="宋体"/>
                <w:color w:val="auto"/>
                <w:kern w:val="0"/>
                <w:sz w:val="24"/>
                <w:highlight w:val="none"/>
              </w:rPr>
            </w:pPr>
          </w:p>
          <w:p w14:paraId="08DF50E3">
            <w:pPr>
              <w:pStyle w:val="2"/>
              <w:rPr>
                <w:rFonts w:hint="eastAsia" w:ascii="宋体" w:hAnsi="宋体" w:cs="宋体"/>
                <w:color w:val="auto"/>
                <w:kern w:val="0"/>
                <w:sz w:val="24"/>
                <w:highlight w:val="none"/>
              </w:rPr>
            </w:pPr>
          </w:p>
          <w:p w14:paraId="32DF4953">
            <w:pPr>
              <w:pStyle w:val="2"/>
              <w:rPr>
                <w:rFonts w:hint="eastAsia" w:ascii="宋体" w:hAnsi="宋体" w:cs="宋体"/>
                <w:color w:val="auto"/>
                <w:kern w:val="0"/>
                <w:sz w:val="24"/>
                <w:highlight w:val="none"/>
              </w:rPr>
            </w:pPr>
          </w:p>
          <w:p w14:paraId="3A4890BF">
            <w:pPr>
              <w:pStyle w:val="2"/>
              <w:rPr>
                <w:rFonts w:hint="eastAsia" w:ascii="宋体" w:hAnsi="宋体" w:cs="宋体"/>
                <w:color w:val="auto"/>
                <w:kern w:val="0"/>
                <w:sz w:val="24"/>
                <w:highlight w:val="none"/>
              </w:rPr>
            </w:pPr>
          </w:p>
          <w:p w14:paraId="55BA4D70">
            <w:pPr>
              <w:pStyle w:val="2"/>
              <w:rPr>
                <w:rFonts w:hint="eastAsia" w:ascii="宋体" w:hAnsi="宋体" w:cs="宋体"/>
                <w:color w:val="auto"/>
                <w:kern w:val="0"/>
                <w:sz w:val="24"/>
                <w:highlight w:val="none"/>
              </w:rPr>
            </w:pPr>
          </w:p>
          <w:p w14:paraId="7DB75792">
            <w:pPr>
              <w:pStyle w:val="2"/>
              <w:rPr>
                <w:rFonts w:hint="eastAsia" w:ascii="宋体" w:hAnsi="宋体" w:cs="宋体"/>
                <w:color w:val="auto"/>
                <w:kern w:val="0"/>
                <w:sz w:val="24"/>
                <w:highlight w:val="none"/>
              </w:rPr>
            </w:pPr>
          </w:p>
          <w:p w14:paraId="7DDB99A8">
            <w:pPr>
              <w:pStyle w:val="2"/>
              <w:rPr>
                <w:rFonts w:hint="eastAsia" w:ascii="宋体" w:hAnsi="宋体" w:cs="宋体"/>
                <w:color w:val="auto"/>
                <w:kern w:val="0"/>
                <w:sz w:val="24"/>
                <w:highlight w:val="none"/>
              </w:rPr>
            </w:pPr>
          </w:p>
          <w:p w14:paraId="199FE75E">
            <w:pPr>
              <w:pStyle w:val="2"/>
              <w:rPr>
                <w:rFonts w:hint="eastAsia" w:ascii="宋体" w:hAnsi="宋体" w:cs="宋体"/>
                <w:color w:val="auto"/>
                <w:kern w:val="0"/>
                <w:sz w:val="24"/>
                <w:highlight w:val="none"/>
              </w:rPr>
            </w:pPr>
          </w:p>
        </w:tc>
      </w:tr>
      <w:tr w14:paraId="00476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74" w:hRule="atLeast"/>
          <w:jc w:val="center"/>
        </w:trPr>
        <w:tc>
          <w:tcPr>
            <w:tcW w:w="1948" w:type="dxa"/>
            <w:vAlign w:val="center"/>
          </w:tcPr>
          <w:p w14:paraId="35083D71">
            <w:pPr>
              <w:adjustRightInd w:val="0"/>
              <w:snapToGrid w:val="0"/>
              <w:jc w:val="center"/>
              <w:rPr>
                <w:color w:val="auto"/>
                <w:sz w:val="24"/>
                <w:highlight w:val="none"/>
              </w:rPr>
            </w:pPr>
            <w:r>
              <w:rPr>
                <w:rFonts w:hAnsi="宋体"/>
                <w:color w:val="auto"/>
                <w:sz w:val="24"/>
                <w:highlight w:val="none"/>
              </w:rPr>
              <w:t>其他环境</w:t>
            </w:r>
          </w:p>
          <w:p w14:paraId="3DBF2A3B">
            <w:pPr>
              <w:adjustRightInd w:val="0"/>
              <w:snapToGrid w:val="0"/>
              <w:jc w:val="center"/>
              <w:rPr>
                <w:color w:val="auto"/>
                <w:spacing w:val="-8"/>
                <w:sz w:val="24"/>
                <w:highlight w:val="none"/>
              </w:rPr>
            </w:pPr>
            <w:r>
              <w:rPr>
                <w:rFonts w:hAnsi="宋体"/>
                <w:color w:val="auto"/>
                <w:sz w:val="24"/>
                <w:highlight w:val="none"/>
              </w:rPr>
              <w:t>管理要求</w:t>
            </w:r>
          </w:p>
        </w:tc>
        <w:tc>
          <w:tcPr>
            <w:tcW w:w="7468" w:type="dxa"/>
            <w:gridSpan w:val="4"/>
            <w:vAlign w:val="center"/>
          </w:tcPr>
          <w:p w14:paraId="54F8C9B6">
            <w:pPr>
              <w:adjustRightInd w:val="0"/>
              <w:snapToGrid w:val="0"/>
              <w:spacing w:line="360" w:lineRule="auto"/>
              <w:rPr>
                <w:b/>
                <w:color w:val="auto"/>
                <w:sz w:val="24"/>
                <w:highlight w:val="none"/>
              </w:rPr>
            </w:pPr>
            <w:r>
              <w:rPr>
                <w:rFonts w:hint="eastAsia"/>
                <w:b/>
                <w:color w:val="auto"/>
                <w:sz w:val="24"/>
                <w:highlight w:val="none"/>
              </w:rPr>
              <w:t>1、环境管理</w:t>
            </w:r>
          </w:p>
          <w:p w14:paraId="46EFC587">
            <w:pPr>
              <w:adjustRightInd w:val="0"/>
              <w:snapToGrid w:val="0"/>
              <w:spacing w:line="360" w:lineRule="auto"/>
              <w:ind w:firstLine="480" w:firstLineChars="200"/>
              <w:rPr>
                <w:color w:val="auto"/>
                <w:sz w:val="24"/>
                <w:highlight w:val="none"/>
              </w:rPr>
            </w:pPr>
            <w:r>
              <w:rPr>
                <w:rFonts w:hint="eastAsia"/>
                <w:color w:val="auto"/>
                <w:sz w:val="24"/>
                <w:highlight w:val="none"/>
              </w:rPr>
              <w:t>建立环境保护管理机构，根据工程环境影响评价中提出的施工期和营运期环境保护措施，落实环境保护经费，实施环境保护对策措施；协调政府环境管理与工程环境管</w:t>
            </w:r>
            <w:r>
              <w:rPr>
                <w:rFonts w:hint="eastAsia"/>
                <w:color w:val="auto"/>
                <w:sz w:val="24"/>
                <w:highlight w:val="none"/>
                <w:lang w:eastAsia="zh-CN"/>
              </w:rPr>
              <w:t>理之</w:t>
            </w:r>
            <w:r>
              <w:rPr>
                <w:rFonts w:hint="eastAsia"/>
                <w:color w:val="auto"/>
                <w:sz w:val="24"/>
                <w:highlight w:val="none"/>
              </w:rPr>
              <w:t>间的关系，具体管理内容如下：</w:t>
            </w:r>
          </w:p>
          <w:p w14:paraId="6566C865">
            <w:pPr>
              <w:adjustRightInd w:val="0"/>
              <w:snapToGrid w:val="0"/>
              <w:spacing w:line="360" w:lineRule="auto"/>
              <w:ind w:firstLine="480" w:firstLineChars="200"/>
              <w:rPr>
                <w:color w:val="auto"/>
                <w:sz w:val="24"/>
                <w:highlight w:val="none"/>
              </w:rPr>
            </w:pPr>
            <w:r>
              <w:rPr>
                <w:rFonts w:hint="eastAsia"/>
                <w:color w:val="auto"/>
                <w:sz w:val="24"/>
                <w:highlight w:val="none"/>
              </w:rPr>
              <w:t>（1）项目在建设和运行中应认真执行国家、地方环境保护的有关规定和要求。按照生态环境局的要求及时反映发生的环保问题，随时接受各级生态环境保护部门的检查监督。</w:t>
            </w:r>
          </w:p>
          <w:p w14:paraId="633971E9">
            <w:pPr>
              <w:adjustRightInd w:val="0"/>
              <w:snapToGrid w:val="0"/>
              <w:spacing w:line="360" w:lineRule="auto"/>
              <w:ind w:firstLine="480" w:firstLineChars="200"/>
              <w:rPr>
                <w:color w:val="auto"/>
                <w:sz w:val="24"/>
                <w:highlight w:val="none"/>
              </w:rPr>
            </w:pPr>
            <w:r>
              <w:rPr>
                <w:rFonts w:hint="eastAsia"/>
                <w:color w:val="auto"/>
                <w:sz w:val="24"/>
                <w:highlight w:val="none"/>
              </w:rPr>
              <w:t>（2）加强管理，使污染物尽量消除在源头。</w:t>
            </w:r>
          </w:p>
          <w:p w14:paraId="16D2273E">
            <w:pPr>
              <w:adjustRightInd w:val="0"/>
              <w:snapToGrid w:val="0"/>
              <w:spacing w:line="360" w:lineRule="auto"/>
              <w:ind w:firstLine="480" w:firstLineChars="200"/>
              <w:rPr>
                <w:color w:val="auto"/>
                <w:sz w:val="24"/>
                <w:highlight w:val="none"/>
              </w:rPr>
            </w:pPr>
            <w:r>
              <w:rPr>
                <w:rFonts w:hint="eastAsia"/>
                <w:color w:val="auto"/>
                <w:sz w:val="24"/>
                <w:highlight w:val="none"/>
              </w:rPr>
              <w:t>（3）加强风险事故防范机制，避免污染性的突发事件发生。</w:t>
            </w:r>
          </w:p>
          <w:p w14:paraId="5081FA7E">
            <w:pPr>
              <w:adjustRightInd w:val="0"/>
              <w:snapToGrid w:val="0"/>
              <w:spacing w:line="360" w:lineRule="auto"/>
              <w:ind w:firstLine="480" w:firstLineChars="200"/>
              <w:rPr>
                <w:color w:val="auto"/>
                <w:sz w:val="24"/>
                <w:highlight w:val="none"/>
              </w:rPr>
            </w:pPr>
            <w:r>
              <w:rPr>
                <w:rFonts w:hint="eastAsia"/>
                <w:color w:val="auto"/>
                <w:sz w:val="24"/>
                <w:highlight w:val="none"/>
              </w:rPr>
              <w:t>（4）加强宣传教育，增强施工及管理人员的环保意识。</w:t>
            </w:r>
          </w:p>
          <w:p w14:paraId="4BB1DD34">
            <w:pPr>
              <w:adjustRightInd w:val="0"/>
              <w:snapToGrid w:val="0"/>
              <w:spacing w:line="360" w:lineRule="auto"/>
              <w:rPr>
                <w:b/>
                <w:color w:val="auto"/>
                <w:sz w:val="24"/>
                <w:highlight w:val="none"/>
              </w:rPr>
            </w:pPr>
            <w:r>
              <w:rPr>
                <w:rFonts w:hint="eastAsia"/>
                <w:b/>
                <w:color w:val="auto"/>
                <w:sz w:val="24"/>
                <w:highlight w:val="none"/>
              </w:rPr>
              <w:t>2、排污口规范化设置</w:t>
            </w:r>
          </w:p>
          <w:p w14:paraId="7BAB9287">
            <w:pPr>
              <w:adjustRightInd w:val="0"/>
              <w:snapToGrid w:val="0"/>
              <w:spacing w:line="360" w:lineRule="auto"/>
              <w:ind w:firstLine="480" w:firstLineChars="200"/>
              <w:rPr>
                <w:color w:val="auto"/>
                <w:sz w:val="24"/>
                <w:highlight w:val="none"/>
              </w:rPr>
            </w:pPr>
            <w:r>
              <w:rPr>
                <w:rFonts w:hint="eastAsia"/>
                <w:color w:val="auto"/>
                <w:sz w:val="24"/>
                <w:highlight w:val="none"/>
              </w:rPr>
              <w:t>设置1个废气排放口，应设置便于采样、监测的采样口。采样口的设置应符合《污染源监测技术规范》要求。</w:t>
            </w:r>
          </w:p>
          <w:p w14:paraId="1016D3F5">
            <w:pPr>
              <w:adjustRightInd w:val="0"/>
              <w:snapToGrid w:val="0"/>
              <w:spacing w:line="360" w:lineRule="auto"/>
              <w:rPr>
                <w:b/>
                <w:color w:val="auto"/>
                <w:sz w:val="24"/>
                <w:highlight w:val="none"/>
              </w:rPr>
            </w:pPr>
            <w:r>
              <w:rPr>
                <w:rFonts w:hint="eastAsia"/>
                <w:b/>
                <w:color w:val="auto"/>
                <w:sz w:val="24"/>
                <w:highlight w:val="none"/>
              </w:rPr>
              <w:t>3、建设项目竣工环境保护验收</w:t>
            </w:r>
          </w:p>
          <w:p w14:paraId="75BFC3D0">
            <w:pPr>
              <w:adjustRightInd w:val="0"/>
              <w:snapToGrid w:val="0"/>
              <w:spacing w:line="360" w:lineRule="auto"/>
              <w:ind w:firstLine="480" w:firstLineChars="200"/>
              <w:rPr>
                <w:bCs/>
                <w:color w:val="auto"/>
                <w:sz w:val="24"/>
                <w:highlight w:val="none"/>
              </w:rPr>
            </w:pPr>
            <w:r>
              <w:rPr>
                <w:bCs/>
                <w:color w:val="auto"/>
                <w:sz w:val="24"/>
                <w:highlight w:val="none"/>
              </w:rPr>
              <w:t>本项目环保设施竣工验收由</w:t>
            </w:r>
            <w:r>
              <w:rPr>
                <w:rFonts w:hint="eastAsia"/>
                <w:bCs/>
                <w:color w:val="auto"/>
                <w:sz w:val="24"/>
                <w:highlight w:val="none"/>
              </w:rPr>
              <w:t>建设单位自己</w:t>
            </w:r>
            <w:r>
              <w:rPr>
                <w:bCs/>
                <w:color w:val="auto"/>
                <w:sz w:val="24"/>
                <w:highlight w:val="none"/>
              </w:rPr>
              <w:t>组织实施验收。</w:t>
            </w:r>
          </w:p>
          <w:p w14:paraId="3DC0070F">
            <w:pPr>
              <w:adjustRightInd w:val="0"/>
              <w:snapToGrid w:val="0"/>
              <w:spacing w:line="360" w:lineRule="auto"/>
              <w:ind w:firstLine="480" w:firstLineChars="200"/>
              <w:rPr>
                <w:rFonts w:hint="eastAsia"/>
                <w:bCs/>
                <w:color w:val="auto"/>
                <w:sz w:val="24"/>
                <w:highlight w:val="none"/>
              </w:rPr>
            </w:pPr>
            <w:r>
              <w:rPr>
                <w:rFonts w:hint="eastAsia"/>
                <w:bCs/>
                <w:color w:val="auto"/>
                <w:sz w:val="24"/>
                <w:highlight w:val="none"/>
              </w:rPr>
              <w:t>建设单位是建设项目竣工环境保护验收的责任主体，应当按照《建设项目竣工环境保护验收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1C875A04">
            <w:pPr>
              <w:spacing w:line="360" w:lineRule="auto"/>
              <w:jc w:val="center"/>
              <w:rPr>
                <w:rFonts w:hint="default" w:eastAsia="宋体"/>
                <w:b/>
                <w:bCs/>
                <w:color w:val="auto"/>
                <w:kern w:val="24"/>
                <w:sz w:val="24"/>
                <w:highlight w:val="none"/>
                <w:lang w:val="en-US" w:eastAsia="zh-CN"/>
              </w:rPr>
            </w:pPr>
            <w:r>
              <w:rPr>
                <w:rFonts w:hint="eastAsia"/>
                <w:b/>
                <w:bCs/>
                <w:color w:val="auto"/>
                <w:kern w:val="24"/>
                <w:sz w:val="24"/>
                <w:highlight w:val="none"/>
              </w:rPr>
              <w:t>表</w:t>
            </w:r>
            <w:r>
              <w:rPr>
                <w:rFonts w:hint="eastAsia"/>
                <w:b/>
                <w:bCs/>
                <w:color w:val="auto"/>
                <w:kern w:val="24"/>
                <w:sz w:val="24"/>
                <w:highlight w:val="none"/>
                <w:lang w:val="en-US" w:eastAsia="zh-CN"/>
              </w:rPr>
              <w:t>5-1竣工环境保护验收一览表</w:t>
            </w:r>
          </w:p>
          <w:tbl>
            <w:tblPr>
              <w:tblStyle w:val="26"/>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914"/>
              <w:gridCol w:w="2268"/>
              <w:gridCol w:w="3072"/>
            </w:tblGrid>
            <w:tr w14:paraId="46A2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9" w:type="pct"/>
                  <w:noWrap w:val="0"/>
                  <w:vAlign w:val="center"/>
                </w:tcPr>
                <w:p w14:paraId="4FA084FE">
                  <w:pPr>
                    <w:jc w:val="center"/>
                    <w:rPr>
                      <w:rFonts w:hint="eastAsia" w:ascii="宋体" w:hAnsi="宋体" w:cs="宋体"/>
                      <w:b/>
                      <w:bCs/>
                      <w:color w:val="auto"/>
                      <w:szCs w:val="21"/>
                    </w:rPr>
                  </w:pPr>
                  <w:r>
                    <w:rPr>
                      <w:rFonts w:hint="eastAsia" w:ascii="宋体" w:hAnsi="宋体" w:cs="宋体"/>
                      <w:b/>
                      <w:bCs/>
                      <w:color w:val="auto"/>
                      <w:szCs w:val="21"/>
                    </w:rPr>
                    <w:t>项目</w:t>
                  </w:r>
                </w:p>
              </w:tc>
              <w:tc>
                <w:tcPr>
                  <w:tcW w:w="640" w:type="pct"/>
                  <w:noWrap w:val="0"/>
                  <w:vAlign w:val="center"/>
                </w:tcPr>
                <w:p w14:paraId="3524368D">
                  <w:pPr>
                    <w:jc w:val="center"/>
                    <w:rPr>
                      <w:rFonts w:hint="eastAsia" w:ascii="宋体" w:hAnsi="宋体" w:cs="宋体"/>
                      <w:b/>
                      <w:bCs/>
                      <w:color w:val="auto"/>
                      <w:szCs w:val="21"/>
                    </w:rPr>
                  </w:pPr>
                  <w:r>
                    <w:rPr>
                      <w:rFonts w:hint="eastAsia" w:ascii="宋体" w:hAnsi="宋体" w:cs="宋体"/>
                      <w:b/>
                      <w:bCs/>
                      <w:color w:val="auto"/>
                      <w:szCs w:val="21"/>
                    </w:rPr>
                    <w:t>验收对象</w:t>
                  </w:r>
                </w:p>
              </w:tc>
              <w:tc>
                <w:tcPr>
                  <w:tcW w:w="1588" w:type="pct"/>
                  <w:noWrap w:val="0"/>
                  <w:vAlign w:val="center"/>
                </w:tcPr>
                <w:p w14:paraId="6093EE51">
                  <w:pPr>
                    <w:jc w:val="center"/>
                    <w:rPr>
                      <w:rFonts w:hint="eastAsia" w:ascii="宋体" w:hAnsi="宋体" w:cs="宋体"/>
                      <w:b/>
                      <w:bCs/>
                      <w:color w:val="auto"/>
                      <w:szCs w:val="21"/>
                    </w:rPr>
                  </w:pPr>
                  <w:r>
                    <w:rPr>
                      <w:rFonts w:hint="eastAsia" w:ascii="宋体" w:hAnsi="宋体" w:cs="宋体"/>
                      <w:b/>
                      <w:bCs/>
                      <w:color w:val="auto"/>
                      <w:szCs w:val="21"/>
                    </w:rPr>
                    <w:t>治理措施</w:t>
                  </w:r>
                </w:p>
              </w:tc>
              <w:tc>
                <w:tcPr>
                  <w:tcW w:w="2151" w:type="pct"/>
                  <w:noWrap w:val="0"/>
                  <w:vAlign w:val="center"/>
                </w:tcPr>
                <w:p w14:paraId="731F8147">
                  <w:pPr>
                    <w:jc w:val="center"/>
                    <w:rPr>
                      <w:rFonts w:hint="eastAsia" w:ascii="宋体" w:hAnsi="宋体" w:cs="宋体"/>
                      <w:b/>
                      <w:bCs/>
                      <w:color w:val="auto"/>
                      <w:szCs w:val="21"/>
                    </w:rPr>
                  </w:pPr>
                  <w:r>
                    <w:rPr>
                      <w:rFonts w:hint="eastAsia" w:ascii="宋体" w:hAnsi="宋体" w:cs="宋体"/>
                      <w:b/>
                      <w:bCs/>
                      <w:color w:val="auto"/>
                      <w:szCs w:val="21"/>
                    </w:rPr>
                    <w:t>验收标准</w:t>
                  </w:r>
                </w:p>
              </w:tc>
            </w:tr>
            <w:tr w14:paraId="76BD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619" w:type="pct"/>
                  <w:noWrap w:val="0"/>
                  <w:vAlign w:val="center"/>
                </w:tcPr>
                <w:p w14:paraId="16957E81">
                  <w:pPr>
                    <w:jc w:val="center"/>
                    <w:rPr>
                      <w:rFonts w:ascii="宋体" w:hAnsi="宋体" w:cs="宋体"/>
                      <w:color w:val="auto"/>
                      <w:szCs w:val="21"/>
                    </w:rPr>
                  </w:pPr>
                  <w:r>
                    <w:rPr>
                      <w:rFonts w:hint="eastAsia" w:ascii="宋体" w:hAnsi="宋体" w:cs="宋体"/>
                      <w:color w:val="auto"/>
                      <w:szCs w:val="21"/>
                    </w:rPr>
                    <w:t>大气污染防治措施</w:t>
                  </w:r>
                </w:p>
              </w:tc>
              <w:tc>
                <w:tcPr>
                  <w:tcW w:w="640" w:type="pct"/>
                  <w:noWrap w:val="0"/>
                  <w:vAlign w:val="center"/>
                </w:tcPr>
                <w:p w14:paraId="3A8DEF0C">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蒸汽发生器废气</w:t>
                  </w:r>
                </w:p>
              </w:tc>
              <w:tc>
                <w:tcPr>
                  <w:tcW w:w="1588" w:type="pct"/>
                  <w:noWrap w:val="0"/>
                  <w:vAlign w:val="center"/>
                </w:tcPr>
                <w:p w14:paraId="1ABACAD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①3套“</w:t>
                  </w:r>
                  <w:r>
                    <w:rPr>
                      <w:rFonts w:hint="eastAsia"/>
                      <w:color w:val="auto"/>
                      <w:szCs w:val="21"/>
                      <w:highlight w:val="none"/>
                    </w:rPr>
                    <w:t>低氮燃烧技术+</w:t>
                  </w:r>
                  <w:r>
                    <w:rPr>
                      <w:rFonts w:hint="eastAsia" w:ascii="宋体" w:hAnsi="宋体" w:eastAsia="宋体" w:cs="宋体"/>
                      <w:color w:val="auto"/>
                      <w:sz w:val="21"/>
                      <w:szCs w:val="21"/>
                      <w:lang w:val="en-US" w:eastAsia="zh-CN"/>
                    </w:rPr>
                    <w:t>旋风除尘器+布袋除尘器”（TA001、TA002、TA003，综合除尘效率99%；</w:t>
                  </w:r>
                </w:p>
                <w:p w14:paraId="3FAE5C45">
                  <w:pPr>
                    <w:jc w:val="center"/>
                    <w:rPr>
                      <w:rFonts w:hint="eastAsia" w:ascii="宋体" w:hAnsi="宋体" w:cs="宋体"/>
                      <w:color w:val="auto"/>
                      <w:szCs w:val="21"/>
                    </w:rPr>
                  </w:pPr>
                  <w:r>
                    <w:rPr>
                      <w:rFonts w:hint="eastAsia" w:ascii="宋体" w:hAnsi="宋体" w:eastAsia="宋体" w:cs="宋体"/>
                      <w:color w:val="auto"/>
                      <w:sz w:val="21"/>
                      <w:szCs w:val="21"/>
                      <w:lang w:val="en-US" w:eastAsia="zh-CN"/>
                    </w:rPr>
                    <w:t>②1根35m排气筒（DA001）</w:t>
                  </w:r>
                </w:p>
              </w:tc>
              <w:tc>
                <w:tcPr>
                  <w:tcW w:w="2151" w:type="pct"/>
                  <w:noWrap w:val="0"/>
                  <w:vAlign w:val="center"/>
                </w:tcPr>
                <w:p w14:paraId="4D27ECA7">
                  <w:pPr>
                    <w:jc w:val="cente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锅炉大气污染物排放标准</w:t>
                  </w:r>
                  <w:r>
                    <w:rPr>
                      <w:rFonts w:hint="eastAsia" w:ascii="宋体" w:hAnsi="宋体" w:cs="宋体"/>
                      <w:color w:val="auto"/>
                      <w:szCs w:val="21"/>
                    </w:rPr>
                    <w:t>》</w:t>
                  </w:r>
                </w:p>
                <w:p w14:paraId="1FA2E857">
                  <w:pPr>
                    <w:jc w:val="center"/>
                    <w:rPr>
                      <w:rFonts w:hint="eastAsia" w:ascii="宋体" w:hAnsi="宋体" w:cs="宋体"/>
                      <w:color w:val="auto"/>
                      <w:szCs w:val="21"/>
                    </w:rPr>
                  </w:pPr>
                  <w:r>
                    <w:rPr>
                      <w:rFonts w:hint="eastAsia" w:ascii="宋体" w:hAnsi="宋体" w:cs="宋体"/>
                      <w:color w:val="auto"/>
                      <w:szCs w:val="21"/>
                    </w:rPr>
                    <w:t>（GB13271-2014）中新</w:t>
                  </w:r>
                  <w:r>
                    <w:rPr>
                      <w:rFonts w:hint="eastAsia" w:ascii="宋体" w:hAnsi="宋体" w:cs="宋体"/>
                      <w:color w:val="auto"/>
                      <w:szCs w:val="21"/>
                      <w:lang w:eastAsia="zh-CN"/>
                    </w:rPr>
                    <w:t>建</w:t>
                  </w:r>
                  <w:r>
                    <w:rPr>
                      <w:rFonts w:hint="eastAsia" w:ascii="宋体" w:hAnsi="宋体" w:cs="宋体"/>
                      <w:color w:val="auto"/>
                      <w:szCs w:val="21"/>
                      <w:lang w:val="en-US" w:eastAsia="zh-CN"/>
                    </w:rPr>
                    <w:t>燃煤</w:t>
                  </w:r>
                  <w:r>
                    <w:rPr>
                      <w:rFonts w:hint="eastAsia" w:ascii="宋体" w:hAnsi="宋体" w:cs="宋体"/>
                      <w:color w:val="auto"/>
                      <w:szCs w:val="21"/>
                      <w:lang w:eastAsia="zh-CN"/>
                    </w:rPr>
                    <w:t>锅炉大气污染物排放限值</w:t>
                  </w:r>
                </w:p>
              </w:tc>
            </w:tr>
            <w:tr w14:paraId="1D0A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19" w:type="pct"/>
                  <w:noWrap w:val="0"/>
                  <w:vAlign w:val="center"/>
                </w:tcPr>
                <w:p w14:paraId="7CD043D2">
                  <w:pPr>
                    <w:jc w:val="center"/>
                    <w:rPr>
                      <w:rFonts w:hint="eastAsia" w:ascii="宋体" w:hAnsi="宋体" w:cs="宋体"/>
                      <w:color w:val="auto"/>
                      <w:szCs w:val="21"/>
                    </w:rPr>
                  </w:pPr>
                  <w:r>
                    <w:rPr>
                      <w:rFonts w:hint="eastAsia" w:ascii="宋体" w:hAnsi="宋体" w:cs="宋体"/>
                      <w:color w:val="auto"/>
                      <w:szCs w:val="21"/>
                    </w:rPr>
                    <w:t>噪声防治措施</w:t>
                  </w:r>
                </w:p>
              </w:tc>
              <w:tc>
                <w:tcPr>
                  <w:tcW w:w="640" w:type="pct"/>
                  <w:noWrap w:val="0"/>
                  <w:vAlign w:val="center"/>
                </w:tcPr>
                <w:p w14:paraId="585A9BA5">
                  <w:pPr>
                    <w:jc w:val="center"/>
                    <w:rPr>
                      <w:rFonts w:hint="eastAsia" w:ascii="宋体" w:hAnsi="宋体" w:cs="宋体"/>
                      <w:color w:val="auto"/>
                      <w:szCs w:val="21"/>
                    </w:rPr>
                  </w:pPr>
                  <w:r>
                    <w:rPr>
                      <w:rFonts w:hint="eastAsia" w:ascii="宋体" w:hAnsi="宋体" w:cs="宋体"/>
                      <w:color w:val="auto"/>
                      <w:szCs w:val="21"/>
                    </w:rPr>
                    <w:t>噪声</w:t>
                  </w:r>
                </w:p>
              </w:tc>
              <w:tc>
                <w:tcPr>
                  <w:tcW w:w="1588" w:type="pct"/>
                  <w:noWrap w:val="0"/>
                  <w:vAlign w:val="center"/>
                </w:tcPr>
                <w:p w14:paraId="72D48F9C">
                  <w:pPr>
                    <w:jc w:val="center"/>
                    <w:rPr>
                      <w:rFonts w:hint="eastAsia" w:ascii="宋体" w:hAnsi="宋体" w:cs="宋体"/>
                      <w:color w:val="auto"/>
                      <w:szCs w:val="21"/>
                    </w:rPr>
                  </w:pPr>
                  <w:r>
                    <w:rPr>
                      <w:rStyle w:val="110"/>
                      <w:rFonts w:hint="eastAsia"/>
                      <w:color w:val="auto"/>
                    </w:rPr>
                    <w:t>水泵减</w:t>
                  </w:r>
                  <w:r>
                    <w:rPr>
                      <w:rFonts w:hint="eastAsia"/>
                      <w:color w:val="auto"/>
                      <w:szCs w:val="21"/>
                    </w:rPr>
                    <w:t>振</w:t>
                  </w:r>
                  <w:r>
                    <w:rPr>
                      <w:rStyle w:val="110"/>
                      <w:rFonts w:hint="eastAsia"/>
                      <w:color w:val="auto"/>
                    </w:rPr>
                    <w:t>、</w:t>
                  </w:r>
                  <w:r>
                    <w:rPr>
                      <w:rFonts w:hint="eastAsia" w:ascii="宋体" w:hAnsi="宋体" w:cs="宋体"/>
                      <w:color w:val="auto"/>
                      <w:szCs w:val="21"/>
                    </w:rPr>
                    <w:t>风机安装消声器</w:t>
                  </w:r>
                  <w:r>
                    <w:rPr>
                      <w:rFonts w:hint="eastAsia"/>
                      <w:color w:val="auto"/>
                      <w:szCs w:val="21"/>
                    </w:rPr>
                    <w:t>、建筑隔声、</w:t>
                  </w:r>
                </w:p>
              </w:tc>
              <w:tc>
                <w:tcPr>
                  <w:tcW w:w="2151" w:type="pct"/>
                  <w:noWrap w:val="0"/>
                  <w:vAlign w:val="center"/>
                </w:tcPr>
                <w:p w14:paraId="005DEFDE">
                  <w:pPr>
                    <w:jc w:val="center"/>
                    <w:rPr>
                      <w:rFonts w:hint="eastAsia" w:ascii="宋体" w:hAnsi="宋体" w:cs="宋体"/>
                      <w:color w:val="auto"/>
                      <w:szCs w:val="21"/>
                    </w:rPr>
                  </w:pPr>
                  <w:r>
                    <w:rPr>
                      <w:rFonts w:hint="eastAsia" w:ascii="宋体" w:hAnsi="宋体" w:cs="宋体"/>
                      <w:snapToGrid w:val="0"/>
                      <w:color w:val="auto"/>
                      <w:szCs w:val="21"/>
                    </w:rPr>
                    <w:t>厂界</w:t>
                  </w:r>
                  <w:r>
                    <w:rPr>
                      <w:rFonts w:hint="eastAsia" w:ascii="宋体" w:hAnsi="宋体" w:cs="宋体"/>
                      <w:color w:val="auto"/>
                      <w:kern w:val="0"/>
                      <w:szCs w:val="21"/>
                      <w:lang w:bidi="ar"/>
                    </w:rPr>
                    <w:t>执行《工业企业厂界环境噪声排放标准》（GB12348-2008）2类标准</w:t>
                  </w:r>
                </w:p>
              </w:tc>
            </w:tr>
            <w:tr w14:paraId="798A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19" w:type="pct"/>
                  <w:vMerge w:val="restart"/>
                  <w:noWrap w:val="0"/>
                  <w:vAlign w:val="center"/>
                </w:tcPr>
                <w:p w14:paraId="490710A4">
                  <w:pPr>
                    <w:jc w:val="center"/>
                    <w:rPr>
                      <w:rFonts w:hint="eastAsia" w:ascii="宋体" w:hAnsi="宋体" w:cs="宋体"/>
                      <w:color w:val="auto"/>
                      <w:szCs w:val="21"/>
                    </w:rPr>
                  </w:pPr>
                </w:p>
                <w:p w14:paraId="4EB54D16">
                  <w:pPr>
                    <w:jc w:val="center"/>
                    <w:rPr>
                      <w:rFonts w:hint="eastAsia" w:ascii="宋体" w:hAnsi="宋体" w:cs="宋体"/>
                      <w:color w:val="auto"/>
                      <w:szCs w:val="21"/>
                    </w:rPr>
                  </w:pPr>
                </w:p>
                <w:p w14:paraId="4D839C15">
                  <w:pPr>
                    <w:jc w:val="center"/>
                    <w:rPr>
                      <w:rFonts w:hint="eastAsia" w:ascii="宋体" w:hAnsi="宋体" w:cs="宋体"/>
                      <w:color w:val="auto"/>
                      <w:szCs w:val="21"/>
                    </w:rPr>
                  </w:pPr>
                  <w:r>
                    <w:rPr>
                      <w:rFonts w:hint="eastAsia" w:ascii="宋体" w:hAnsi="宋体" w:cs="宋体"/>
                      <w:color w:val="auto"/>
                      <w:szCs w:val="21"/>
                    </w:rPr>
                    <w:t>固废防治措施</w:t>
                  </w:r>
                </w:p>
              </w:tc>
              <w:tc>
                <w:tcPr>
                  <w:tcW w:w="640" w:type="pct"/>
                  <w:noWrap w:val="0"/>
                  <w:vAlign w:val="center"/>
                </w:tcPr>
                <w:p w14:paraId="243AE771">
                  <w:pPr>
                    <w:adjustRightInd w:val="0"/>
                    <w:snapToGrid w:val="0"/>
                    <w:jc w:val="center"/>
                    <w:rPr>
                      <w:rFonts w:hint="eastAsia" w:ascii="宋体" w:hAnsi="宋体" w:cs="宋体"/>
                      <w:color w:val="auto"/>
                      <w:szCs w:val="21"/>
                    </w:rPr>
                  </w:pPr>
                  <w:r>
                    <w:rPr>
                      <w:rFonts w:hint="eastAsia"/>
                      <w:color w:val="auto"/>
                      <w:kern w:val="24"/>
                      <w:sz w:val="21"/>
                      <w:szCs w:val="21"/>
                      <w:highlight w:val="none"/>
                      <w:lang w:eastAsia="zh-CN"/>
                    </w:rPr>
                    <w:t>蒸汽发生器</w:t>
                  </w:r>
                  <w:r>
                    <w:rPr>
                      <w:rFonts w:hint="eastAsia"/>
                      <w:color w:val="auto"/>
                      <w:kern w:val="24"/>
                      <w:sz w:val="21"/>
                      <w:szCs w:val="21"/>
                      <w:highlight w:val="none"/>
                    </w:rPr>
                    <w:t>炉渣</w:t>
                  </w:r>
                </w:p>
              </w:tc>
              <w:tc>
                <w:tcPr>
                  <w:tcW w:w="1588" w:type="pct"/>
                  <w:vMerge w:val="restart"/>
                  <w:noWrap w:val="0"/>
                  <w:vAlign w:val="center"/>
                </w:tcPr>
                <w:p w14:paraId="6BC03030">
                  <w:pPr>
                    <w:autoSpaceDE w:val="0"/>
                    <w:autoSpaceDN w:val="0"/>
                    <w:jc w:val="center"/>
                    <w:rPr>
                      <w:rFonts w:hint="eastAsia" w:ascii="宋体" w:hAnsi="宋体" w:cs="宋体"/>
                      <w:color w:val="auto"/>
                      <w:szCs w:val="21"/>
                    </w:rPr>
                  </w:pPr>
                  <w:r>
                    <w:rPr>
                      <w:rFonts w:hint="eastAsia"/>
                      <w:color w:val="auto"/>
                      <w:sz w:val="21"/>
                      <w:szCs w:val="21"/>
                      <w:highlight w:val="none"/>
                    </w:rPr>
                    <w:t>运至红塔区志程肥料加工</w:t>
                  </w:r>
                  <w:r>
                    <w:rPr>
                      <w:rFonts w:hint="eastAsia"/>
                      <w:color w:val="auto"/>
                      <w:sz w:val="21"/>
                      <w:szCs w:val="21"/>
                      <w:highlight w:val="none"/>
                      <w:lang w:val="en-US" w:eastAsia="zh-CN"/>
                    </w:rPr>
                    <w:t>厂用于有机肥料生产原料使</w:t>
                  </w:r>
                </w:p>
              </w:tc>
              <w:tc>
                <w:tcPr>
                  <w:tcW w:w="2151" w:type="pct"/>
                  <w:vMerge w:val="restart"/>
                  <w:noWrap w:val="0"/>
                  <w:vAlign w:val="center"/>
                </w:tcPr>
                <w:p w14:paraId="2CEF9514">
                  <w:pPr>
                    <w:jc w:val="center"/>
                    <w:rPr>
                      <w:rFonts w:hint="eastAsia" w:ascii="宋体" w:hAnsi="宋体" w:cs="宋体"/>
                      <w:color w:val="auto"/>
                      <w:szCs w:val="21"/>
                    </w:rPr>
                  </w:pPr>
                  <w:r>
                    <w:rPr>
                      <w:rFonts w:hint="eastAsia" w:ascii="宋体" w:hAnsi="宋体" w:cs="宋体"/>
                      <w:color w:val="auto"/>
                      <w:szCs w:val="21"/>
                    </w:rPr>
                    <w:t>处置率100%。</w:t>
                  </w:r>
                </w:p>
              </w:tc>
            </w:tr>
            <w:tr w14:paraId="500E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19" w:type="pct"/>
                  <w:vMerge w:val="continue"/>
                  <w:noWrap w:val="0"/>
                  <w:vAlign w:val="center"/>
                </w:tcPr>
                <w:p w14:paraId="79344E88">
                  <w:pPr>
                    <w:jc w:val="center"/>
                    <w:rPr>
                      <w:rFonts w:hint="eastAsia" w:ascii="宋体" w:hAnsi="宋体" w:cs="宋体"/>
                      <w:color w:val="auto"/>
                      <w:szCs w:val="21"/>
                    </w:rPr>
                  </w:pPr>
                </w:p>
              </w:tc>
              <w:tc>
                <w:tcPr>
                  <w:tcW w:w="640" w:type="pct"/>
                  <w:noWrap w:val="0"/>
                  <w:vAlign w:val="center"/>
                </w:tcPr>
                <w:p w14:paraId="521EB4E6">
                  <w:pPr>
                    <w:adjustRightInd w:val="0"/>
                    <w:snapToGrid w:val="0"/>
                    <w:jc w:val="center"/>
                    <w:rPr>
                      <w:rFonts w:ascii="宋体" w:hAnsi="宋体" w:cs="宋体"/>
                      <w:color w:val="auto"/>
                      <w:szCs w:val="21"/>
                    </w:rPr>
                  </w:pPr>
                  <w:r>
                    <w:rPr>
                      <w:rFonts w:hint="eastAsia"/>
                      <w:color w:val="auto"/>
                      <w:kern w:val="24"/>
                      <w:sz w:val="21"/>
                      <w:szCs w:val="21"/>
                      <w:highlight w:val="none"/>
                    </w:rPr>
                    <w:t>除尘灰</w:t>
                  </w:r>
                </w:p>
              </w:tc>
              <w:tc>
                <w:tcPr>
                  <w:tcW w:w="1588" w:type="pct"/>
                  <w:vMerge w:val="continue"/>
                  <w:noWrap w:val="0"/>
                  <w:vAlign w:val="center"/>
                </w:tcPr>
                <w:p w14:paraId="336F2C88">
                  <w:pPr>
                    <w:autoSpaceDE w:val="0"/>
                    <w:autoSpaceDN w:val="0"/>
                    <w:jc w:val="center"/>
                    <w:rPr>
                      <w:rFonts w:hint="eastAsia" w:ascii="宋体" w:hAnsi="宋体" w:cs="宋体"/>
                      <w:color w:val="auto"/>
                      <w:szCs w:val="21"/>
                    </w:rPr>
                  </w:pPr>
                </w:p>
              </w:tc>
              <w:tc>
                <w:tcPr>
                  <w:tcW w:w="2151" w:type="pct"/>
                  <w:vMerge w:val="continue"/>
                  <w:noWrap w:val="0"/>
                  <w:vAlign w:val="center"/>
                </w:tcPr>
                <w:p w14:paraId="17EF6765">
                  <w:pPr>
                    <w:jc w:val="center"/>
                    <w:rPr>
                      <w:rFonts w:hint="eastAsia" w:ascii="宋体" w:hAnsi="宋体" w:cs="宋体"/>
                      <w:color w:val="auto"/>
                      <w:szCs w:val="21"/>
                    </w:rPr>
                  </w:pPr>
                </w:p>
              </w:tc>
            </w:tr>
            <w:tr w14:paraId="5D09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19" w:type="pct"/>
                  <w:vMerge w:val="continue"/>
                  <w:noWrap w:val="0"/>
                  <w:vAlign w:val="center"/>
                </w:tcPr>
                <w:p w14:paraId="7CBB6499">
                  <w:pPr>
                    <w:jc w:val="center"/>
                    <w:rPr>
                      <w:rFonts w:hint="eastAsia" w:ascii="宋体" w:hAnsi="宋体" w:cs="宋体"/>
                      <w:color w:val="auto"/>
                      <w:szCs w:val="21"/>
                    </w:rPr>
                  </w:pPr>
                </w:p>
              </w:tc>
              <w:tc>
                <w:tcPr>
                  <w:tcW w:w="640" w:type="pct"/>
                  <w:noWrap w:val="0"/>
                  <w:vAlign w:val="center"/>
                </w:tcPr>
                <w:p w14:paraId="734D858D">
                  <w:pPr>
                    <w:adjustRightInd w:val="0"/>
                    <w:snapToGrid w:val="0"/>
                    <w:jc w:val="center"/>
                    <w:rPr>
                      <w:rFonts w:hint="eastAsia" w:ascii="宋体" w:hAnsi="宋体" w:cs="宋体"/>
                      <w:color w:val="auto"/>
                      <w:szCs w:val="21"/>
                    </w:rPr>
                  </w:pPr>
                  <w:r>
                    <w:rPr>
                      <w:rFonts w:hint="eastAsia"/>
                      <w:color w:val="auto"/>
                      <w:kern w:val="24"/>
                      <w:sz w:val="21"/>
                      <w:szCs w:val="21"/>
                      <w:highlight w:val="none"/>
                    </w:rPr>
                    <w:t>废树脂</w:t>
                  </w:r>
                </w:p>
              </w:tc>
              <w:tc>
                <w:tcPr>
                  <w:tcW w:w="1588" w:type="pct"/>
                  <w:noWrap w:val="0"/>
                  <w:vAlign w:val="center"/>
                </w:tcPr>
                <w:p w14:paraId="285DEE22">
                  <w:pPr>
                    <w:jc w:val="center"/>
                    <w:rPr>
                      <w:rFonts w:hint="eastAsia" w:ascii="宋体" w:hAnsi="宋体" w:cs="宋体"/>
                      <w:color w:val="auto"/>
                      <w:szCs w:val="21"/>
                    </w:rPr>
                  </w:pPr>
                  <w:r>
                    <w:rPr>
                      <w:rFonts w:hint="eastAsia"/>
                      <w:color w:val="auto"/>
                      <w:kern w:val="24"/>
                      <w:sz w:val="21"/>
                      <w:szCs w:val="21"/>
                      <w:highlight w:val="none"/>
                    </w:rPr>
                    <w:t>交由厂家回收处理</w:t>
                  </w:r>
                </w:p>
              </w:tc>
              <w:tc>
                <w:tcPr>
                  <w:tcW w:w="2151" w:type="pct"/>
                  <w:vMerge w:val="continue"/>
                  <w:noWrap w:val="0"/>
                  <w:vAlign w:val="center"/>
                </w:tcPr>
                <w:p w14:paraId="04B4EE73">
                  <w:pPr>
                    <w:jc w:val="center"/>
                    <w:rPr>
                      <w:rFonts w:hint="eastAsia" w:ascii="宋体" w:hAnsi="宋体" w:cs="宋体"/>
                      <w:color w:val="auto"/>
                      <w:szCs w:val="21"/>
                    </w:rPr>
                  </w:pPr>
                </w:p>
              </w:tc>
            </w:tr>
            <w:tr w14:paraId="43AD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19" w:type="pct"/>
                  <w:vMerge w:val="continue"/>
                  <w:noWrap w:val="0"/>
                  <w:vAlign w:val="center"/>
                </w:tcPr>
                <w:p w14:paraId="7C980375">
                  <w:pPr>
                    <w:jc w:val="center"/>
                    <w:rPr>
                      <w:rFonts w:hint="eastAsia" w:ascii="宋体" w:hAnsi="宋体" w:cs="宋体"/>
                      <w:color w:val="auto"/>
                      <w:szCs w:val="21"/>
                    </w:rPr>
                  </w:pPr>
                </w:p>
              </w:tc>
              <w:tc>
                <w:tcPr>
                  <w:tcW w:w="640" w:type="pct"/>
                  <w:noWrap w:val="0"/>
                  <w:vAlign w:val="center"/>
                </w:tcPr>
                <w:p w14:paraId="211A81FD">
                  <w:pPr>
                    <w:adjustRightInd w:val="0"/>
                    <w:snapToGrid w:val="0"/>
                    <w:jc w:val="center"/>
                    <w:rPr>
                      <w:rFonts w:ascii="宋体" w:hAnsi="宋体" w:cs="宋体"/>
                      <w:color w:val="auto"/>
                      <w:szCs w:val="21"/>
                    </w:rPr>
                  </w:pPr>
                  <w:r>
                    <w:rPr>
                      <w:rFonts w:hint="eastAsia"/>
                      <w:color w:val="auto"/>
                      <w:kern w:val="24"/>
                      <w:sz w:val="21"/>
                      <w:szCs w:val="21"/>
                      <w:highlight w:val="none"/>
                    </w:rPr>
                    <w:t>絮凝沉淀池沉渣</w:t>
                  </w:r>
                </w:p>
              </w:tc>
              <w:tc>
                <w:tcPr>
                  <w:tcW w:w="1588" w:type="pct"/>
                  <w:noWrap w:val="0"/>
                  <w:vAlign w:val="center"/>
                </w:tcPr>
                <w:p w14:paraId="59386363">
                  <w:pPr>
                    <w:jc w:val="center"/>
                    <w:rPr>
                      <w:rFonts w:hint="eastAsia" w:ascii="宋体" w:hAnsi="宋体" w:cs="宋体"/>
                      <w:color w:val="auto"/>
                      <w:szCs w:val="21"/>
                    </w:rPr>
                  </w:pPr>
                  <w:r>
                    <w:rPr>
                      <w:rFonts w:hint="eastAsia"/>
                      <w:color w:val="auto"/>
                      <w:kern w:val="24"/>
                      <w:sz w:val="21"/>
                      <w:szCs w:val="21"/>
                      <w:highlight w:val="none"/>
                    </w:rPr>
                    <w:t>交由环卫部门定期清运处置</w:t>
                  </w:r>
                </w:p>
              </w:tc>
              <w:tc>
                <w:tcPr>
                  <w:tcW w:w="2151" w:type="pct"/>
                  <w:vMerge w:val="continue"/>
                  <w:noWrap w:val="0"/>
                  <w:vAlign w:val="center"/>
                </w:tcPr>
                <w:p w14:paraId="7CDCFCF8">
                  <w:pPr>
                    <w:jc w:val="center"/>
                    <w:rPr>
                      <w:rFonts w:hint="eastAsia" w:ascii="宋体" w:hAnsi="宋体" w:cs="宋体"/>
                      <w:color w:val="auto"/>
                      <w:szCs w:val="21"/>
                    </w:rPr>
                  </w:pPr>
                </w:p>
              </w:tc>
            </w:tr>
            <w:tr w14:paraId="319C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19" w:type="pct"/>
                  <w:vMerge w:val="continue"/>
                  <w:noWrap w:val="0"/>
                  <w:vAlign w:val="center"/>
                </w:tcPr>
                <w:p w14:paraId="601BE7CC">
                  <w:pPr>
                    <w:jc w:val="center"/>
                    <w:rPr>
                      <w:rFonts w:hint="eastAsia" w:ascii="宋体" w:hAnsi="宋体" w:cs="宋体"/>
                      <w:color w:val="auto"/>
                      <w:szCs w:val="21"/>
                    </w:rPr>
                  </w:pPr>
                </w:p>
              </w:tc>
              <w:tc>
                <w:tcPr>
                  <w:tcW w:w="640" w:type="pct"/>
                  <w:noWrap w:val="0"/>
                  <w:vAlign w:val="center"/>
                </w:tcPr>
                <w:p w14:paraId="1898668C">
                  <w:pPr>
                    <w:adjustRightInd w:val="0"/>
                    <w:snapToGrid w:val="0"/>
                    <w:jc w:val="center"/>
                    <w:rPr>
                      <w:rFonts w:ascii="宋体" w:hAnsi="宋体" w:cs="宋体"/>
                      <w:color w:val="auto"/>
                      <w:szCs w:val="21"/>
                    </w:rPr>
                  </w:pPr>
                  <w:r>
                    <w:rPr>
                      <w:color w:val="auto"/>
                      <w:kern w:val="24"/>
                      <w:sz w:val="21"/>
                      <w:szCs w:val="21"/>
                      <w:highlight w:val="none"/>
                    </w:rPr>
                    <w:t>生活垃圾</w:t>
                  </w:r>
                </w:p>
              </w:tc>
              <w:tc>
                <w:tcPr>
                  <w:tcW w:w="1588" w:type="pct"/>
                  <w:noWrap w:val="0"/>
                  <w:vAlign w:val="center"/>
                </w:tcPr>
                <w:p w14:paraId="3F5C2CE0">
                  <w:pPr>
                    <w:jc w:val="center"/>
                    <w:rPr>
                      <w:rFonts w:hint="eastAsia" w:ascii="宋体" w:hAnsi="宋体" w:cs="宋体"/>
                      <w:color w:val="auto"/>
                      <w:szCs w:val="21"/>
                    </w:rPr>
                  </w:pPr>
                  <w:r>
                    <w:rPr>
                      <w:rFonts w:hint="eastAsia"/>
                      <w:color w:val="auto"/>
                      <w:kern w:val="24"/>
                      <w:sz w:val="21"/>
                      <w:szCs w:val="21"/>
                      <w:highlight w:val="none"/>
                    </w:rPr>
                    <w:t>交由</w:t>
                  </w:r>
                  <w:r>
                    <w:rPr>
                      <w:color w:val="auto"/>
                      <w:kern w:val="24"/>
                      <w:sz w:val="21"/>
                      <w:szCs w:val="21"/>
                      <w:highlight w:val="none"/>
                    </w:rPr>
                    <w:t>环卫部门清运处置</w:t>
                  </w:r>
                </w:p>
              </w:tc>
              <w:tc>
                <w:tcPr>
                  <w:tcW w:w="2151" w:type="pct"/>
                  <w:vMerge w:val="continue"/>
                  <w:noWrap w:val="0"/>
                  <w:vAlign w:val="center"/>
                </w:tcPr>
                <w:p w14:paraId="2593CFC5">
                  <w:pPr>
                    <w:jc w:val="center"/>
                    <w:rPr>
                      <w:rFonts w:hint="eastAsia" w:ascii="宋体" w:hAnsi="宋体" w:cs="宋体"/>
                      <w:color w:val="auto"/>
                      <w:szCs w:val="21"/>
                    </w:rPr>
                  </w:pPr>
                </w:p>
              </w:tc>
            </w:tr>
          </w:tbl>
          <w:p w14:paraId="472B23EE">
            <w:pPr>
              <w:adjustRightInd w:val="0"/>
              <w:snapToGrid w:val="0"/>
              <w:spacing w:line="360" w:lineRule="auto"/>
              <w:rPr>
                <w:b/>
                <w:color w:val="auto"/>
                <w:sz w:val="24"/>
                <w:highlight w:val="none"/>
              </w:rPr>
            </w:pPr>
            <w:r>
              <w:rPr>
                <w:rFonts w:hint="eastAsia"/>
                <w:b/>
                <w:color w:val="auto"/>
                <w:sz w:val="24"/>
                <w:highlight w:val="none"/>
              </w:rPr>
              <w:t>3、</w:t>
            </w:r>
            <w:r>
              <w:rPr>
                <w:b/>
                <w:color w:val="auto"/>
                <w:sz w:val="24"/>
                <w:highlight w:val="none"/>
              </w:rPr>
              <w:t>排污许可</w:t>
            </w:r>
          </w:p>
          <w:p w14:paraId="135BBFC2">
            <w:pPr>
              <w:spacing w:line="360" w:lineRule="auto"/>
              <w:ind w:firstLine="480" w:firstLineChars="200"/>
              <w:rPr>
                <w:color w:val="auto"/>
                <w:sz w:val="24"/>
                <w:highlight w:val="none"/>
              </w:rPr>
            </w:pPr>
            <w:r>
              <w:rPr>
                <w:color w:val="auto"/>
                <w:sz w:val="24"/>
                <w:highlight w:val="none"/>
              </w:rPr>
              <w:t>根据《关于做好环境影响评价制度与排污许可</w:t>
            </w:r>
            <w:r>
              <w:rPr>
                <w:rFonts w:hint="eastAsia"/>
                <w:color w:val="auto"/>
                <w:sz w:val="24"/>
                <w:highlight w:val="none"/>
                <w:lang w:eastAsia="zh-CN"/>
              </w:rPr>
              <w:t>制度</w:t>
            </w:r>
            <w:r>
              <w:rPr>
                <w:color w:val="auto"/>
                <w:sz w:val="24"/>
                <w:highlight w:val="none"/>
              </w:rPr>
              <w:t>衔接相关工作的通知》（环办环评〔2017〕84号），建设项目发生实际排污行为之前，排污单位应当按照国家环境保护相关法律法规以及排污许可证申请与核发技术规范要求申请排污许可证，不得无证排污或不按证排污。</w:t>
            </w:r>
          </w:p>
          <w:p w14:paraId="33968794">
            <w:pPr>
              <w:spacing w:line="360" w:lineRule="auto"/>
              <w:ind w:firstLine="480" w:firstLineChars="200"/>
              <w:rPr>
                <w:rFonts w:hint="eastAsia" w:eastAsia="宋体"/>
                <w:color w:val="auto"/>
                <w:sz w:val="24"/>
                <w:highlight w:val="none"/>
                <w:lang w:eastAsia="zh-CN"/>
              </w:rPr>
            </w:pPr>
            <w:r>
              <w:rPr>
                <w:color w:val="auto"/>
                <w:sz w:val="24"/>
                <w:highlight w:val="none"/>
              </w:rPr>
              <w:t>根据《固定污染源排污许可分类管理名录》（2019</w:t>
            </w:r>
            <w:r>
              <w:rPr>
                <w:rFonts w:hint="eastAsia"/>
                <w:color w:val="auto"/>
                <w:sz w:val="24"/>
                <w:highlight w:val="none"/>
              </w:rPr>
              <w:t>年版），该公司主行业所属行业类别属于“三十九、电力、热力生产和供应业</w:t>
            </w:r>
            <w:r>
              <w:rPr>
                <w:color w:val="auto"/>
                <w:sz w:val="24"/>
                <w:highlight w:val="none"/>
              </w:rPr>
              <w:t>4496</w:t>
            </w:r>
            <w:r>
              <w:rPr>
                <w:rFonts w:hint="eastAsia"/>
                <w:color w:val="auto"/>
                <w:sz w:val="24"/>
                <w:highlight w:val="none"/>
              </w:rPr>
              <w:t>热力生产和供应</w:t>
            </w:r>
            <w:r>
              <w:rPr>
                <w:color w:val="auto"/>
                <w:sz w:val="24"/>
                <w:highlight w:val="none"/>
              </w:rPr>
              <w:t>443</w:t>
            </w:r>
            <w:r>
              <w:rPr>
                <w:rFonts w:hint="eastAsia"/>
                <w:color w:val="auto"/>
                <w:sz w:val="24"/>
                <w:highlight w:val="none"/>
              </w:rPr>
              <w:t>单台且合计出力</w:t>
            </w:r>
            <w:r>
              <w:rPr>
                <w:color w:val="auto"/>
                <w:sz w:val="24"/>
                <w:highlight w:val="none"/>
              </w:rPr>
              <w:t>20</w:t>
            </w:r>
            <w:r>
              <w:rPr>
                <w:rFonts w:hint="eastAsia"/>
                <w:color w:val="auto"/>
                <w:sz w:val="24"/>
                <w:highlight w:val="none"/>
              </w:rPr>
              <w:t>t/h（</w:t>
            </w:r>
            <w:r>
              <w:rPr>
                <w:color w:val="auto"/>
                <w:sz w:val="24"/>
                <w:highlight w:val="none"/>
              </w:rPr>
              <w:t>14</w:t>
            </w:r>
            <w:r>
              <w:rPr>
                <w:rFonts w:hint="eastAsia"/>
                <w:color w:val="auto"/>
                <w:sz w:val="24"/>
                <w:highlight w:val="none"/>
              </w:rPr>
              <w:t>MW）以下的</w:t>
            </w:r>
            <w:r>
              <w:rPr>
                <w:rFonts w:hint="eastAsia"/>
                <w:color w:val="auto"/>
                <w:sz w:val="24"/>
                <w:highlight w:val="none"/>
                <w:lang w:val="en-US" w:eastAsia="zh-CN"/>
              </w:rPr>
              <w:t>锅炉</w:t>
            </w:r>
            <w:r>
              <w:rPr>
                <w:rFonts w:hint="eastAsia"/>
                <w:color w:val="auto"/>
                <w:sz w:val="24"/>
                <w:highlight w:val="none"/>
              </w:rPr>
              <w:t>（不含电热</w:t>
            </w:r>
            <w:r>
              <w:rPr>
                <w:rFonts w:hint="eastAsia"/>
                <w:color w:val="auto"/>
                <w:sz w:val="24"/>
                <w:highlight w:val="none"/>
                <w:lang w:val="en-US" w:eastAsia="zh-CN"/>
              </w:rPr>
              <w:t>锅炉</w:t>
            </w:r>
            <w:r>
              <w:rPr>
                <w:rFonts w:hint="eastAsia"/>
                <w:color w:val="auto"/>
                <w:sz w:val="24"/>
                <w:highlight w:val="none"/>
              </w:rPr>
              <w:t>和单台且合计出力1t/h（0.7MW）及以下的天然气</w:t>
            </w:r>
            <w:r>
              <w:rPr>
                <w:rFonts w:hint="eastAsia"/>
                <w:color w:val="auto"/>
                <w:sz w:val="24"/>
                <w:highlight w:val="none"/>
                <w:lang w:val="en-US" w:eastAsia="zh-CN"/>
              </w:rPr>
              <w:t>锅炉</w:t>
            </w:r>
            <w:r>
              <w:rPr>
                <w:rFonts w:hint="eastAsia"/>
                <w:color w:val="auto"/>
                <w:sz w:val="24"/>
                <w:highlight w:val="none"/>
              </w:rPr>
              <w:t>）”，属于简化管理。因此，本项目实行排污许可简化管理。</w:t>
            </w:r>
          </w:p>
          <w:p w14:paraId="3332AABF">
            <w:pPr>
              <w:spacing w:line="360" w:lineRule="auto"/>
              <w:ind w:firstLine="480" w:firstLineChars="200"/>
              <w:rPr>
                <w:color w:val="auto"/>
                <w:sz w:val="24"/>
                <w:highlight w:val="none"/>
              </w:rPr>
            </w:pPr>
            <w:r>
              <w:rPr>
                <w:color w:val="auto"/>
                <w:sz w:val="24"/>
                <w:highlight w:val="none"/>
              </w:rPr>
              <w:t>综合分析，项目应当在（http://permit.mee.gov.cn/）全国排污许可证管理信息平台</w:t>
            </w:r>
            <w:r>
              <w:rPr>
                <w:rFonts w:hint="eastAsia"/>
                <w:color w:val="auto"/>
                <w:sz w:val="24"/>
                <w:highlight w:val="none"/>
              </w:rPr>
              <w:t>申报排污许可证</w:t>
            </w:r>
            <w:r>
              <w:rPr>
                <w:color w:val="auto"/>
                <w:sz w:val="24"/>
                <w:highlight w:val="none"/>
              </w:rPr>
              <w:t>，</w:t>
            </w:r>
            <w:r>
              <w:rPr>
                <w:rFonts w:hint="eastAsia"/>
                <w:color w:val="auto"/>
                <w:sz w:val="24"/>
                <w:highlight w:val="none"/>
              </w:rPr>
              <w:t>填报</w:t>
            </w:r>
            <w:r>
              <w:rPr>
                <w:color w:val="auto"/>
                <w:sz w:val="24"/>
                <w:highlight w:val="none"/>
              </w:rPr>
              <w:t>基本信息、污染物排放去向、执行的污染物排放标准以及采取的污染防治措施等信息。</w:t>
            </w:r>
          </w:p>
          <w:p w14:paraId="79EE0C48">
            <w:pPr>
              <w:pStyle w:val="33"/>
              <w:spacing w:line="360" w:lineRule="auto"/>
              <w:rPr>
                <w:rFonts w:ascii="Times New Roman" w:cs="Times New Roman"/>
                <w:b/>
                <w:bCs/>
                <w:color w:val="auto"/>
                <w:highlight w:val="none"/>
              </w:rPr>
            </w:pPr>
            <w:r>
              <w:rPr>
                <w:rFonts w:hint="eastAsia" w:ascii="Times New Roman" w:cs="Times New Roman"/>
                <w:b/>
                <w:bCs/>
                <w:color w:val="auto"/>
                <w:highlight w:val="none"/>
              </w:rPr>
              <w:t>4</w:t>
            </w:r>
            <w:r>
              <w:rPr>
                <w:rFonts w:ascii="Times New Roman" w:cs="Times New Roman"/>
                <w:b/>
                <w:bCs/>
                <w:color w:val="auto"/>
                <w:highlight w:val="none"/>
              </w:rPr>
              <w:t>、自行监测计划</w:t>
            </w:r>
          </w:p>
          <w:p w14:paraId="55C31199">
            <w:pPr>
              <w:pStyle w:val="13"/>
              <w:spacing w:before="0" w:after="0" w:line="360" w:lineRule="auto"/>
              <w:ind w:right="0" w:firstLine="480" w:firstLineChars="200"/>
              <w:rPr>
                <w:color w:val="auto"/>
                <w:sz w:val="24"/>
                <w:szCs w:val="24"/>
                <w:highlight w:val="none"/>
              </w:rPr>
            </w:pPr>
            <w:r>
              <w:rPr>
                <w:color w:val="auto"/>
                <w:sz w:val="24"/>
                <w:szCs w:val="24"/>
                <w:highlight w:val="none"/>
              </w:rPr>
              <w:t>根据</w:t>
            </w:r>
            <w:r>
              <w:rPr>
                <w:rFonts w:hint="eastAsia" w:ascii="宋体" w:hAnsi="宋体" w:cs="宋体"/>
                <w:color w:val="auto"/>
                <w:sz w:val="24"/>
                <w:highlight w:val="none"/>
              </w:rPr>
              <w:t>《排污单位自行监测</w:t>
            </w:r>
            <w:r>
              <w:rPr>
                <w:color w:val="auto"/>
                <w:sz w:val="24"/>
                <w:highlight w:val="none"/>
              </w:rPr>
              <w:t xml:space="preserve">技术指南 </w:t>
            </w:r>
            <w:r>
              <w:rPr>
                <w:rFonts w:hint="eastAsia"/>
                <w:color w:val="auto"/>
                <w:sz w:val="24"/>
                <w:highlight w:val="none"/>
                <w:lang w:eastAsia="zh-CN"/>
              </w:rPr>
              <w:t>火力发电及锅炉</w:t>
            </w:r>
            <w:r>
              <w:rPr>
                <w:color w:val="auto"/>
                <w:sz w:val="24"/>
                <w:highlight w:val="none"/>
              </w:rPr>
              <w:t>》（HJ820-2017）</w:t>
            </w:r>
            <w:r>
              <w:rPr>
                <w:rFonts w:hint="eastAsia"/>
                <w:color w:val="auto"/>
                <w:sz w:val="24"/>
                <w:highlight w:val="none"/>
              </w:rPr>
              <w:t>、《排污单位自行监测技术指南 总则》（HJ819-2017）中</w:t>
            </w:r>
            <w:r>
              <w:rPr>
                <w:color w:val="auto"/>
                <w:sz w:val="24"/>
                <w:szCs w:val="24"/>
                <w:highlight w:val="none"/>
              </w:rPr>
              <w:t>要求的监测点位、指标及频次相关内容进行监测，具体详见下表</w:t>
            </w:r>
            <w:r>
              <w:rPr>
                <w:rFonts w:hint="eastAsia"/>
                <w:color w:val="auto"/>
                <w:sz w:val="24"/>
                <w:szCs w:val="24"/>
                <w:highlight w:val="none"/>
              </w:rPr>
              <w:t>5-</w:t>
            </w:r>
            <w:r>
              <w:rPr>
                <w:rFonts w:hint="eastAsia"/>
                <w:color w:val="auto"/>
                <w:sz w:val="24"/>
                <w:szCs w:val="24"/>
                <w:highlight w:val="none"/>
                <w:lang w:val="en-US" w:eastAsia="zh-CN"/>
              </w:rPr>
              <w:t>2</w:t>
            </w:r>
            <w:r>
              <w:rPr>
                <w:color w:val="auto"/>
                <w:sz w:val="24"/>
                <w:szCs w:val="24"/>
                <w:highlight w:val="none"/>
              </w:rPr>
              <w:t>。</w:t>
            </w:r>
          </w:p>
          <w:p w14:paraId="4377BAA2">
            <w:pPr>
              <w:spacing w:line="360" w:lineRule="auto"/>
              <w:ind w:firstLine="482" w:firstLineChars="200"/>
              <w:jc w:val="center"/>
              <w:rPr>
                <w:b/>
                <w:bCs/>
                <w:color w:val="auto"/>
                <w:sz w:val="24"/>
                <w:highlight w:val="none"/>
              </w:rPr>
            </w:pPr>
            <w:r>
              <w:rPr>
                <w:b/>
                <w:bCs/>
                <w:color w:val="auto"/>
                <w:sz w:val="24"/>
                <w:highlight w:val="none"/>
              </w:rPr>
              <w:t>表</w:t>
            </w:r>
            <w:r>
              <w:rPr>
                <w:rFonts w:hint="eastAsia"/>
                <w:b/>
                <w:bCs/>
                <w:color w:val="auto"/>
                <w:sz w:val="24"/>
                <w:highlight w:val="none"/>
              </w:rPr>
              <w:t>5-</w:t>
            </w:r>
            <w:r>
              <w:rPr>
                <w:rFonts w:hint="eastAsia"/>
                <w:b/>
                <w:bCs/>
                <w:color w:val="auto"/>
                <w:sz w:val="24"/>
                <w:highlight w:val="none"/>
                <w:lang w:val="en-US" w:eastAsia="zh-CN"/>
              </w:rPr>
              <w:t>2</w:t>
            </w:r>
            <w:r>
              <w:rPr>
                <w:rFonts w:hint="eastAsia"/>
                <w:b/>
                <w:bCs/>
                <w:color w:val="auto"/>
                <w:sz w:val="24"/>
                <w:highlight w:val="none"/>
              </w:rPr>
              <w:t xml:space="preserve">  </w:t>
            </w:r>
            <w:r>
              <w:rPr>
                <w:b/>
                <w:bCs/>
                <w:color w:val="auto"/>
                <w:sz w:val="24"/>
                <w:highlight w:val="none"/>
              </w:rPr>
              <w:t>项目运营期污染源环境监测计划表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0"/>
              <w:gridCol w:w="1260"/>
              <w:gridCol w:w="1254"/>
              <w:gridCol w:w="924"/>
              <w:gridCol w:w="2731"/>
            </w:tblGrid>
            <w:tr w14:paraId="2D74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39" w:type="pct"/>
                  <w:vAlign w:val="center"/>
                </w:tcPr>
                <w:p w14:paraId="70A90ACA">
                  <w:pPr>
                    <w:jc w:val="center"/>
                    <w:rPr>
                      <w:color w:val="auto"/>
                      <w:szCs w:val="21"/>
                      <w:highlight w:val="none"/>
                    </w:rPr>
                  </w:pPr>
                  <w:r>
                    <w:rPr>
                      <w:color w:val="auto"/>
                      <w:szCs w:val="21"/>
                      <w:highlight w:val="none"/>
                    </w:rPr>
                    <w:t>内容</w:t>
                  </w:r>
                </w:p>
              </w:tc>
              <w:tc>
                <w:tcPr>
                  <w:tcW w:w="870" w:type="pct"/>
                  <w:vAlign w:val="center"/>
                </w:tcPr>
                <w:p w14:paraId="2D448AFE">
                  <w:pPr>
                    <w:jc w:val="center"/>
                    <w:rPr>
                      <w:color w:val="auto"/>
                      <w:szCs w:val="21"/>
                      <w:highlight w:val="none"/>
                    </w:rPr>
                  </w:pPr>
                  <w:r>
                    <w:rPr>
                      <w:color w:val="auto"/>
                      <w:szCs w:val="21"/>
                      <w:highlight w:val="none"/>
                    </w:rPr>
                    <w:t>监测点位</w:t>
                  </w:r>
                </w:p>
              </w:tc>
              <w:tc>
                <w:tcPr>
                  <w:tcW w:w="866" w:type="pct"/>
                  <w:vAlign w:val="center"/>
                </w:tcPr>
                <w:p w14:paraId="03C6C286">
                  <w:pPr>
                    <w:jc w:val="center"/>
                    <w:rPr>
                      <w:color w:val="auto"/>
                      <w:szCs w:val="21"/>
                      <w:highlight w:val="none"/>
                    </w:rPr>
                  </w:pPr>
                  <w:r>
                    <w:rPr>
                      <w:color w:val="auto"/>
                      <w:szCs w:val="21"/>
                      <w:highlight w:val="none"/>
                    </w:rPr>
                    <w:t>监测指标</w:t>
                  </w:r>
                </w:p>
              </w:tc>
              <w:tc>
                <w:tcPr>
                  <w:tcW w:w="638" w:type="pct"/>
                  <w:vAlign w:val="center"/>
                </w:tcPr>
                <w:p w14:paraId="364B5E44">
                  <w:pPr>
                    <w:jc w:val="center"/>
                    <w:rPr>
                      <w:color w:val="auto"/>
                      <w:szCs w:val="21"/>
                      <w:highlight w:val="none"/>
                    </w:rPr>
                  </w:pPr>
                  <w:r>
                    <w:rPr>
                      <w:color w:val="auto"/>
                      <w:szCs w:val="21"/>
                      <w:highlight w:val="none"/>
                    </w:rPr>
                    <w:t>监测频次</w:t>
                  </w:r>
                </w:p>
              </w:tc>
              <w:tc>
                <w:tcPr>
                  <w:tcW w:w="1886" w:type="pct"/>
                  <w:vAlign w:val="center"/>
                </w:tcPr>
                <w:p w14:paraId="353FF791">
                  <w:pPr>
                    <w:jc w:val="center"/>
                    <w:rPr>
                      <w:color w:val="auto"/>
                      <w:szCs w:val="21"/>
                      <w:highlight w:val="none"/>
                    </w:rPr>
                  </w:pPr>
                  <w:r>
                    <w:rPr>
                      <w:color w:val="auto"/>
                      <w:szCs w:val="21"/>
                      <w:highlight w:val="none"/>
                    </w:rPr>
                    <w:t>执行标准</w:t>
                  </w:r>
                </w:p>
              </w:tc>
            </w:tr>
            <w:tr w14:paraId="79C2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739" w:type="pct"/>
                  <w:vAlign w:val="center"/>
                </w:tcPr>
                <w:p w14:paraId="41105283">
                  <w:pPr>
                    <w:jc w:val="center"/>
                    <w:rPr>
                      <w:color w:val="auto"/>
                      <w:szCs w:val="21"/>
                      <w:highlight w:val="none"/>
                    </w:rPr>
                  </w:pPr>
                  <w:r>
                    <w:rPr>
                      <w:rFonts w:hint="eastAsia"/>
                      <w:color w:val="auto"/>
                      <w:szCs w:val="21"/>
                      <w:highlight w:val="none"/>
                    </w:rPr>
                    <w:t>有</w:t>
                  </w:r>
                  <w:r>
                    <w:rPr>
                      <w:color w:val="auto"/>
                      <w:szCs w:val="21"/>
                      <w:highlight w:val="none"/>
                    </w:rPr>
                    <w:t>组织废气</w:t>
                  </w:r>
                </w:p>
              </w:tc>
              <w:tc>
                <w:tcPr>
                  <w:tcW w:w="870" w:type="pct"/>
                  <w:vAlign w:val="center"/>
                </w:tcPr>
                <w:p w14:paraId="778711B0">
                  <w:pPr>
                    <w:jc w:val="center"/>
                    <w:rPr>
                      <w:color w:val="auto"/>
                      <w:szCs w:val="21"/>
                      <w:highlight w:val="none"/>
                    </w:rPr>
                  </w:pPr>
                  <w:r>
                    <w:rPr>
                      <w:rFonts w:hint="eastAsia"/>
                      <w:color w:val="auto"/>
                      <w:kern w:val="24"/>
                      <w:szCs w:val="21"/>
                      <w:highlight w:val="none"/>
                      <w:lang w:eastAsia="zh-CN"/>
                    </w:rPr>
                    <w:t>蒸汽发生器</w:t>
                  </w:r>
                  <w:r>
                    <w:rPr>
                      <w:rFonts w:hint="eastAsia"/>
                      <w:color w:val="auto"/>
                      <w:kern w:val="24"/>
                      <w:szCs w:val="21"/>
                      <w:highlight w:val="none"/>
                    </w:rPr>
                    <w:t>废气排放口（DA001）</w:t>
                  </w:r>
                </w:p>
              </w:tc>
              <w:tc>
                <w:tcPr>
                  <w:tcW w:w="866" w:type="pct"/>
                  <w:vAlign w:val="center"/>
                </w:tcPr>
                <w:p w14:paraId="3779B554">
                  <w:pPr>
                    <w:jc w:val="center"/>
                    <w:rPr>
                      <w:bCs/>
                      <w:color w:val="auto"/>
                      <w:szCs w:val="21"/>
                      <w:highlight w:val="none"/>
                    </w:rPr>
                  </w:pPr>
                  <w:r>
                    <w:rPr>
                      <w:color w:val="auto"/>
                      <w:kern w:val="0"/>
                      <w:szCs w:val="21"/>
                      <w:highlight w:val="none"/>
                      <w:lang w:bidi="ar"/>
                    </w:rPr>
                    <w:t>颗粒物、SO</w:t>
                  </w:r>
                  <w:r>
                    <w:rPr>
                      <w:color w:val="auto"/>
                      <w:kern w:val="0"/>
                      <w:szCs w:val="21"/>
                      <w:highlight w:val="none"/>
                      <w:vertAlign w:val="subscript"/>
                      <w:lang w:bidi="ar"/>
                    </w:rPr>
                    <w:t>2</w:t>
                  </w:r>
                  <w:r>
                    <w:rPr>
                      <w:color w:val="auto"/>
                      <w:kern w:val="0"/>
                      <w:szCs w:val="21"/>
                      <w:highlight w:val="none"/>
                      <w:lang w:bidi="ar"/>
                    </w:rPr>
                    <w:t>、NO</w:t>
                  </w:r>
                  <w:r>
                    <w:rPr>
                      <w:color w:val="auto"/>
                      <w:kern w:val="0"/>
                      <w:szCs w:val="21"/>
                      <w:highlight w:val="none"/>
                      <w:vertAlign w:val="subscript"/>
                      <w:lang w:bidi="ar"/>
                    </w:rPr>
                    <w:t>X</w:t>
                  </w:r>
                  <w:r>
                    <w:rPr>
                      <w:color w:val="auto"/>
                      <w:kern w:val="0"/>
                      <w:szCs w:val="21"/>
                      <w:highlight w:val="none"/>
                      <w:lang w:bidi="ar"/>
                    </w:rPr>
                    <w:t>、林格曼黑度</w:t>
                  </w:r>
                </w:p>
              </w:tc>
              <w:tc>
                <w:tcPr>
                  <w:tcW w:w="638" w:type="pct"/>
                  <w:vAlign w:val="center"/>
                </w:tcPr>
                <w:p w14:paraId="090D7B3B">
                  <w:pPr>
                    <w:jc w:val="center"/>
                    <w:rPr>
                      <w:b/>
                      <w:color w:val="auto"/>
                      <w:spacing w:val="-10"/>
                      <w:kern w:val="0"/>
                      <w:szCs w:val="21"/>
                      <w:highlight w:val="none"/>
                    </w:rPr>
                  </w:pPr>
                  <w:r>
                    <w:rPr>
                      <w:rFonts w:hint="eastAsia"/>
                      <w:color w:val="auto"/>
                      <w:szCs w:val="21"/>
                      <w:highlight w:val="none"/>
                    </w:rPr>
                    <w:t>1次/月</w:t>
                  </w:r>
                </w:p>
              </w:tc>
              <w:tc>
                <w:tcPr>
                  <w:tcW w:w="1886" w:type="pct"/>
                  <w:vAlign w:val="center"/>
                </w:tcPr>
                <w:p w14:paraId="058C2D2C">
                  <w:pPr>
                    <w:adjustRightInd w:val="0"/>
                    <w:snapToGrid w:val="0"/>
                    <w:jc w:val="center"/>
                    <w:rPr>
                      <w:color w:val="auto"/>
                      <w:szCs w:val="21"/>
                      <w:highlight w:val="none"/>
                    </w:rPr>
                  </w:pPr>
                  <w:r>
                    <w:rPr>
                      <w:color w:val="auto"/>
                      <w:szCs w:val="21"/>
                      <w:highlight w:val="none"/>
                    </w:rPr>
                    <w:t>《</w:t>
                  </w:r>
                  <w:r>
                    <w:rPr>
                      <w:rFonts w:hint="eastAsia"/>
                      <w:color w:val="auto"/>
                      <w:szCs w:val="21"/>
                      <w:highlight w:val="none"/>
                      <w:lang w:eastAsia="zh-CN"/>
                    </w:rPr>
                    <w:t>锅炉大气污染物排放标准</w:t>
                  </w:r>
                  <w:r>
                    <w:rPr>
                      <w:color w:val="auto"/>
                      <w:szCs w:val="21"/>
                      <w:highlight w:val="none"/>
                    </w:rPr>
                    <w:t>》</w:t>
                  </w:r>
                </w:p>
                <w:p w14:paraId="1673D167">
                  <w:pPr>
                    <w:jc w:val="center"/>
                    <w:rPr>
                      <w:rFonts w:hint="eastAsia" w:eastAsia="宋体"/>
                      <w:color w:val="auto"/>
                      <w:szCs w:val="21"/>
                      <w:highlight w:val="none"/>
                      <w:lang w:eastAsia="zh-CN"/>
                    </w:rPr>
                  </w:pPr>
                  <w:r>
                    <w:rPr>
                      <w:color w:val="auto"/>
                      <w:szCs w:val="21"/>
                      <w:highlight w:val="none"/>
                    </w:rPr>
                    <w:t>（GB13271-2014）中新</w:t>
                  </w:r>
                  <w:r>
                    <w:rPr>
                      <w:rFonts w:hint="eastAsia"/>
                      <w:color w:val="auto"/>
                      <w:szCs w:val="21"/>
                      <w:highlight w:val="none"/>
                      <w:lang w:eastAsia="zh-CN"/>
                    </w:rPr>
                    <w:t>建燃</w:t>
                  </w:r>
                  <w:r>
                    <w:rPr>
                      <w:rFonts w:hint="eastAsia"/>
                      <w:color w:val="auto"/>
                      <w:szCs w:val="21"/>
                      <w:highlight w:val="none"/>
                      <w:lang w:val="en-US" w:eastAsia="zh-CN"/>
                    </w:rPr>
                    <w:t>煤</w:t>
                  </w:r>
                  <w:r>
                    <w:rPr>
                      <w:rFonts w:hint="eastAsia"/>
                      <w:color w:val="auto"/>
                      <w:szCs w:val="21"/>
                      <w:highlight w:val="none"/>
                      <w:lang w:eastAsia="zh-CN"/>
                    </w:rPr>
                    <w:t>锅炉大气污染物排放限值</w:t>
                  </w:r>
                </w:p>
              </w:tc>
            </w:tr>
            <w:tr w14:paraId="796B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739" w:type="pct"/>
                  <w:vAlign w:val="center"/>
                </w:tcPr>
                <w:p w14:paraId="0E281B1A">
                  <w:pPr>
                    <w:jc w:val="center"/>
                    <w:rPr>
                      <w:color w:val="auto"/>
                      <w:szCs w:val="21"/>
                      <w:highlight w:val="none"/>
                    </w:rPr>
                  </w:pPr>
                  <w:r>
                    <w:rPr>
                      <w:rFonts w:hint="eastAsia"/>
                      <w:color w:val="auto"/>
                      <w:szCs w:val="21"/>
                      <w:highlight w:val="none"/>
                    </w:rPr>
                    <w:t>无组织废气</w:t>
                  </w:r>
                </w:p>
              </w:tc>
              <w:tc>
                <w:tcPr>
                  <w:tcW w:w="870" w:type="pct"/>
                  <w:vAlign w:val="center"/>
                </w:tcPr>
                <w:p w14:paraId="456FCAEA">
                  <w:pPr>
                    <w:jc w:val="center"/>
                    <w:rPr>
                      <w:bCs/>
                      <w:color w:val="auto"/>
                      <w:szCs w:val="21"/>
                      <w:highlight w:val="none"/>
                    </w:rPr>
                  </w:pPr>
                  <w:r>
                    <w:rPr>
                      <w:rFonts w:hint="eastAsia"/>
                      <w:color w:val="auto"/>
                      <w:szCs w:val="21"/>
                      <w:highlight w:val="none"/>
                    </w:rPr>
                    <w:t>厂界下风向</w:t>
                  </w:r>
                </w:p>
              </w:tc>
              <w:tc>
                <w:tcPr>
                  <w:tcW w:w="866" w:type="pct"/>
                  <w:vAlign w:val="center"/>
                </w:tcPr>
                <w:p w14:paraId="3E312A41">
                  <w:pPr>
                    <w:jc w:val="center"/>
                    <w:rPr>
                      <w:bCs/>
                      <w:color w:val="auto"/>
                      <w:szCs w:val="21"/>
                      <w:highlight w:val="none"/>
                    </w:rPr>
                  </w:pPr>
                  <w:r>
                    <w:rPr>
                      <w:rFonts w:eastAsiaTheme="minorEastAsia"/>
                      <w:color w:val="auto"/>
                      <w:kern w:val="24"/>
                      <w:szCs w:val="21"/>
                      <w:highlight w:val="none"/>
                    </w:rPr>
                    <w:t>颗粒物</w:t>
                  </w:r>
                </w:p>
              </w:tc>
              <w:tc>
                <w:tcPr>
                  <w:tcW w:w="638" w:type="pct"/>
                  <w:vAlign w:val="center"/>
                </w:tcPr>
                <w:p w14:paraId="3CE00B5F">
                  <w:pPr>
                    <w:jc w:val="center"/>
                    <w:rPr>
                      <w:bCs/>
                      <w:color w:val="auto"/>
                      <w:spacing w:val="-10"/>
                      <w:kern w:val="0"/>
                      <w:szCs w:val="21"/>
                      <w:highlight w:val="none"/>
                    </w:rPr>
                  </w:pPr>
                  <w:r>
                    <w:rPr>
                      <w:color w:val="auto"/>
                      <w:kern w:val="0"/>
                      <w:szCs w:val="21"/>
                      <w:highlight w:val="none"/>
                      <w:lang w:bidi="ar"/>
                    </w:rPr>
                    <w:t>1次/季</w:t>
                  </w:r>
                  <w:r>
                    <w:rPr>
                      <w:rFonts w:hint="eastAsia"/>
                      <w:color w:val="auto"/>
                      <w:kern w:val="0"/>
                      <w:szCs w:val="21"/>
                      <w:highlight w:val="none"/>
                      <w:lang w:bidi="ar"/>
                    </w:rPr>
                    <w:t>度</w:t>
                  </w:r>
                </w:p>
              </w:tc>
              <w:tc>
                <w:tcPr>
                  <w:tcW w:w="1886" w:type="pct"/>
                  <w:vAlign w:val="center"/>
                </w:tcPr>
                <w:p w14:paraId="7DD18E1C">
                  <w:pPr>
                    <w:jc w:val="center"/>
                    <w:rPr>
                      <w:bCs/>
                      <w:color w:val="auto"/>
                      <w:szCs w:val="21"/>
                      <w:highlight w:val="none"/>
                    </w:rPr>
                  </w:pPr>
                  <w:r>
                    <w:rPr>
                      <w:rFonts w:hint="eastAsia"/>
                      <w:color w:val="auto"/>
                      <w:szCs w:val="21"/>
                      <w:highlight w:val="none"/>
                    </w:rPr>
                    <w:t>《大气污染物综合排放标准》（GB16297-1996）中表2无组织排放监控浓度限值</w:t>
                  </w:r>
                </w:p>
              </w:tc>
            </w:tr>
            <w:tr w14:paraId="744B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pct"/>
                  <w:vAlign w:val="center"/>
                </w:tcPr>
                <w:p w14:paraId="6FA78B6C">
                  <w:pPr>
                    <w:jc w:val="center"/>
                    <w:rPr>
                      <w:color w:val="auto"/>
                      <w:szCs w:val="21"/>
                      <w:highlight w:val="none"/>
                    </w:rPr>
                  </w:pPr>
                  <w:r>
                    <w:rPr>
                      <w:color w:val="auto"/>
                      <w:szCs w:val="21"/>
                      <w:highlight w:val="none"/>
                    </w:rPr>
                    <w:t>厂界噪声</w:t>
                  </w:r>
                </w:p>
              </w:tc>
              <w:tc>
                <w:tcPr>
                  <w:tcW w:w="870" w:type="pct"/>
                  <w:vAlign w:val="center"/>
                </w:tcPr>
                <w:p w14:paraId="0F983DF3">
                  <w:pPr>
                    <w:adjustRightInd w:val="0"/>
                    <w:snapToGrid w:val="0"/>
                    <w:jc w:val="center"/>
                    <w:textAlignment w:val="baseline"/>
                    <w:rPr>
                      <w:color w:val="auto"/>
                      <w:szCs w:val="21"/>
                      <w:highlight w:val="none"/>
                    </w:rPr>
                  </w:pPr>
                  <w:r>
                    <w:rPr>
                      <w:rFonts w:hint="eastAsia"/>
                      <w:color w:val="auto"/>
                      <w:szCs w:val="21"/>
                      <w:highlight w:val="none"/>
                    </w:rPr>
                    <w:t>东、南、西、北厂界</w:t>
                  </w:r>
                </w:p>
              </w:tc>
              <w:tc>
                <w:tcPr>
                  <w:tcW w:w="866" w:type="pct"/>
                  <w:vAlign w:val="center"/>
                </w:tcPr>
                <w:p w14:paraId="3A20151B">
                  <w:pPr>
                    <w:adjustRightInd w:val="0"/>
                    <w:snapToGrid w:val="0"/>
                    <w:jc w:val="center"/>
                    <w:textAlignment w:val="baseline"/>
                    <w:rPr>
                      <w:color w:val="auto"/>
                      <w:szCs w:val="21"/>
                      <w:highlight w:val="none"/>
                    </w:rPr>
                  </w:pPr>
                  <w:r>
                    <w:rPr>
                      <w:rFonts w:hint="eastAsia"/>
                      <w:color w:val="auto"/>
                      <w:szCs w:val="21"/>
                      <w:highlight w:val="none"/>
                    </w:rPr>
                    <w:t>昼间、夜间等效A声级</w:t>
                  </w:r>
                </w:p>
              </w:tc>
              <w:tc>
                <w:tcPr>
                  <w:tcW w:w="638" w:type="pct"/>
                  <w:vAlign w:val="center"/>
                </w:tcPr>
                <w:p w14:paraId="0F6EB896">
                  <w:pPr>
                    <w:adjustRightInd w:val="0"/>
                    <w:snapToGrid w:val="0"/>
                    <w:jc w:val="center"/>
                    <w:textAlignment w:val="baseline"/>
                    <w:rPr>
                      <w:color w:val="auto"/>
                      <w:szCs w:val="21"/>
                      <w:highlight w:val="none"/>
                    </w:rPr>
                  </w:pPr>
                  <w:r>
                    <w:rPr>
                      <w:rFonts w:hint="eastAsia"/>
                      <w:color w:val="auto"/>
                      <w:szCs w:val="21"/>
                      <w:highlight w:val="none"/>
                    </w:rPr>
                    <w:t>1次/季度</w:t>
                  </w:r>
                </w:p>
              </w:tc>
              <w:tc>
                <w:tcPr>
                  <w:tcW w:w="1886" w:type="pct"/>
                  <w:vAlign w:val="center"/>
                </w:tcPr>
                <w:p w14:paraId="4EF34759">
                  <w:pPr>
                    <w:adjustRightInd w:val="0"/>
                    <w:snapToGrid w:val="0"/>
                    <w:jc w:val="center"/>
                    <w:textAlignment w:val="baseline"/>
                    <w:rPr>
                      <w:color w:val="auto"/>
                      <w:szCs w:val="21"/>
                      <w:highlight w:val="none"/>
                    </w:rPr>
                  </w:pPr>
                  <w:r>
                    <w:rPr>
                      <w:rFonts w:hint="eastAsia"/>
                      <w:color w:val="auto"/>
                      <w:szCs w:val="21"/>
                      <w:highlight w:val="none"/>
                    </w:rPr>
                    <w:t>《工业企业厂界环境噪声排放标准》（GB12348-2008）2类标准限值</w:t>
                  </w:r>
                </w:p>
              </w:tc>
            </w:tr>
          </w:tbl>
          <w:p w14:paraId="4F82397C">
            <w:pPr>
              <w:adjustRightInd w:val="0"/>
              <w:snapToGrid w:val="0"/>
              <w:spacing w:line="360" w:lineRule="auto"/>
              <w:rPr>
                <w:color w:val="auto"/>
                <w:sz w:val="24"/>
                <w:highlight w:val="none"/>
              </w:rPr>
            </w:pPr>
          </w:p>
          <w:p w14:paraId="09B2050A">
            <w:pPr>
              <w:adjustRightInd w:val="0"/>
              <w:snapToGrid w:val="0"/>
              <w:spacing w:line="360" w:lineRule="auto"/>
              <w:rPr>
                <w:color w:val="auto"/>
                <w:sz w:val="24"/>
                <w:highlight w:val="none"/>
              </w:rPr>
            </w:pPr>
          </w:p>
          <w:p w14:paraId="3C1EA313">
            <w:pPr>
              <w:adjustRightInd w:val="0"/>
              <w:snapToGrid w:val="0"/>
              <w:spacing w:line="360" w:lineRule="auto"/>
              <w:rPr>
                <w:color w:val="auto"/>
                <w:sz w:val="24"/>
                <w:highlight w:val="none"/>
              </w:rPr>
            </w:pPr>
          </w:p>
          <w:p w14:paraId="6868C8F6">
            <w:pPr>
              <w:adjustRightInd w:val="0"/>
              <w:snapToGrid w:val="0"/>
              <w:spacing w:line="360" w:lineRule="auto"/>
              <w:rPr>
                <w:color w:val="auto"/>
                <w:sz w:val="24"/>
                <w:highlight w:val="none"/>
              </w:rPr>
            </w:pPr>
          </w:p>
          <w:p w14:paraId="2E98D1D0">
            <w:pPr>
              <w:adjustRightInd w:val="0"/>
              <w:snapToGrid w:val="0"/>
              <w:spacing w:line="360" w:lineRule="auto"/>
              <w:rPr>
                <w:color w:val="auto"/>
                <w:sz w:val="24"/>
                <w:highlight w:val="none"/>
              </w:rPr>
            </w:pPr>
          </w:p>
          <w:p w14:paraId="34FFD63E">
            <w:pPr>
              <w:adjustRightInd w:val="0"/>
              <w:snapToGrid w:val="0"/>
              <w:spacing w:line="360" w:lineRule="auto"/>
              <w:rPr>
                <w:color w:val="auto"/>
                <w:sz w:val="24"/>
                <w:highlight w:val="none"/>
              </w:rPr>
            </w:pPr>
          </w:p>
        </w:tc>
      </w:tr>
    </w:tbl>
    <w:p w14:paraId="120A1ED4">
      <w:pPr>
        <w:pStyle w:val="22"/>
        <w:jc w:val="center"/>
        <w:outlineLvl w:val="0"/>
        <w:rPr>
          <w:rFonts w:ascii="Times New Roman" w:hAnsi="Times New Roman" w:eastAsia="黑体"/>
          <w:snapToGrid w:val="0"/>
          <w:color w:val="auto"/>
          <w:sz w:val="30"/>
          <w:szCs w:val="30"/>
          <w:highlight w:val="none"/>
        </w:rPr>
      </w:pPr>
      <w:r>
        <w:rPr>
          <w:rFonts w:ascii="Times New Roman" w:hAnsi="Times New Roman"/>
          <w:snapToGrid w:val="0"/>
          <w:color w:val="auto"/>
          <w:highlight w:val="none"/>
        </w:rPr>
        <w:br w:type="page"/>
      </w:r>
      <w:bookmarkStart w:id="42" w:name="_Toc20079"/>
      <w:r>
        <w:rPr>
          <w:rFonts w:ascii="Times New Roman" w:hAnsi="黑体" w:eastAsia="黑体"/>
          <w:snapToGrid w:val="0"/>
          <w:color w:val="auto"/>
          <w:sz w:val="30"/>
          <w:szCs w:val="30"/>
          <w:highlight w:val="none"/>
        </w:rPr>
        <w:t>六、结论</w:t>
      </w:r>
      <w:bookmarkEnd w:id="42"/>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6E6A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79217417">
            <w:pPr>
              <w:pStyle w:val="22"/>
              <w:adjustRightInd w:val="0"/>
              <w:snapToGrid w:val="0"/>
              <w:spacing w:beforeAutospacing="0" w:afterAutospacing="0" w:line="360" w:lineRule="auto"/>
              <w:ind w:firstLine="480" w:firstLineChars="200"/>
              <w:jc w:val="both"/>
              <w:rPr>
                <w:rFonts w:hint="eastAsia" w:ascii="Times New Roman" w:hAnsi="Times New Roman" w:eastAsia="宋体" w:cs="Times New Roman"/>
                <w:b w:val="0"/>
                <w:bCs w:val="0"/>
                <w:color w:val="auto"/>
                <w:sz w:val="24"/>
                <w:szCs w:val="24"/>
              </w:rPr>
            </w:pPr>
            <w:r>
              <w:rPr>
                <w:rFonts w:hint="eastAsia" w:ascii="Times New Roman" w:hAnsi="Times New Roman"/>
                <w:color w:val="auto"/>
                <w:szCs w:val="24"/>
              </w:rPr>
              <w:t>本项目的建设</w:t>
            </w:r>
            <w:r>
              <w:rPr>
                <w:color w:val="auto"/>
                <w:kern w:val="24"/>
              </w:rPr>
              <w:t>符合</w:t>
            </w:r>
            <w:r>
              <w:rPr>
                <w:rFonts w:hint="eastAsia"/>
                <w:color w:val="auto"/>
                <w:kern w:val="24"/>
              </w:rPr>
              <w:t>所在地“三线一单”（生态保护红线、环境质量底线、资源利用上线和生态环境准入清单）中相关要求，符合相关生态环境保护法律法规政策。符合</w:t>
            </w:r>
            <w:r>
              <w:rPr>
                <w:rFonts w:hint="eastAsia" w:ascii="Times New Roman" w:hAnsi="Times New Roman"/>
                <w:color w:val="auto"/>
                <w:szCs w:val="24"/>
              </w:rPr>
              <w:t>国家产业政策，选址合理，通过对项目所在地区的环境现状以及项目产生的环境影响进行分析，</w:t>
            </w:r>
            <w:r>
              <w:rPr>
                <w:color w:val="auto"/>
                <w:kern w:val="24"/>
              </w:rPr>
              <w:t>项目运营期产生的废气、废水、噪声、固废通过采取相应的措施处理、处置后，能够达标排放，不会对项目区及外环境造成大的影响。通过</w:t>
            </w:r>
            <w:r>
              <w:rPr>
                <w:rFonts w:hint="eastAsia"/>
                <w:color w:val="auto"/>
                <w:kern w:val="24"/>
              </w:rPr>
              <w:t>本</w:t>
            </w:r>
            <w:r>
              <w:rPr>
                <w:color w:val="auto"/>
                <w:kern w:val="24"/>
              </w:rPr>
              <w:t>分析，项目采取的污染控制措施有效、可行。在认真落实环评中提出的污染防治对策措施，保证治理设施正常运转，确保污染物达标排放的情况下，项目建设不会降低和改变该区域的环境质量和环境功能。从环境保护角度看，项目的建设是可行的。</w:t>
            </w:r>
          </w:p>
          <w:p w14:paraId="6AE8E8D8">
            <w:pPr>
              <w:spacing w:line="360" w:lineRule="auto"/>
              <w:ind w:firstLine="480" w:firstLineChars="200"/>
              <w:rPr>
                <w:color w:val="auto"/>
                <w:sz w:val="24"/>
                <w:highlight w:val="none"/>
              </w:rPr>
            </w:pPr>
          </w:p>
        </w:tc>
      </w:tr>
    </w:tbl>
    <w:p w14:paraId="32462BEA">
      <w:pPr>
        <w:rPr>
          <w:color w:val="auto"/>
          <w:highlight w:val="none"/>
        </w:rPr>
        <w:sectPr>
          <w:pgSz w:w="11906" w:h="16838"/>
          <w:pgMar w:top="1701" w:right="1531" w:bottom="1701" w:left="1531" w:header="851" w:footer="851" w:gutter="0"/>
          <w:pgNumType w:fmt="decimal"/>
          <w:cols w:space="720" w:num="1"/>
          <w:docGrid w:linePitch="312" w:charSpace="0"/>
        </w:sectPr>
      </w:pPr>
    </w:p>
    <w:p w14:paraId="603A0E02">
      <w:pPr>
        <w:pStyle w:val="22"/>
        <w:adjustRightInd w:val="0"/>
        <w:snapToGrid w:val="0"/>
        <w:spacing w:before="0" w:beforeAutospacing="0" w:after="0" w:afterAutospacing="0"/>
        <w:outlineLvl w:val="0"/>
        <w:rPr>
          <w:rFonts w:ascii="Times New Roman" w:hAnsi="Times New Roman" w:eastAsia="黑体"/>
          <w:snapToGrid w:val="0"/>
          <w:color w:val="auto"/>
          <w:sz w:val="32"/>
          <w:szCs w:val="32"/>
          <w:highlight w:val="none"/>
        </w:rPr>
      </w:pPr>
      <w:bookmarkStart w:id="43" w:name="_Toc18241"/>
      <w:r>
        <w:rPr>
          <w:rFonts w:ascii="Times New Roman" w:hAnsi="黑体" w:eastAsia="黑体"/>
          <w:snapToGrid w:val="0"/>
          <w:color w:val="auto"/>
          <w:sz w:val="32"/>
          <w:szCs w:val="32"/>
          <w:highlight w:val="none"/>
        </w:rPr>
        <w:t>附表</w:t>
      </w:r>
      <w:bookmarkEnd w:id="43"/>
    </w:p>
    <w:p w14:paraId="7134CFE3">
      <w:pPr>
        <w:pStyle w:val="22"/>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highlight w:val="none"/>
        </w:rPr>
      </w:pPr>
      <w:bookmarkStart w:id="44" w:name="_Toc3557"/>
      <w:r>
        <w:rPr>
          <w:rFonts w:ascii="Times New Roman" w:hAnsi="Times New Roman" w:eastAsia="方正小标宋_GBK"/>
          <w:snapToGrid w:val="0"/>
          <w:color w:val="auto"/>
          <w:sz w:val="38"/>
          <w:szCs w:val="38"/>
          <w:highlight w:val="none"/>
        </w:rPr>
        <w:t>建设项目污染物排放量汇总表</w:t>
      </w:r>
      <w:bookmarkEnd w:id="44"/>
    </w:p>
    <w:tbl>
      <w:tblPr>
        <w:tblStyle w:val="26"/>
        <w:tblW w:w="140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576"/>
        <w:gridCol w:w="1600"/>
        <w:gridCol w:w="1711"/>
        <w:gridCol w:w="1701"/>
        <w:gridCol w:w="1559"/>
        <w:gridCol w:w="1761"/>
        <w:gridCol w:w="1742"/>
        <w:gridCol w:w="1304"/>
      </w:tblGrid>
      <w:tr w14:paraId="53032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95" w:type="dxa"/>
            <w:tcBorders>
              <w:tl2br w:val="single" w:color="auto" w:sz="4" w:space="0"/>
            </w:tcBorders>
            <w:tcMar>
              <w:left w:w="28" w:type="dxa"/>
              <w:right w:w="28" w:type="dxa"/>
            </w:tcMar>
            <w:vAlign w:val="center"/>
          </w:tcPr>
          <w:p w14:paraId="34D2981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项目</w:t>
            </w:r>
          </w:p>
          <w:p w14:paraId="1864F52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分类</w:t>
            </w:r>
          </w:p>
        </w:tc>
        <w:tc>
          <w:tcPr>
            <w:tcW w:w="1576" w:type="dxa"/>
            <w:tcMar>
              <w:left w:w="28" w:type="dxa"/>
              <w:right w:w="28" w:type="dxa"/>
            </w:tcMar>
            <w:vAlign w:val="center"/>
          </w:tcPr>
          <w:p w14:paraId="539AFEA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污染物名称</w:t>
            </w:r>
          </w:p>
        </w:tc>
        <w:tc>
          <w:tcPr>
            <w:tcW w:w="1600" w:type="dxa"/>
            <w:tcMar>
              <w:left w:w="28" w:type="dxa"/>
              <w:right w:w="28" w:type="dxa"/>
            </w:tcMar>
            <w:vAlign w:val="center"/>
          </w:tcPr>
          <w:p w14:paraId="17BEAD9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现有工程</w:t>
            </w:r>
          </w:p>
          <w:p w14:paraId="6778C8CB">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排放量（固体废物产生量）</w:t>
            </w: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1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color w:val="auto"/>
                <w:kern w:val="2"/>
                <w:sz w:val="20"/>
                <w:szCs w:val="20"/>
                <w:highlight w:val="none"/>
              </w:rPr>
              <w:t>①</w:t>
            </w:r>
            <w:r>
              <w:rPr>
                <w:rFonts w:hint="eastAsia" w:ascii="宋体" w:hAnsi="宋体" w:eastAsia="宋体" w:cs="宋体"/>
                <w:snapToGrid w:val="0"/>
                <w:color w:val="auto"/>
                <w:spacing w:val="-6"/>
                <w:kern w:val="21"/>
                <w:sz w:val="20"/>
                <w:szCs w:val="20"/>
                <w:highlight w:val="none"/>
              </w:rPr>
              <w:fldChar w:fldCharType="end"/>
            </w:r>
          </w:p>
        </w:tc>
        <w:tc>
          <w:tcPr>
            <w:tcW w:w="1711" w:type="dxa"/>
            <w:tcMar>
              <w:left w:w="28" w:type="dxa"/>
              <w:right w:w="28" w:type="dxa"/>
            </w:tcMar>
            <w:vAlign w:val="center"/>
          </w:tcPr>
          <w:p w14:paraId="1C6683D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现有工程</w:t>
            </w:r>
          </w:p>
          <w:p w14:paraId="70D4111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许可排放量</w:t>
            </w:r>
          </w:p>
          <w:p w14:paraId="52D9E514">
            <w:pPr>
              <w:pStyle w:val="48"/>
              <w:keepNext w:val="0"/>
              <w:keepLines w:val="0"/>
              <w:pageBreakBefore w:val="0"/>
              <w:widowControl w:val="0"/>
              <w:kinsoku/>
              <w:wordWrap/>
              <w:overflowPunct/>
              <w:topLinePunct w:val="0"/>
              <w:autoSpaceDE/>
              <w:autoSpaceDN/>
              <w:bidi w:val="0"/>
              <w:adjustRightInd w:val="0"/>
              <w:snapToGrid w:val="0"/>
              <w:spacing w:beforeLines="0" w:afterLines="0"/>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2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snapToGrid w:val="0"/>
                <w:color w:val="auto"/>
                <w:spacing w:val="-6"/>
                <w:kern w:val="21"/>
                <w:sz w:val="20"/>
                <w:szCs w:val="20"/>
                <w:highlight w:val="none"/>
              </w:rPr>
              <w:t>②</w:t>
            </w:r>
            <w:r>
              <w:rPr>
                <w:rFonts w:hint="eastAsia" w:ascii="宋体" w:hAnsi="宋体" w:eastAsia="宋体" w:cs="宋体"/>
                <w:snapToGrid w:val="0"/>
                <w:color w:val="auto"/>
                <w:spacing w:val="-6"/>
                <w:kern w:val="21"/>
                <w:sz w:val="20"/>
                <w:szCs w:val="20"/>
                <w:highlight w:val="none"/>
              </w:rPr>
              <w:fldChar w:fldCharType="end"/>
            </w:r>
          </w:p>
        </w:tc>
        <w:tc>
          <w:tcPr>
            <w:tcW w:w="1701" w:type="dxa"/>
            <w:tcMar>
              <w:left w:w="28" w:type="dxa"/>
              <w:right w:w="28" w:type="dxa"/>
            </w:tcMar>
            <w:vAlign w:val="center"/>
          </w:tcPr>
          <w:p w14:paraId="12997BA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在建工程</w:t>
            </w:r>
          </w:p>
          <w:p w14:paraId="5DAB17C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排放量（固体废物产生量）</w:t>
            </w: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3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color w:val="auto"/>
                <w:kern w:val="2"/>
                <w:sz w:val="20"/>
                <w:szCs w:val="20"/>
                <w:highlight w:val="none"/>
              </w:rPr>
              <w:t>③</w:t>
            </w:r>
            <w:r>
              <w:rPr>
                <w:rFonts w:hint="eastAsia" w:ascii="宋体" w:hAnsi="宋体" w:eastAsia="宋体" w:cs="宋体"/>
                <w:snapToGrid w:val="0"/>
                <w:color w:val="auto"/>
                <w:spacing w:val="-6"/>
                <w:kern w:val="21"/>
                <w:sz w:val="20"/>
                <w:szCs w:val="20"/>
                <w:highlight w:val="none"/>
              </w:rPr>
              <w:fldChar w:fldCharType="end"/>
            </w:r>
          </w:p>
        </w:tc>
        <w:tc>
          <w:tcPr>
            <w:tcW w:w="1559" w:type="dxa"/>
            <w:tcMar>
              <w:left w:w="28" w:type="dxa"/>
              <w:right w:w="28" w:type="dxa"/>
            </w:tcMar>
            <w:vAlign w:val="center"/>
          </w:tcPr>
          <w:p w14:paraId="74975F6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本项目</w:t>
            </w:r>
          </w:p>
          <w:p w14:paraId="27B9119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排放量（固体废物产生量）</w:t>
            </w: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4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color w:val="auto"/>
                <w:kern w:val="2"/>
                <w:sz w:val="20"/>
                <w:szCs w:val="20"/>
                <w:highlight w:val="none"/>
              </w:rPr>
              <w:t>④</w:t>
            </w:r>
            <w:r>
              <w:rPr>
                <w:rFonts w:hint="eastAsia" w:ascii="宋体" w:hAnsi="宋体" w:eastAsia="宋体" w:cs="宋体"/>
                <w:snapToGrid w:val="0"/>
                <w:color w:val="auto"/>
                <w:spacing w:val="-6"/>
                <w:kern w:val="21"/>
                <w:sz w:val="20"/>
                <w:szCs w:val="20"/>
                <w:highlight w:val="none"/>
              </w:rPr>
              <w:fldChar w:fldCharType="end"/>
            </w:r>
          </w:p>
        </w:tc>
        <w:tc>
          <w:tcPr>
            <w:tcW w:w="1761" w:type="dxa"/>
            <w:tcMar>
              <w:left w:w="28" w:type="dxa"/>
              <w:right w:w="28" w:type="dxa"/>
            </w:tcMar>
            <w:vAlign w:val="center"/>
          </w:tcPr>
          <w:p w14:paraId="7A803DCB">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16"/>
                <w:kern w:val="21"/>
                <w:sz w:val="20"/>
                <w:szCs w:val="20"/>
                <w:highlight w:val="none"/>
              </w:rPr>
            </w:pPr>
            <w:r>
              <w:rPr>
                <w:rFonts w:hint="eastAsia" w:ascii="宋体" w:hAnsi="宋体" w:eastAsia="宋体" w:cs="宋体"/>
                <w:snapToGrid w:val="0"/>
                <w:color w:val="auto"/>
                <w:spacing w:val="-16"/>
                <w:kern w:val="21"/>
                <w:sz w:val="20"/>
                <w:szCs w:val="20"/>
                <w:highlight w:val="none"/>
              </w:rPr>
              <w:t>以新带老削减量</w:t>
            </w:r>
          </w:p>
          <w:p w14:paraId="00CCBB5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16"/>
                <w:kern w:val="21"/>
                <w:sz w:val="20"/>
                <w:szCs w:val="20"/>
                <w:highlight w:val="none"/>
              </w:rPr>
            </w:pPr>
            <w:r>
              <w:rPr>
                <w:rFonts w:hint="eastAsia" w:ascii="宋体" w:hAnsi="宋体" w:eastAsia="宋体" w:cs="宋体"/>
                <w:snapToGrid w:val="0"/>
                <w:color w:val="auto"/>
                <w:spacing w:val="-16"/>
                <w:kern w:val="21"/>
                <w:sz w:val="20"/>
                <w:szCs w:val="20"/>
                <w:highlight w:val="none"/>
              </w:rPr>
              <w:t>（新建项目不填）</w:t>
            </w:r>
            <w:r>
              <w:rPr>
                <w:rFonts w:hint="eastAsia" w:ascii="宋体" w:hAnsi="宋体" w:eastAsia="宋体" w:cs="宋体"/>
                <w:snapToGrid w:val="0"/>
                <w:color w:val="auto"/>
                <w:spacing w:val="-16"/>
                <w:kern w:val="21"/>
                <w:sz w:val="20"/>
                <w:szCs w:val="20"/>
                <w:highlight w:val="none"/>
              </w:rPr>
              <w:fldChar w:fldCharType="begin"/>
            </w:r>
            <w:r>
              <w:rPr>
                <w:rFonts w:hint="eastAsia" w:ascii="宋体" w:hAnsi="宋体" w:eastAsia="宋体" w:cs="宋体"/>
                <w:snapToGrid w:val="0"/>
                <w:color w:val="auto"/>
                <w:spacing w:val="-16"/>
                <w:kern w:val="21"/>
                <w:sz w:val="20"/>
                <w:szCs w:val="20"/>
                <w:highlight w:val="none"/>
              </w:rPr>
              <w:instrText xml:space="preserve"> = 5 \* GB3 \* MERGEFORMAT </w:instrText>
            </w:r>
            <w:r>
              <w:rPr>
                <w:rFonts w:hint="eastAsia" w:ascii="宋体" w:hAnsi="宋体" w:eastAsia="宋体" w:cs="宋体"/>
                <w:snapToGrid w:val="0"/>
                <w:color w:val="auto"/>
                <w:spacing w:val="-16"/>
                <w:kern w:val="21"/>
                <w:sz w:val="20"/>
                <w:szCs w:val="20"/>
                <w:highlight w:val="none"/>
              </w:rPr>
              <w:fldChar w:fldCharType="separate"/>
            </w:r>
            <w:r>
              <w:rPr>
                <w:rFonts w:hint="eastAsia" w:ascii="宋体" w:hAnsi="宋体" w:eastAsia="宋体" w:cs="宋体"/>
                <w:color w:val="auto"/>
                <w:kern w:val="2"/>
                <w:sz w:val="20"/>
                <w:szCs w:val="20"/>
                <w:highlight w:val="none"/>
              </w:rPr>
              <w:t>⑤</w:t>
            </w:r>
            <w:r>
              <w:rPr>
                <w:rFonts w:hint="eastAsia" w:ascii="宋体" w:hAnsi="宋体" w:eastAsia="宋体" w:cs="宋体"/>
                <w:snapToGrid w:val="0"/>
                <w:color w:val="auto"/>
                <w:spacing w:val="-16"/>
                <w:kern w:val="21"/>
                <w:sz w:val="20"/>
                <w:szCs w:val="20"/>
                <w:highlight w:val="none"/>
              </w:rPr>
              <w:fldChar w:fldCharType="end"/>
            </w:r>
          </w:p>
        </w:tc>
        <w:tc>
          <w:tcPr>
            <w:tcW w:w="1742" w:type="dxa"/>
            <w:tcMar>
              <w:left w:w="28" w:type="dxa"/>
              <w:right w:w="28" w:type="dxa"/>
            </w:tcMar>
            <w:vAlign w:val="center"/>
          </w:tcPr>
          <w:p w14:paraId="19A9E8A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16"/>
                <w:kern w:val="21"/>
                <w:sz w:val="20"/>
                <w:szCs w:val="20"/>
                <w:highlight w:val="none"/>
              </w:rPr>
            </w:pPr>
            <w:r>
              <w:rPr>
                <w:rFonts w:hint="eastAsia" w:ascii="宋体" w:hAnsi="宋体" w:eastAsia="宋体" w:cs="宋体"/>
                <w:snapToGrid w:val="0"/>
                <w:color w:val="auto"/>
                <w:spacing w:val="-16"/>
                <w:kern w:val="21"/>
                <w:sz w:val="20"/>
                <w:szCs w:val="20"/>
                <w:highlight w:val="none"/>
              </w:rPr>
              <w:t>本项目建成后</w:t>
            </w:r>
          </w:p>
          <w:p w14:paraId="16A737D6">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16"/>
                <w:kern w:val="21"/>
                <w:sz w:val="20"/>
                <w:szCs w:val="20"/>
                <w:highlight w:val="none"/>
              </w:rPr>
            </w:pPr>
            <w:r>
              <w:rPr>
                <w:rFonts w:hint="eastAsia" w:ascii="宋体" w:hAnsi="宋体" w:eastAsia="宋体" w:cs="宋体"/>
                <w:snapToGrid w:val="0"/>
                <w:color w:val="auto"/>
                <w:spacing w:val="-16"/>
                <w:kern w:val="21"/>
                <w:sz w:val="20"/>
                <w:szCs w:val="20"/>
                <w:highlight w:val="none"/>
              </w:rPr>
              <w:t>全厂排放量（固体废物产生量）</w:t>
            </w:r>
            <w:r>
              <w:rPr>
                <w:rFonts w:hint="eastAsia" w:ascii="宋体" w:hAnsi="宋体" w:eastAsia="宋体" w:cs="宋体"/>
                <w:snapToGrid w:val="0"/>
                <w:color w:val="auto"/>
                <w:spacing w:val="-16"/>
                <w:kern w:val="21"/>
                <w:sz w:val="20"/>
                <w:szCs w:val="20"/>
                <w:highlight w:val="none"/>
              </w:rPr>
              <w:fldChar w:fldCharType="begin"/>
            </w:r>
            <w:r>
              <w:rPr>
                <w:rFonts w:hint="eastAsia" w:ascii="宋体" w:hAnsi="宋体" w:eastAsia="宋体" w:cs="宋体"/>
                <w:snapToGrid w:val="0"/>
                <w:color w:val="auto"/>
                <w:spacing w:val="-16"/>
                <w:kern w:val="21"/>
                <w:sz w:val="20"/>
                <w:szCs w:val="20"/>
                <w:highlight w:val="none"/>
              </w:rPr>
              <w:instrText xml:space="preserve"> = 6 \* GB3 \* MERGEFORMAT </w:instrText>
            </w:r>
            <w:r>
              <w:rPr>
                <w:rFonts w:hint="eastAsia" w:ascii="宋体" w:hAnsi="宋体" w:eastAsia="宋体" w:cs="宋体"/>
                <w:snapToGrid w:val="0"/>
                <w:color w:val="auto"/>
                <w:spacing w:val="-16"/>
                <w:kern w:val="21"/>
                <w:sz w:val="20"/>
                <w:szCs w:val="20"/>
                <w:highlight w:val="none"/>
              </w:rPr>
              <w:fldChar w:fldCharType="separate"/>
            </w:r>
            <w:r>
              <w:rPr>
                <w:rFonts w:hint="eastAsia" w:ascii="宋体" w:hAnsi="宋体" w:eastAsia="宋体" w:cs="宋体"/>
                <w:color w:val="auto"/>
                <w:kern w:val="2"/>
                <w:sz w:val="20"/>
                <w:szCs w:val="20"/>
                <w:highlight w:val="none"/>
              </w:rPr>
              <w:t>⑥</w:t>
            </w:r>
            <w:r>
              <w:rPr>
                <w:rFonts w:hint="eastAsia" w:ascii="宋体" w:hAnsi="宋体" w:eastAsia="宋体" w:cs="宋体"/>
                <w:snapToGrid w:val="0"/>
                <w:color w:val="auto"/>
                <w:spacing w:val="-16"/>
                <w:kern w:val="21"/>
                <w:sz w:val="20"/>
                <w:szCs w:val="20"/>
                <w:highlight w:val="none"/>
              </w:rPr>
              <w:fldChar w:fldCharType="end"/>
            </w:r>
          </w:p>
        </w:tc>
        <w:tc>
          <w:tcPr>
            <w:tcW w:w="1304" w:type="dxa"/>
            <w:tcMar>
              <w:left w:w="28" w:type="dxa"/>
              <w:right w:w="28" w:type="dxa"/>
            </w:tcMar>
            <w:vAlign w:val="center"/>
          </w:tcPr>
          <w:p w14:paraId="49F52C9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t>变化量</w:t>
            </w:r>
          </w:p>
          <w:p w14:paraId="5935B7E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spacing w:val="-6"/>
                <w:kern w:val="21"/>
                <w:sz w:val="20"/>
                <w:szCs w:val="20"/>
                <w:highlight w:val="none"/>
              </w:rPr>
            </w:pPr>
            <w:r>
              <w:rPr>
                <w:rFonts w:hint="eastAsia" w:ascii="宋体" w:hAnsi="宋体" w:eastAsia="宋体" w:cs="宋体"/>
                <w:snapToGrid w:val="0"/>
                <w:color w:val="auto"/>
                <w:spacing w:val="-6"/>
                <w:kern w:val="21"/>
                <w:sz w:val="20"/>
                <w:szCs w:val="20"/>
                <w:highlight w:val="none"/>
              </w:rPr>
              <w:fldChar w:fldCharType="begin"/>
            </w:r>
            <w:r>
              <w:rPr>
                <w:rFonts w:hint="eastAsia" w:ascii="宋体" w:hAnsi="宋体" w:eastAsia="宋体" w:cs="宋体"/>
                <w:snapToGrid w:val="0"/>
                <w:color w:val="auto"/>
                <w:spacing w:val="-6"/>
                <w:kern w:val="21"/>
                <w:sz w:val="20"/>
                <w:szCs w:val="20"/>
                <w:highlight w:val="none"/>
              </w:rPr>
              <w:instrText xml:space="preserve"> = 7 \* GB3 \* MERGEFORMAT </w:instrText>
            </w:r>
            <w:r>
              <w:rPr>
                <w:rFonts w:hint="eastAsia" w:ascii="宋体" w:hAnsi="宋体" w:eastAsia="宋体" w:cs="宋体"/>
                <w:snapToGrid w:val="0"/>
                <w:color w:val="auto"/>
                <w:spacing w:val="-6"/>
                <w:kern w:val="21"/>
                <w:sz w:val="20"/>
                <w:szCs w:val="20"/>
                <w:highlight w:val="none"/>
              </w:rPr>
              <w:fldChar w:fldCharType="separate"/>
            </w:r>
            <w:r>
              <w:rPr>
                <w:rFonts w:hint="eastAsia" w:ascii="宋体" w:hAnsi="宋体" w:eastAsia="宋体" w:cs="宋体"/>
                <w:color w:val="auto"/>
                <w:kern w:val="2"/>
                <w:sz w:val="20"/>
                <w:szCs w:val="20"/>
                <w:highlight w:val="none"/>
              </w:rPr>
              <w:t>⑦</w:t>
            </w:r>
            <w:r>
              <w:rPr>
                <w:rFonts w:hint="eastAsia" w:ascii="宋体" w:hAnsi="宋体" w:eastAsia="宋体" w:cs="宋体"/>
                <w:snapToGrid w:val="0"/>
                <w:color w:val="auto"/>
                <w:spacing w:val="-6"/>
                <w:kern w:val="21"/>
                <w:sz w:val="20"/>
                <w:szCs w:val="20"/>
                <w:highlight w:val="none"/>
              </w:rPr>
              <w:fldChar w:fldCharType="end"/>
            </w:r>
          </w:p>
        </w:tc>
      </w:tr>
      <w:tr w14:paraId="19E21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95" w:type="dxa"/>
            <w:vMerge w:val="restart"/>
            <w:vAlign w:val="center"/>
          </w:tcPr>
          <w:p w14:paraId="3452CE1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废气</w:t>
            </w:r>
          </w:p>
        </w:tc>
        <w:tc>
          <w:tcPr>
            <w:tcW w:w="1576" w:type="dxa"/>
            <w:vAlign w:val="center"/>
          </w:tcPr>
          <w:p w14:paraId="40ADE67E">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颗粒物</w:t>
            </w:r>
          </w:p>
        </w:tc>
        <w:tc>
          <w:tcPr>
            <w:tcW w:w="1600" w:type="dxa"/>
            <w:vAlign w:val="center"/>
          </w:tcPr>
          <w:p w14:paraId="4E3DFBC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49E9CF5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5D2FE79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553E5F8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0.0348</w:t>
            </w:r>
          </w:p>
        </w:tc>
        <w:tc>
          <w:tcPr>
            <w:tcW w:w="1761" w:type="dxa"/>
            <w:vAlign w:val="center"/>
          </w:tcPr>
          <w:p w14:paraId="4655EA3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60B3CCC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color w:val="auto"/>
                <w:kern w:val="24"/>
                <w:sz w:val="20"/>
                <w:szCs w:val="20"/>
                <w:highlight w:val="none"/>
                <w:lang w:val="en-US"/>
              </w:rPr>
            </w:pPr>
            <w:r>
              <w:rPr>
                <w:rFonts w:hint="eastAsia" w:ascii="宋体" w:hAnsi="宋体" w:eastAsia="宋体" w:cs="宋体"/>
                <w:color w:val="auto"/>
                <w:kern w:val="24"/>
                <w:sz w:val="20"/>
                <w:szCs w:val="20"/>
                <w:highlight w:val="none"/>
                <w:lang w:val="en-US" w:eastAsia="zh-CN"/>
              </w:rPr>
              <w:t>0.0348</w:t>
            </w:r>
          </w:p>
        </w:tc>
        <w:tc>
          <w:tcPr>
            <w:tcW w:w="1304" w:type="dxa"/>
            <w:vAlign w:val="center"/>
          </w:tcPr>
          <w:p w14:paraId="0942DE7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rPr>
            </w:pPr>
            <w:r>
              <w:rPr>
                <w:rFonts w:hint="eastAsia" w:ascii="宋体" w:hAnsi="宋体" w:eastAsia="宋体" w:cs="宋体"/>
                <w:color w:val="auto"/>
                <w:kern w:val="24"/>
                <w:sz w:val="20"/>
                <w:szCs w:val="20"/>
                <w:highlight w:val="none"/>
                <w:lang w:val="en-US" w:eastAsia="zh-CN"/>
              </w:rPr>
              <w:t>0.0348</w:t>
            </w:r>
          </w:p>
        </w:tc>
      </w:tr>
      <w:tr w14:paraId="0BB8A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95" w:type="dxa"/>
            <w:vMerge w:val="continue"/>
            <w:vAlign w:val="center"/>
          </w:tcPr>
          <w:p w14:paraId="3EF0A55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252283EC">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SO</w:t>
            </w:r>
            <w:r>
              <w:rPr>
                <w:rFonts w:hint="eastAsia" w:ascii="宋体" w:hAnsi="宋体" w:eastAsia="宋体" w:cs="宋体"/>
                <w:color w:val="auto"/>
                <w:kern w:val="24"/>
                <w:sz w:val="20"/>
                <w:szCs w:val="20"/>
                <w:highlight w:val="none"/>
                <w:vertAlign w:val="subscript"/>
              </w:rPr>
              <w:t>2</w:t>
            </w:r>
          </w:p>
        </w:tc>
        <w:tc>
          <w:tcPr>
            <w:tcW w:w="1600" w:type="dxa"/>
            <w:vAlign w:val="center"/>
          </w:tcPr>
          <w:p w14:paraId="66B21B7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1B58611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17B97F1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6EB297D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eastAsia="zh-CN"/>
              </w:rPr>
            </w:pPr>
            <w:r>
              <w:rPr>
                <w:rFonts w:hint="eastAsia" w:ascii="宋体" w:hAnsi="宋体" w:eastAsia="宋体" w:cs="宋体"/>
                <w:snapToGrid w:val="0"/>
                <w:color w:val="auto"/>
                <w:kern w:val="21"/>
                <w:sz w:val="20"/>
                <w:szCs w:val="20"/>
                <w:highlight w:val="none"/>
                <w:lang w:val="en-US" w:eastAsia="zh-CN"/>
              </w:rPr>
              <w:t>0.024</w:t>
            </w:r>
          </w:p>
        </w:tc>
        <w:tc>
          <w:tcPr>
            <w:tcW w:w="1761" w:type="dxa"/>
            <w:vAlign w:val="center"/>
          </w:tcPr>
          <w:p w14:paraId="45001BA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0560AF9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rPr>
            </w:pPr>
            <w:r>
              <w:rPr>
                <w:rFonts w:hint="eastAsia" w:ascii="宋体" w:hAnsi="宋体" w:eastAsia="宋体" w:cs="宋体"/>
                <w:snapToGrid w:val="0"/>
                <w:color w:val="auto"/>
                <w:kern w:val="21"/>
                <w:sz w:val="20"/>
                <w:szCs w:val="20"/>
                <w:highlight w:val="none"/>
                <w:lang w:val="en-US" w:eastAsia="zh-CN"/>
              </w:rPr>
              <w:t>0.024</w:t>
            </w:r>
          </w:p>
        </w:tc>
        <w:tc>
          <w:tcPr>
            <w:tcW w:w="1304" w:type="dxa"/>
            <w:vAlign w:val="center"/>
          </w:tcPr>
          <w:p w14:paraId="5B5FF8C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rPr>
            </w:pPr>
            <w:r>
              <w:rPr>
                <w:rFonts w:hint="eastAsia" w:ascii="宋体" w:hAnsi="宋体" w:eastAsia="宋体" w:cs="宋体"/>
                <w:snapToGrid w:val="0"/>
                <w:color w:val="auto"/>
                <w:kern w:val="21"/>
                <w:sz w:val="20"/>
                <w:szCs w:val="20"/>
                <w:highlight w:val="none"/>
                <w:lang w:val="en-US" w:eastAsia="zh-CN"/>
              </w:rPr>
              <w:t>0.024</w:t>
            </w:r>
          </w:p>
        </w:tc>
      </w:tr>
      <w:tr w14:paraId="55061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vMerge w:val="continue"/>
            <w:vAlign w:val="center"/>
          </w:tcPr>
          <w:p w14:paraId="0E99417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1CFC99E6">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NOx</w:t>
            </w:r>
          </w:p>
        </w:tc>
        <w:tc>
          <w:tcPr>
            <w:tcW w:w="1600" w:type="dxa"/>
            <w:vAlign w:val="center"/>
          </w:tcPr>
          <w:p w14:paraId="52FC819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0AEF078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09F7496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07C360A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eastAsia="zh-CN"/>
              </w:rPr>
            </w:pPr>
            <w:r>
              <w:rPr>
                <w:rFonts w:hint="eastAsia" w:ascii="宋体" w:hAnsi="宋体" w:eastAsia="宋体" w:cs="宋体"/>
                <w:snapToGrid w:val="0"/>
                <w:color w:val="auto"/>
                <w:kern w:val="21"/>
                <w:sz w:val="20"/>
                <w:szCs w:val="20"/>
                <w:highlight w:val="none"/>
                <w:lang w:val="en-US" w:eastAsia="zh-CN"/>
              </w:rPr>
              <w:t>0.6936</w:t>
            </w:r>
          </w:p>
        </w:tc>
        <w:tc>
          <w:tcPr>
            <w:tcW w:w="1761" w:type="dxa"/>
            <w:vAlign w:val="center"/>
          </w:tcPr>
          <w:p w14:paraId="6822D29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089405A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eastAsia="zh-CN"/>
              </w:rPr>
            </w:pPr>
            <w:r>
              <w:rPr>
                <w:rFonts w:hint="eastAsia" w:ascii="宋体" w:hAnsi="宋体" w:eastAsia="宋体" w:cs="宋体"/>
                <w:snapToGrid w:val="0"/>
                <w:color w:val="auto"/>
                <w:kern w:val="21"/>
                <w:sz w:val="20"/>
                <w:szCs w:val="20"/>
                <w:highlight w:val="none"/>
                <w:lang w:val="en-US" w:eastAsia="zh-CN"/>
              </w:rPr>
              <w:t>0.6936</w:t>
            </w:r>
          </w:p>
        </w:tc>
        <w:tc>
          <w:tcPr>
            <w:tcW w:w="1304" w:type="dxa"/>
            <w:vAlign w:val="center"/>
          </w:tcPr>
          <w:p w14:paraId="7AB33A7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宋体" w:hAnsi="宋体" w:eastAsia="宋体" w:cs="宋体"/>
                <w:snapToGrid w:val="0"/>
                <w:color w:val="auto"/>
                <w:kern w:val="21"/>
                <w:sz w:val="20"/>
                <w:szCs w:val="20"/>
                <w:highlight w:val="none"/>
                <w:lang w:val="en-US"/>
              </w:rPr>
            </w:pPr>
            <w:r>
              <w:rPr>
                <w:rFonts w:hint="eastAsia" w:ascii="宋体" w:hAnsi="宋体" w:eastAsia="宋体" w:cs="宋体"/>
                <w:snapToGrid w:val="0"/>
                <w:color w:val="auto"/>
                <w:kern w:val="21"/>
                <w:sz w:val="20"/>
                <w:szCs w:val="20"/>
                <w:highlight w:val="none"/>
                <w:lang w:val="en-US" w:eastAsia="zh-CN"/>
              </w:rPr>
              <w:t>0.6936</w:t>
            </w:r>
          </w:p>
        </w:tc>
      </w:tr>
      <w:tr w14:paraId="6F824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95" w:type="dxa"/>
            <w:vMerge w:val="restart"/>
            <w:vAlign w:val="center"/>
          </w:tcPr>
          <w:p w14:paraId="1B1F0B2B">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废水</w:t>
            </w:r>
          </w:p>
        </w:tc>
        <w:tc>
          <w:tcPr>
            <w:tcW w:w="1576" w:type="dxa"/>
            <w:vAlign w:val="center"/>
          </w:tcPr>
          <w:p w14:paraId="7869959D">
            <w:pPr>
              <w:pStyle w:val="25"/>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废水量</w:t>
            </w:r>
          </w:p>
        </w:tc>
        <w:tc>
          <w:tcPr>
            <w:tcW w:w="1600" w:type="dxa"/>
            <w:vAlign w:val="center"/>
          </w:tcPr>
          <w:p w14:paraId="32DAE3A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387FC7A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01EE487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1E9511CC">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6058D52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30CB556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2506048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sz w:val="20"/>
                <w:szCs w:val="20"/>
                <w:highlight w:val="none"/>
              </w:rPr>
            </w:pPr>
            <w:r>
              <w:rPr>
                <w:rFonts w:hint="eastAsia" w:ascii="宋体" w:hAnsi="宋体" w:eastAsia="宋体" w:cs="宋体"/>
                <w:snapToGrid w:val="0"/>
                <w:color w:val="auto"/>
                <w:kern w:val="21"/>
                <w:sz w:val="20"/>
                <w:szCs w:val="20"/>
                <w:lang w:val="en-US" w:eastAsia="zh-CN"/>
              </w:rPr>
              <w:t>0</w:t>
            </w:r>
          </w:p>
        </w:tc>
      </w:tr>
      <w:tr w14:paraId="05443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95" w:type="dxa"/>
            <w:vMerge w:val="continue"/>
            <w:vAlign w:val="center"/>
          </w:tcPr>
          <w:p w14:paraId="190D5841">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2D3A545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sz w:val="20"/>
                <w:szCs w:val="20"/>
                <w:highlight w:val="none"/>
              </w:rPr>
              <w:t>COD</w:t>
            </w:r>
            <w:r>
              <w:rPr>
                <w:rFonts w:hint="eastAsia" w:ascii="宋体" w:hAnsi="宋体" w:eastAsia="宋体" w:cs="宋体"/>
                <w:color w:val="auto"/>
                <w:sz w:val="20"/>
                <w:szCs w:val="20"/>
                <w:highlight w:val="none"/>
                <w:vertAlign w:val="subscript"/>
              </w:rPr>
              <w:t>cr</w:t>
            </w:r>
          </w:p>
        </w:tc>
        <w:tc>
          <w:tcPr>
            <w:tcW w:w="1600" w:type="dxa"/>
            <w:vAlign w:val="center"/>
          </w:tcPr>
          <w:p w14:paraId="420CD2B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7260846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6DF84D3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4DA846D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kern w:val="24"/>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64E44B4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4F9271A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bCs/>
                <w:color w:val="auto"/>
                <w:kern w:val="24"/>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11EE9CF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lang w:val="en-US" w:eastAsia="zh-CN"/>
              </w:rPr>
              <w:t>0</w:t>
            </w:r>
          </w:p>
        </w:tc>
      </w:tr>
      <w:tr w14:paraId="76936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095" w:type="dxa"/>
            <w:vMerge w:val="continue"/>
            <w:vAlign w:val="center"/>
          </w:tcPr>
          <w:p w14:paraId="0FC71C1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46883CE9">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BOD</w:t>
            </w:r>
            <w:r>
              <w:rPr>
                <w:rFonts w:hint="eastAsia" w:ascii="宋体" w:hAnsi="宋体" w:eastAsia="宋体" w:cs="宋体"/>
                <w:color w:val="auto"/>
                <w:sz w:val="20"/>
                <w:szCs w:val="20"/>
                <w:highlight w:val="none"/>
                <w:vertAlign w:val="subscript"/>
              </w:rPr>
              <w:t>5</w:t>
            </w:r>
          </w:p>
        </w:tc>
        <w:tc>
          <w:tcPr>
            <w:tcW w:w="1600" w:type="dxa"/>
            <w:vAlign w:val="center"/>
          </w:tcPr>
          <w:p w14:paraId="5702B65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0E9E4C1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0741114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7FA219F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29CEF586">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66C1A78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1072B33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lang w:val="en-US" w:eastAsia="zh-CN"/>
              </w:rPr>
              <w:t>0</w:t>
            </w:r>
          </w:p>
        </w:tc>
      </w:tr>
      <w:tr w14:paraId="430B9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95" w:type="dxa"/>
            <w:vMerge w:val="continue"/>
            <w:vAlign w:val="center"/>
          </w:tcPr>
          <w:p w14:paraId="2FC897D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40CCA3B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NH</w:t>
            </w:r>
            <w:r>
              <w:rPr>
                <w:rFonts w:hint="eastAsia" w:ascii="宋体" w:hAnsi="宋体" w:eastAsia="宋体" w:cs="宋体"/>
                <w:color w:val="auto"/>
                <w:sz w:val="20"/>
                <w:szCs w:val="20"/>
                <w:highlight w:val="none"/>
                <w:vertAlign w:val="subscript"/>
              </w:rPr>
              <w:t>3</w:t>
            </w:r>
            <w:r>
              <w:rPr>
                <w:rFonts w:hint="eastAsia" w:ascii="宋体" w:hAnsi="宋体" w:eastAsia="宋体" w:cs="宋体"/>
                <w:color w:val="auto"/>
                <w:sz w:val="20"/>
                <w:szCs w:val="20"/>
                <w:highlight w:val="none"/>
              </w:rPr>
              <w:t>-N</w:t>
            </w:r>
          </w:p>
        </w:tc>
        <w:tc>
          <w:tcPr>
            <w:tcW w:w="1600" w:type="dxa"/>
            <w:vAlign w:val="center"/>
          </w:tcPr>
          <w:p w14:paraId="75F441E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3095CE9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72164B9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25D0585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363A317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39D84EE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1C9F731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lang w:val="en-US" w:eastAsia="zh-CN"/>
              </w:rPr>
              <w:t>0</w:t>
            </w:r>
          </w:p>
        </w:tc>
      </w:tr>
      <w:tr w14:paraId="7FBC1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095" w:type="dxa"/>
            <w:vMerge w:val="continue"/>
            <w:vAlign w:val="center"/>
          </w:tcPr>
          <w:p w14:paraId="4BE8A69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0E8031D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SS</w:t>
            </w:r>
          </w:p>
        </w:tc>
        <w:tc>
          <w:tcPr>
            <w:tcW w:w="1600" w:type="dxa"/>
            <w:vAlign w:val="center"/>
          </w:tcPr>
          <w:p w14:paraId="71594F6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0FC2A01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316D84CC">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1F13AFB9">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761" w:type="dxa"/>
            <w:vAlign w:val="center"/>
          </w:tcPr>
          <w:p w14:paraId="20F0EA03">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3F1389E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color w:val="auto"/>
                <w:sz w:val="20"/>
                <w:szCs w:val="20"/>
                <w:highlight w:val="none"/>
              </w:rPr>
            </w:pPr>
            <w:r>
              <w:rPr>
                <w:rFonts w:hint="eastAsia" w:ascii="宋体" w:hAnsi="宋体" w:eastAsia="宋体" w:cs="宋体"/>
                <w:snapToGrid w:val="0"/>
                <w:color w:val="auto"/>
                <w:kern w:val="21"/>
                <w:sz w:val="20"/>
                <w:szCs w:val="20"/>
                <w:lang w:val="en-US" w:eastAsia="zh-CN"/>
              </w:rPr>
              <w:t>0</w:t>
            </w:r>
          </w:p>
        </w:tc>
        <w:tc>
          <w:tcPr>
            <w:tcW w:w="1304" w:type="dxa"/>
            <w:vAlign w:val="center"/>
          </w:tcPr>
          <w:p w14:paraId="03464F7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lang w:val="en-US" w:eastAsia="zh-CN"/>
              </w:rPr>
              <w:t>0</w:t>
            </w:r>
          </w:p>
        </w:tc>
      </w:tr>
      <w:tr w14:paraId="3C050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95" w:type="dxa"/>
            <w:vMerge w:val="restart"/>
            <w:vAlign w:val="center"/>
          </w:tcPr>
          <w:p w14:paraId="132FAFE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一般工业</w:t>
            </w:r>
          </w:p>
          <w:p w14:paraId="7866683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固体废物</w:t>
            </w:r>
          </w:p>
        </w:tc>
        <w:tc>
          <w:tcPr>
            <w:tcW w:w="1576" w:type="dxa"/>
            <w:vAlign w:val="center"/>
          </w:tcPr>
          <w:p w14:paraId="16340EC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lang w:eastAsia="zh-CN"/>
              </w:rPr>
              <w:t>蒸汽发生器</w:t>
            </w:r>
            <w:r>
              <w:rPr>
                <w:rFonts w:hint="eastAsia" w:ascii="宋体" w:hAnsi="宋体" w:eastAsia="宋体" w:cs="宋体"/>
                <w:color w:val="auto"/>
                <w:kern w:val="24"/>
                <w:sz w:val="20"/>
                <w:szCs w:val="20"/>
                <w:highlight w:val="none"/>
              </w:rPr>
              <w:t>炉渣</w:t>
            </w:r>
          </w:p>
        </w:tc>
        <w:tc>
          <w:tcPr>
            <w:tcW w:w="1600" w:type="dxa"/>
            <w:vAlign w:val="center"/>
          </w:tcPr>
          <w:p w14:paraId="738586B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72A9C64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3ACD5F1A">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7A2413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5.96</w:t>
            </w:r>
          </w:p>
        </w:tc>
        <w:tc>
          <w:tcPr>
            <w:tcW w:w="1761" w:type="dxa"/>
            <w:vAlign w:val="center"/>
          </w:tcPr>
          <w:p w14:paraId="3E2DD517">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6C1262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5.96</w:t>
            </w:r>
          </w:p>
        </w:tc>
        <w:tc>
          <w:tcPr>
            <w:tcW w:w="1304" w:type="dxa"/>
            <w:vAlign w:val="center"/>
          </w:tcPr>
          <w:p w14:paraId="64AADA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napToGrid w:val="0"/>
                <w:color w:val="auto"/>
                <w:kern w:val="21"/>
                <w:sz w:val="20"/>
                <w:szCs w:val="20"/>
                <w:highlight w:val="none"/>
                <w:lang w:val="en-US" w:eastAsia="zh-CN"/>
              </w:rPr>
            </w:pPr>
            <w:r>
              <w:rPr>
                <w:rFonts w:hint="eastAsia" w:ascii="宋体" w:hAnsi="宋体" w:eastAsia="宋体" w:cs="宋体"/>
                <w:color w:val="auto"/>
                <w:kern w:val="24"/>
                <w:sz w:val="20"/>
                <w:szCs w:val="20"/>
                <w:highlight w:val="none"/>
              </w:rPr>
              <w:t>+</w:t>
            </w:r>
            <w:r>
              <w:rPr>
                <w:rFonts w:hint="eastAsia" w:ascii="宋体" w:hAnsi="宋体" w:eastAsia="宋体" w:cs="宋体"/>
                <w:color w:val="auto"/>
                <w:kern w:val="24"/>
                <w:sz w:val="20"/>
                <w:szCs w:val="20"/>
                <w:highlight w:val="none"/>
                <w:lang w:val="en-US" w:eastAsia="zh-CN"/>
              </w:rPr>
              <w:t>5.96</w:t>
            </w:r>
          </w:p>
        </w:tc>
      </w:tr>
      <w:tr w14:paraId="18890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095" w:type="dxa"/>
            <w:vMerge w:val="continue"/>
            <w:vAlign w:val="center"/>
          </w:tcPr>
          <w:p w14:paraId="7AB526BB">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0E71F373">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除尘灰</w:t>
            </w:r>
          </w:p>
        </w:tc>
        <w:tc>
          <w:tcPr>
            <w:tcW w:w="1600" w:type="dxa"/>
            <w:vAlign w:val="center"/>
          </w:tcPr>
          <w:p w14:paraId="09EBABB4">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4878ED8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2B9EFD2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6AEEF4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48.51</w:t>
            </w:r>
          </w:p>
        </w:tc>
        <w:tc>
          <w:tcPr>
            <w:tcW w:w="1761" w:type="dxa"/>
            <w:vAlign w:val="center"/>
          </w:tcPr>
          <w:p w14:paraId="49C3214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087C80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48.51</w:t>
            </w:r>
          </w:p>
        </w:tc>
        <w:tc>
          <w:tcPr>
            <w:tcW w:w="1304" w:type="dxa"/>
            <w:vAlign w:val="center"/>
          </w:tcPr>
          <w:p w14:paraId="3A1006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napToGrid w:val="0"/>
                <w:color w:val="auto"/>
                <w:kern w:val="21"/>
                <w:sz w:val="20"/>
                <w:szCs w:val="20"/>
                <w:highlight w:val="none"/>
                <w:lang w:val="en-US" w:eastAsia="zh-CN"/>
              </w:rPr>
            </w:pPr>
            <w:r>
              <w:rPr>
                <w:rFonts w:hint="eastAsia" w:ascii="宋体" w:hAnsi="宋体" w:eastAsia="宋体" w:cs="宋体"/>
                <w:color w:val="auto"/>
                <w:kern w:val="24"/>
                <w:sz w:val="20"/>
                <w:szCs w:val="20"/>
                <w:highlight w:val="none"/>
              </w:rPr>
              <w:t>+</w:t>
            </w:r>
            <w:r>
              <w:rPr>
                <w:rFonts w:hint="eastAsia" w:ascii="宋体" w:hAnsi="宋体" w:eastAsia="宋体" w:cs="宋体"/>
                <w:color w:val="auto"/>
                <w:kern w:val="24"/>
                <w:sz w:val="20"/>
                <w:szCs w:val="20"/>
                <w:highlight w:val="none"/>
                <w:lang w:val="en-US" w:eastAsia="zh-CN"/>
              </w:rPr>
              <w:t>48.51</w:t>
            </w:r>
          </w:p>
        </w:tc>
      </w:tr>
      <w:tr w14:paraId="34857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vMerge w:val="continue"/>
            <w:vAlign w:val="center"/>
          </w:tcPr>
          <w:p w14:paraId="069F2B2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76" w:type="dxa"/>
            <w:vAlign w:val="center"/>
          </w:tcPr>
          <w:p w14:paraId="510372B3">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废树脂</w:t>
            </w:r>
          </w:p>
        </w:tc>
        <w:tc>
          <w:tcPr>
            <w:tcW w:w="1600" w:type="dxa"/>
            <w:vAlign w:val="center"/>
          </w:tcPr>
          <w:p w14:paraId="07D0D090">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11" w:type="dxa"/>
            <w:vAlign w:val="center"/>
          </w:tcPr>
          <w:p w14:paraId="5BEB593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01" w:type="dxa"/>
            <w:vAlign w:val="center"/>
          </w:tcPr>
          <w:p w14:paraId="0915093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559" w:type="dxa"/>
            <w:vAlign w:val="center"/>
          </w:tcPr>
          <w:p w14:paraId="491C52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c>
          <w:tcPr>
            <w:tcW w:w="1761" w:type="dxa"/>
            <w:vAlign w:val="center"/>
          </w:tcPr>
          <w:p w14:paraId="52E3603D">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r>
              <w:rPr>
                <w:rFonts w:hint="eastAsia" w:ascii="宋体" w:hAnsi="宋体" w:eastAsia="宋体" w:cs="宋体"/>
                <w:snapToGrid w:val="0"/>
                <w:color w:val="auto"/>
                <w:kern w:val="21"/>
                <w:sz w:val="20"/>
                <w:szCs w:val="20"/>
                <w:highlight w:val="none"/>
              </w:rPr>
              <w:t>/</w:t>
            </w:r>
          </w:p>
        </w:tc>
        <w:tc>
          <w:tcPr>
            <w:tcW w:w="1742" w:type="dxa"/>
            <w:vAlign w:val="center"/>
          </w:tcPr>
          <w:p w14:paraId="7BEED6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c>
          <w:tcPr>
            <w:tcW w:w="1304" w:type="dxa"/>
            <w:vAlign w:val="center"/>
          </w:tcPr>
          <w:p w14:paraId="0EE5A2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napToGrid w:val="0"/>
                <w:color w:val="auto"/>
                <w:kern w:val="21"/>
                <w:sz w:val="20"/>
                <w:szCs w:val="20"/>
                <w:highlight w:val="none"/>
                <w:lang w:val="en-US" w:eastAsia="zh-CN"/>
              </w:rPr>
            </w:pPr>
            <w:r>
              <w:rPr>
                <w:rFonts w:hint="eastAsia" w:ascii="宋体" w:hAnsi="宋体" w:eastAsia="宋体" w:cs="宋体"/>
                <w:color w:val="auto"/>
                <w:kern w:val="24"/>
                <w:sz w:val="20"/>
                <w:szCs w:val="20"/>
                <w:highlight w:val="none"/>
              </w:rPr>
              <w:t>+</w:t>
            </w:r>
            <w:r>
              <w:rPr>
                <w:rFonts w:hint="eastAsia" w:ascii="宋体" w:hAnsi="宋体" w:eastAsia="宋体" w:cs="宋体"/>
                <w:color w:val="auto"/>
                <w:kern w:val="24"/>
                <w:sz w:val="20"/>
                <w:szCs w:val="20"/>
                <w:highlight w:val="none"/>
                <w:lang w:val="en-US" w:eastAsia="zh-CN"/>
              </w:rPr>
              <w:t>0.1</w:t>
            </w:r>
          </w:p>
        </w:tc>
      </w:tr>
      <w:tr w14:paraId="6BF85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5" w:type="dxa"/>
            <w:vMerge w:val="continue"/>
            <w:vAlign w:val="center"/>
          </w:tcPr>
          <w:p w14:paraId="1A506068">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bookmarkStart w:id="45" w:name="_Toc24479"/>
          </w:p>
        </w:tc>
        <w:tc>
          <w:tcPr>
            <w:tcW w:w="1576" w:type="dxa"/>
            <w:vAlign w:val="center"/>
          </w:tcPr>
          <w:p w14:paraId="39C5435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絮凝沉淀池沉渣</w:t>
            </w:r>
          </w:p>
        </w:tc>
        <w:tc>
          <w:tcPr>
            <w:tcW w:w="1600" w:type="dxa"/>
            <w:vAlign w:val="center"/>
          </w:tcPr>
          <w:p w14:paraId="3C36357E">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711" w:type="dxa"/>
            <w:vAlign w:val="center"/>
          </w:tcPr>
          <w:p w14:paraId="1CB4268F">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701" w:type="dxa"/>
            <w:vAlign w:val="center"/>
          </w:tcPr>
          <w:p w14:paraId="7047B075">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559" w:type="dxa"/>
            <w:vAlign w:val="center"/>
          </w:tcPr>
          <w:p w14:paraId="558237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c>
          <w:tcPr>
            <w:tcW w:w="1761" w:type="dxa"/>
            <w:vAlign w:val="center"/>
          </w:tcPr>
          <w:p w14:paraId="1770D6B2">
            <w:pPr>
              <w:pStyle w:val="48"/>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宋体" w:hAnsi="宋体" w:eastAsia="宋体" w:cs="宋体"/>
                <w:snapToGrid w:val="0"/>
                <w:color w:val="auto"/>
                <w:kern w:val="21"/>
                <w:sz w:val="20"/>
                <w:szCs w:val="20"/>
                <w:highlight w:val="none"/>
              </w:rPr>
            </w:pPr>
          </w:p>
        </w:tc>
        <w:tc>
          <w:tcPr>
            <w:tcW w:w="1742" w:type="dxa"/>
            <w:vAlign w:val="center"/>
          </w:tcPr>
          <w:p w14:paraId="0B21195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c>
          <w:tcPr>
            <w:tcW w:w="1304" w:type="dxa"/>
            <w:vAlign w:val="center"/>
          </w:tcPr>
          <w:p w14:paraId="0933E9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+0.1</w:t>
            </w:r>
          </w:p>
        </w:tc>
      </w:tr>
    </w:tbl>
    <w:p w14:paraId="4C3C9466">
      <w:pPr>
        <w:pStyle w:val="48"/>
        <w:keepNext w:val="0"/>
        <w:keepLines w:val="0"/>
        <w:pageBreakBefore w:val="0"/>
        <w:widowControl w:val="0"/>
        <w:kinsoku/>
        <w:wordWrap/>
        <w:overflowPunct/>
        <w:topLinePunct w:val="0"/>
        <w:autoSpaceDE/>
        <w:autoSpaceDN/>
        <w:bidi w:val="0"/>
        <w:adjustRightInd w:val="0"/>
        <w:snapToGrid w:val="0"/>
        <w:spacing w:before="192" w:beforeLines="80" w:after="24"/>
        <w:ind w:firstLine="0" w:firstLineChars="0"/>
        <w:jc w:val="left"/>
        <w:textAlignment w:val="auto"/>
        <w:outlineLvl w:val="0"/>
        <w:rPr>
          <w:color w:val="auto"/>
          <w:highlight w:val="none"/>
        </w:rPr>
      </w:pPr>
      <w:r>
        <w:rPr>
          <w:rFonts w:ascii="Times New Roman" w:hAnsi="宋体"/>
          <w:snapToGrid w:val="0"/>
          <w:color w:val="auto"/>
          <w:kern w:val="21"/>
          <w:szCs w:val="21"/>
          <w:highlight w:val="none"/>
        </w:rPr>
        <w:t>注：</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hAnsi="宋体"/>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①</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3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③</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4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④</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5 \* GB3 \* MERGEFORMAT </w:instrText>
      </w:r>
      <w:r>
        <w:rPr>
          <w:rFonts w:ascii="Times New Roman"/>
          <w:snapToGrid w:val="0"/>
          <w:color w:val="auto"/>
          <w:spacing w:val="-16"/>
          <w:kern w:val="21"/>
          <w:szCs w:val="21"/>
          <w:highlight w:val="none"/>
        </w:rPr>
        <w:fldChar w:fldCharType="separate"/>
      </w:r>
      <w:r>
        <w:rPr>
          <w:rFonts w:ascii="Times New Roman" w:hAnsi="宋体"/>
          <w:color w:val="auto"/>
          <w:szCs w:val="21"/>
          <w:highlight w:val="none"/>
        </w:rPr>
        <w:t>⑤</w:t>
      </w:r>
      <w:r>
        <w:rPr>
          <w:rFonts w:ascii="Times New Roman"/>
          <w:snapToGrid w:val="0"/>
          <w:color w:val="auto"/>
          <w:spacing w:val="-16"/>
          <w:kern w:val="21"/>
          <w:szCs w:val="21"/>
          <w:highlight w:val="none"/>
        </w:rPr>
        <w:fldChar w:fldCharType="end"/>
      </w:r>
      <w:r>
        <w:rPr>
          <w:rFonts w:ascii="Times New Roman" w:hAnsi="宋体"/>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7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⑦</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hAnsi="宋体"/>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hAnsi="宋体"/>
          <w:color w:val="auto"/>
          <w:szCs w:val="21"/>
          <w:highlight w:val="none"/>
        </w:rPr>
        <w:t>①</w:t>
      </w:r>
      <w:r>
        <w:rPr>
          <w:rFonts w:ascii="Times New Roman"/>
          <w:snapToGrid w:val="0"/>
          <w:color w:val="auto"/>
          <w:spacing w:val="-6"/>
          <w:kern w:val="21"/>
          <w:szCs w:val="21"/>
          <w:highlight w:val="none"/>
        </w:rPr>
        <w:fldChar w:fldCharType="end"/>
      </w:r>
      <w:r>
        <w:rPr>
          <w:rFonts w:hint="eastAsia" w:ascii="Times New Roman"/>
          <w:snapToGrid w:val="0"/>
          <w:color w:val="auto"/>
          <w:spacing w:val="-6"/>
          <w:kern w:val="21"/>
          <w:szCs w:val="21"/>
          <w:highlight w:val="none"/>
        </w:rPr>
        <w:t>；单位：t/a。</w:t>
      </w:r>
      <w:bookmarkEnd w:id="45"/>
    </w:p>
    <w:sectPr>
      <w:footerReference r:id="rId5" w:type="default"/>
      <w:pgSz w:w="16838" w:h="11906" w:orient="landscape"/>
      <w:pgMar w:top="1417" w:right="1701" w:bottom="1417"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B883">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540F0">
    <w:pPr>
      <w:pStyle w:val="1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A74903">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sLq8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mZFieMWJ375/u3y49fl51ey&#10;zP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y2wuryQEAAJoDAAAOAAAAAAAAAAEAIAAAAB4BAABkcnMvZTJvRG9j&#10;LnhtbFBLBQYAAAAABgAGAFkBAABZBQAAAAA=&#10;">
              <v:fill on="f" focussize="0,0"/>
              <v:stroke on="f"/>
              <v:imagedata o:title=""/>
              <o:lock v:ext="edit" aspectratio="f"/>
              <v:textbox inset="0mm,0mm,0mm,0mm" style="mso-fit-shape-to-text:t;">
                <w:txbxContent>
                  <w:p w14:paraId="51A7490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89E0">
    <w:pPr>
      <w:pStyle w:val="18"/>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1622A9">
                          <w:pPr>
                            <w:pStyle w:val="18"/>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caq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vKXHc4sTPP3+cf/05//5O&#10;ll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NxqqyQEAAJoDAAAOAAAAAAAAAAEAIAAAAB4BAABkcnMvZTJvRG9j&#10;LnhtbFBLBQYAAAAABgAGAFkBAABZBQAAAAA=&#10;">
              <v:fill on="f" focussize="0,0"/>
              <v:stroke on="f"/>
              <v:imagedata o:title=""/>
              <o:lock v:ext="edit" aspectratio="f"/>
              <v:textbox inset="0mm,0mm,0mm,0mm" style="mso-fit-shape-to-text:t;">
                <w:txbxContent>
                  <w:p w14:paraId="031622A9">
                    <w:pPr>
                      <w:pStyle w:val="1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EE338"/>
    <w:multiLevelType w:val="singleLevel"/>
    <w:tmpl w:val="A27EE338"/>
    <w:lvl w:ilvl="0" w:tentative="0">
      <w:start w:val="1"/>
      <w:numFmt w:val="decimal"/>
      <w:lvlText w:val="%1."/>
      <w:lvlJc w:val="left"/>
      <w:pPr>
        <w:tabs>
          <w:tab w:val="left" w:pos="312"/>
        </w:tabs>
      </w:pPr>
    </w:lvl>
  </w:abstractNum>
  <w:abstractNum w:abstractNumId="1">
    <w:nsid w:val="2468F440"/>
    <w:multiLevelType w:val="multilevel"/>
    <w:tmpl w:val="2468F440"/>
    <w:lvl w:ilvl="0" w:tentative="0">
      <w:start w:val="1"/>
      <w:numFmt w:val="decimal"/>
      <w:pStyle w:val="107"/>
      <w:suff w:val="space"/>
      <w:lvlText w:val="表4-%1 "/>
      <w:lvlJc w:val="left"/>
      <w:pPr>
        <w:tabs>
          <w:tab w:val="left" w:pos="0"/>
        </w:tabs>
        <w:ind w:left="2310" w:firstLine="0"/>
      </w:pPr>
      <w:rPr>
        <w:rFonts w:hint="eastAsia" w:ascii="宋体" w:hAnsi="宋体" w:eastAsia="宋体" w:cs="宋体"/>
        <w:u w:val="none"/>
      </w:rPr>
    </w:lvl>
    <w:lvl w:ilvl="1" w:tentative="0">
      <w:start w:val="1"/>
      <w:numFmt w:val="decimal"/>
      <w:suff w:val="space"/>
      <w:lvlText w:val="%1.%2"/>
      <w:lvlJc w:val="left"/>
      <w:pPr>
        <w:tabs>
          <w:tab w:val="left" w:pos="420"/>
        </w:tabs>
        <w:ind w:left="2310" w:firstLine="0"/>
      </w:pPr>
      <w:rPr>
        <w:rFonts w:hint="eastAsia" w:ascii="宋体" w:hAnsi="宋体" w:eastAsia="宋体" w:cs="宋体"/>
        <w:u w:val="none"/>
      </w:rPr>
    </w:lvl>
    <w:lvl w:ilvl="2" w:tentative="0">
      <w:start w:val="1"/>
      <w:numFmt w:val="decimal"/>
      <w:suff w:val="space"/>
      <w:lvlText w:val="%1.%2.%3"/>
      <w:lvlJc w:val="left"/>
      <w:pPr>
        <w:tabs>
          <w:tab w:val="left" w:pos="420"/>
        </w:tabs>
        <w:ind w:left="2310" w:firstLine="0"/>
      </w:pPr>
      <w:rPr>
        <w:rFonts w:hint="eastAsia" w:ascii="宋体" w:hAnsi="宋体" w:eastAsia="宋体" w:cs="宋体"/>
        <w:u w:val="none"/>
      </w:rPr>
    </w:lvl>
    <w:lvl w:ilvl="3" w:tentative="0">
      <w:start w:val="1"/>
      <w:numFmt w:val="decimal"/>
      <w:lvlText w:val="%1.%2.%3.%4."/>
      <w:lvlJc w:val="left"/>
      <w:pPr>
        <w:ind w:left="3174" w:hanging="864"/>
      </w:pPr>
      <w:rPr>
        <w:rFonts w:hint="default"/>
        <w:u w:val="none"/>
      </w:rPr>
    </w:lvl>
    <w:lvl w:ilvl="4" w:tentative="0">
      <w:start w:val="1"/>
      <w:numFmt w:val="decimal"/>
      <w:lvlText w:val="%1.%2.%3.%4.%5."/>
      <w:lvlJc w:val="left"/>
      <w:pPr>
        <w:ind w:left="3318" w:hanging="1008"/>
      </w:pPr>
      <w:rPr>
        <w:rFonts w:hint="default"/>
        <w:u w:val="none"/>
      </w:rPr>
    </w:lvl>
    <w:lvl w:ilvl="5" w:tentative="0">
      <w:start w:val="1"/>
      <w:numFmt w:val="decimal"/>
      <w:lvlText w:val="%1.%2.%3.%4.%5.%6."/>
      <w:lvlJc w:val="left"/>
      <w:pPr>
        <w:ind w:left="3461" w:hanging="1151"/>
      </w:pPr>
      <w:rPr>
        <w:rFonts w:hint="default"/>
        <w:u w:val="none"/>
      </w:rPr>
    </w:lvl>
    <w:lvl w:ilvl="6" w:tentative="0">
      <w:start w:val="1"/>
      <w:numFmt w:val="decimal"/>
      <w:lvlText w:val="%1.%2.%3.%4.%5.%6.%7."/>
      <w:lvlJc w:val="left"/>
      <w:pPr>
        <w:ind w:left="3606" w:hanging="1296"/>
      </w:pPr>
      <w:rPr>
        <w:rFonts w:hint="default"/>
        <w:u w:val="none"/>
      </w:rPr>
    </w:lvl>
    <w:lvl w:ilvl="7" w:tentative="0">
      <w:start w:val="1"/>
      <w:numFmt w:val="decimal"/>
      <w:lvlText w:val="%1.%2.%3.%4.%5.%6.%7.%8."/>
      <w:lvlJc w:val="left"/>
      <w:pPr>
        <w:ind w:left="3750" w:hanging="1440"/>
      </w:pPr>
      <w:rPr>
        <w:rFonts w:hint="default"/>
        <w:u w:val="none"/>
      </w:rPr>
    </w:lvl>
    <w:lvl w:ilvl="8" w:tentative="0">
      <w:start w:val="1"/>
      <w:numFmt w:val="decimal"/>
      <w:lvlText w:val="%1.%2.%3.%4.%5.%6.%7.%8.%9."/>
      <w:lvlJc w:val="left"/>
      <w:pPr>
        <w:ind w:left="3893" w:hanging="1583"/>
      </w:pPr>
      <w:rPr>
        <w:rFonts w:hint="default"/>
        <w:u w:val="none"/>
      </w:rPr>
    </w:lvl>
  </w:abstractNum>
  <w:abstractNum w:abstractNumId="2">
    <w:nsid w:val="46830F3E"/>
    <w:multiLevelType w:val="multilevel"/>
    <w:tmpl w:val="46830F3E"/>
    <w:lvl w:ilvl="0" w:tentative="0">
      <w:start w:val="1"/>
      <w:numFmt w:val="decimal"/>
      <w:pStyle w:val="108"/>
      <w:suff w:val="space"/>
      <w:lvlText w:val="表1-%1 "/>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tabs>
          <w:tab w:val="left" w:pos="420"/>
        </w:tabs>
        <w:ind w:left="0" w:firstLine="0"/>
      </w:pPr>
      <w:rPr>
        <w:rFonts w:hint="default" w:ascii="宋体" w:hAnsi="宋体" w:eastAsia="宋体" w:cs="宋体"/>
      </w:rPr>
    </w:lvl>
    <w:lvl w:ilvl="2" w:tentative="0">
      <w:start w:val="1"/>
      <w:numFmt w:val="decimal"/>
      <w:suff w:val="space"/>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hideSpellingErrors/>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MjNlZGJmZmI2ZjljMzQ3ZWIzYzZjMGRiYWM4NjQifQ=="/>
  </w:docVars>
  <w:rsids>
    <w:rsidRoot w:val="00172A27"/>
    <w:rsid w:val="00000547"/>
    <w:rsid w:val="000048FD"/>
    <w:rsid w:val="00004FA0"/>
    <w:rsid w:val="000060B3"/>
    <w:rsid w:val="00007C57"/>
    <w:rsid w:val="0001182C"/>
    <w:rsid w:val="000121D8"/>
    <w:rsid w:val="00023D07"/>
    <w:rsid w:val="000247D9"/>
    <w:rsid w:val="00024B03"/>
    <w:rsid w:val="00031FF6"/>
    <w:rsid w:val="00037826"/>
    <w:rsid w:val="000428EF"/>
    <w:rsid w:val="0004364B"/>
    <w:rsid w:val="00043B60"/>
    <w:rsid w:val="00045CBA"/>
    <w:rsid w:val="00046203"/>
    <w:rsid w:val="00047789"/>
    <w:rsid w:val="000503B5"/>
    <w:rsid w:val="00051233"/>
    <w:rsid w:val="00051D3B"/>
    <w:rsid w:val="00053804"/>
    <w:rsid w:val="00061B1F"/>
    <w:rsid w:val="00067737"/>
    <w:rsid w:val="000733C4"/>
    <w:rsid w:val="000742B6"/>
    <w:rsid w:val="00074783"/>
    <w:rsid w:val="000779EB"/>
    <w:rsid w:val="00080518"/>
    <w:rsid w:val="000806C4"/>
    <w:rsid w:val="0008070B"/>
    <w:rsid w:val="00081047"/>
    <w:rsid w:val="000810AC"/>
    <w:rsid w:val="00081A02"/>
    <w:rsid w:val="00082231"/>
    <w:rsid w:val="00085BD1"/>
    <w:rsid w:val="00085C0D"/>
    <w:rsid w:val="0008685C"/>
    <w:rsid w:val="00092971"/>
    <w:rsid w:val="00092D38"/>
    <w:rsid w:val="0009377B"/>
    <w:rsid w:val="00093EF9"/>
    <w:rsid w:val="00095CB1"/>
    <w:rsid w:val="000A20C9"/>
    <w:rsid w:val="000A3B18"/>
    <w:rsid w:val="000A7065"/>
    <w:rsid w:val="000A7EAD"/>
    <w:rsid w:val="000B058F"/>
    <w:rsid w:val="000B09BA"/>
    <w:rsid w:val="000B388B"/>
    <w:rsid w:val="000B4467"/>
    <w:rsid w:val="000B4DB9"/>
    <w:rsid w:val="000B594C"/>
    <w:rsid w:val="000B5A26"/>
    <w:rsid w:val="000C09AC"/>
    <w:rsid w:val="000C0D71"/>
    <w:rsid w:val="000C0FC5"/>
    <w:rsid w:val="000C40AE"/>
    <w:rsid w:val="000C4CF5"/>
    <w:rsid w:val="000C767F"/>
    <w:rsid w:val="000D10E3"/>
    <w:rsid w:val="000D30A1"/>
    <w:rsid w:val="000D4DEB"/>
    <w:rsid w:val="000D5A44"/>
    <w:rsid w:val="000D609E"/>
    <w:rsid w:val="000D6143"/>
    <w:rsid w:val="000D76E8"/>
    <w:rsid w:val="000D7D0C"/>
    <w:rsid w:val="000E26FC"/>
    <w:rsid w:val="000E31A7"/>
    <w:rsid w:val="000E3CAA"/>
    <w:rsid w:val="000E3ED2"/>
    <w:rsid w:val="000E4D5D"/>
    <w:rsid w:val="000F2261"/>
    <w:rsid w:val="000F3E5F"/>
    <w:rsid w:val="000F492D"/>
    <w:rsid w:val="000F4BEA"/>
    <w:rsid w:val="000F6E69"/>
    <w:rsid w:val="0010001E"/>
    <w:rsid w:val="00106D66"/>
    <w:rsid w:val="00115500"/>
    <w:rsid w:val="00125CA6"/>
    <w:rsid w:val="0013036A"/>
    <w:rsid w:val="00131F42"/>
    <w:rsid w:val="001357F1"/>
    <w:rsid w:val="00136B6A"/>
    <w:rsid w:val="001370CC"/>
    <w:rsid w:val="0013744C"/>
    <w:rsid w:val="00140992"/>
    <w:rsid w:val="00140FA8"/>
    <w:rsid w:val="0014281E"/>
    <w:rsid w:val="00142B61"/>
    <w:rsid w:val="00142FEB"/>
    <w:rsid w:val="00143218"/>
    <w:rsid w:val="00143A2D"/>
    <w:rsid w:val="00145A41"/>
    <w:rsid w:val="00151675"/>
    <w:rsid w:val="00153E03"/>
    <w:rsid w:val="00157435"/>
    <w:rsid w:val="00161605"/>
    <w:rsid w:val="00164F72"/>
    <w:rsid w:val="00167163"/>
    <w:rsid w:val="00171A5E"/>
    <w:rsid w:val="00172A27"/>
    <w:rsid w:val="00173982"/>
    <w:rsid w:val="00173A49"/>
    <w:rsid w:val="0017504D"/>
    <w:rsid w:val="0017671A"/>
    <w:rsid w:val="00177422"/>
    <w:rsid w:val="001803DE"/>
    <w:rsid w:val="00184590"/>
    <w:rsid w:val="001870D1"/>
    <w:rsid w:val="0018781E"/>
    <w:rsid w:val="00187E5D"/>
    <w:rsid w:val="00187F07"/>
    <w:rsid w:val="00191607"/>
    <w:rsid w:val="001921CE"/>
    <w:rsid w:val="0019262D"/>
    <w:rsid w:val="0019715A"/>
    <w:rsid w:val="001A1B35"/>
    <w:rsid w:val="001A48A2"/>
    <w:rsid w:val="001A65F1"/>
    <w:rsid w:val="001A6F61"/>
    <w:rsid w:val="001A7010"/>
    <w:rsid w:val="001A79AB"/>
    <w:rsid w:val="001B2DE2"/>
    <w:rsid w:val="001B3954"/>
    <w:rsid w:val="001B3E15"/>
    <w:rsid w:val="001B517B"/>
    <w:rsid w:val="001B72B8"/>
    <w:rsid w:val="001C0566"/>
    <w:rsid w:val="001C20B3"/>
    <w:rsid w:val="001C3322"/>
    <w:rsid w:val="001C5D36"/>
    <w:rsid w:val="001C6026"/>
    <w:rsid w:val="001C69B3"/>
    <w:rsid w:val="001C6B17"/>
    <w:rsid w:val="001D0816"/>
    <w:rsid w:val="001D0E11"/>
    <w:rsid w:val="001D15A0"/>
    <w:rsid w:val="001D232D"/>
    <w:rsid w:val="001D35FF"/>
    <w:rsid w:val="001D3AD4"/>
    <w:rsid w:val="001D5595"/>
    <w:rsid w:val="001D7874"/>
    <w:rsid w:val="001D7F22"/>
    <w:rsid w:val="001E141A"/>
    <w:rsid w:val="001E2048"/>
    <w:rsid w:val="001E3E66"/>
    <w:rsid w:val="001E6771"/>
    <w:rsid w:val="001F0F17"/>
    <w:rsid w:val="001F3347"/>
    <w:rsid w:val="001F422C"/>
    <w:rsid w:val="001F635D"/>
    <w:rsid w:val="001F69E4"/>
    <w:rsid w:val="001F6C1C"/>
    <w:rsid w:val="00202258"/>
    <w:rsid w:val="00210030"/>
    <w:rsid w:val="002120D3"/>
    <w:rsid w:val="002125B4"/>
    <w:rsid w:val="002150AB"/>
    <w:rsid w:val="002155B8"/>
    <w:rsid w:val="00224839"/>
    <w:rsid w:val="002249B2"/>
    <w:rsid w:val="00226574"/>
    <w:rsid w:val="00226D01"/>
    <w:rsid w:val="0022704F"/>
    <w:rsid w:val="002278EC"/>
    <w:rsid w:val="0023280E"/>
    <w:rsid w:val="002332E7"/>
    <w:rsid w:val="00234140"/>
    <w:rsid w:val="002377D1"/>
    <w:rsid w:val="002418CD"/>
    <w:rsid w:val="00241B28"/>
    <w:rsid w:val="00245BE0"/>
    <w:rsid w:val="00245D91"/>
    <w:rsid w:val="00245F3E"/>
    <w:rsid w:val="002506BC"/>
    <w:rsid w:val="00254345"/>
    <w:rsid w:val="00257229"/>
    <w:rsid w:val="00260E27"/>
    <w:rsid w:val="00264557"/>
    <w:rsid w:val="002657FE"/>
    <w:rsid w:val="00266C44"/>
    <w:rsid w:val="00274BA4"/>
    <w:rsid w:val="002805AB"/>
    <w:rsid w:val="00284204"/>
    <w:rsid w:val="00286781"/>
    <w:rsid w:val="00291481"/>
    <w:rsid w:val="00291773"/>
    <w:rsid w:val="00293AFE"/>
    <w:rsid w:val="00294D12"/>
    <w:rsid w:val="002A0DAF"/>
    <w:rsid w:val="002A168C"/>
    <w:rsid w:val="002A1954"/>
    <w:rsid w:val="002A3DC7"/>
    <w:rsid w:val="002A40B8"/>
    <w:rsid w:val="002A4F9B"/>
    <w:rsid w:val="002B1F97"/>
    <w:rsid w:val="002B21F6"/>
    <w:rsid w:val="002B49E2"/>
    <w:rsid w:val="002B51C3"/>
    <w:rsid w:val="002B7B00"/>
    <w:rsid w:val="002B7C44"/>
    <w:rsid w:val="002C2B17"/>
    <w:rsid w:val="002D3DD0"/>
    <w:rsid w:val="002D456C"/>
    <w:rsid w:val="002D5D23"/>
    <w:rsid w:val="002D72A8"/>
    <w:rsid w:val="002D7841"/>
    <w:rsid w:val="002E1F3A"/>
    <w:rsid w:val="002E232D"/>
    <w:rsid w:val="002E298A"/>
    <w:rsid w:val="002E2E00"/>
    <w:rsid w:val="002F2731"/>
    <w:rsid w:val="002F5F1D"/>
    <w:rsid w:val="00301978"/>
    <w:rsid w:val="0030332C"/>
    <w:rsid w:val="00303A0E"/>
    <w:rsid w:val="00304D66"/>
    <w:rsid w:val="003051C2"/>
    <w:rsid w:val="00312296"/>
    <w:rsid w:val="00314B5F"/>
    <w:rsid w:val="00314F0E"/>
    <w:rsid w:val="003165F8"/>
    <w:rsid w:val="00321D8E"/>
    <w:rsid w:val="0032287D"/>
    <w:rsid w:val="00325928"/>
    <w:rsid w:val="00330086"/>
    <w:rsid w:val="00332863"/>
    <w:rsid w:val="00335B04"/>
    <w:rsid w:val="0033684D"/>
    <w:rsid w:val="00336F85"/>
    <w:rsid w:val="00337B42"/>
    <w:rsid w:val="00341025"/>
    <w:rsid w:val="00341B42"/>
    <w:rsid w:val="0034348F"/>
    <w:rsid w:val="00345510"/>
    <w:rsid w:val="00354A45"/>
    <w:rsid w:val="00354A6F"/>
    <w:rsid w:val="00356653"/>
    <w:rsid w:val="0035743F"/>
    <w:rsid w:val="00357BE2"/>
    <w:rsid w:val="0036170C"/>
    <w:rsid w:val="00362B6F"/>
    <w:rsid w:val="00366E0F"/>
    <w:rsid w:val="003723BD"/>
    <w:rsid w:val="0037431A"/>
    <w:rsid w:val="00381A72"/>
    <w:rsid w:val="003845CC"/>
    <w:rsid w:val="00384676"/>
    <w:rsid w:val="00390095"/>
    <w:rsid w:val="00390857"/>
    <w:rsid w:val="00396E45"/>
    <w:rsid w:val="003978D9"/>
    <w:rsid w:val="003A1A46"/>
    <w:rsid w:val="003A4BF3"/>
    <w:rsid w:val="003A5423"/>
    <w:rsid w:val="003A6C5C"/>
    <w:rsid w:val="003B1E5B"/>
    <w:rsid w:val="003B357C"/>
    <w:rsid w:val="003B420D"/>
    <w:rsid w:val="003B4355"/>
    <w:rsid w:val="003B6A2A"/>
    <w:rsid w:val="003B716D"/>
    <w:rsid w:val="003B764E"/>
    <w:rsid w:val="003C2A32"/>
    <w:rsid w:val="003C33FA"/>
    <w:rsid w:val="003C5000"/>
    <w:rsid w:val="003C6644"/>
    <w:rsid w:val="003C6C16"/>
    <w:rsid w:val="003C7136"/>
    <w:rsid w:val="003D1D95"/>
    <w:rsid w:val="003D2685"/>
    <w:rsid w:val="003D64F1"/>
    <w:rsid w:val="003D697E"/>
    <w:rsid w:val="003D7177"/>
    <w:rsid w:val="003D794D"/>
    <w:rsid w:val="003E3058"/>
    <w:rsid w:val="003E4EB5"/>
    <w:rsid w:val="003E5CD7"/>
    <w:rsid w:val="003E76A9"/>
    <w:rsid w:val="003F0809"/>
    <w:rsid w:val="003F6A8C"/>
    <w:rsid w:val="003F6F1B"/>
    <w:rsid w:val="003F7445"/>
    <w:rsid w:val="003F755C"/>
    <w:rsid w:val="003F7B9C"/>
    <w:rsid w:val="004042B1"/>
    <w:rsid w:val="004063F0"/>
    <w:rsid w:val="00406F01"/>
    <w:rsid w:val="004137B6"/>
    <w:rsid w:val="00415805"/>
    <w:rsid w:val="00416A27"/>
    <w:rsid w:val="00416D50"/>
    <w:rsid w:val="00416FD5"/>
    <w:rsid w:val="00417772"/>
    <w:rsid w:val="00420E6A"/>
    <w:rsid w:val="00420FDC"/>
    <w:rsid w:val="0042198A"/>
    <w:rsid w:val="00421A72"/>
    <w:rsid w:val="00424764"/>
    <w:rsid w:val="00424CF5"/>
    <w:rsid w:val="00425A9E"/>
    <w:rsid w:val="00426D6B"/>
    <w:rsid w:val="00427A27"/>
    <w:rsid w:val="00431E6C"/>
    <w:rsid w:val="004337DA"/>
    <w:rsid w:val="00433CE7"/>
    <w:rsid w:val="00433F79"/>
    <w:rsid w:val="00436184"/>
    <w:rsid w:val="004416D0"/>
    <w:rsid w:val="00442BFB"/>
    <w:rsid w:val="00443947"/>
    <w:rsid w:val="0044790F"/>
    <w:rsid w:val="00450860"/>
    <w:rsid w:val="00452738"/>
    <w:rsid w:val="0045371B"/>
    <w:rsid w:val="00453EC8"/>
    <w:rsid w:val="00455546"/>
    <w:rsid w:val="00455E06"/>
    <w:rsid w:val="00456091"/>
    <w:rsid w:val="0046091F"/>
    <w:rsid w:val="00466321"/>
    <w:rsid w:val="004678B6"/>
    <w:rsid w:val="00470B42"/>
    <w:rsid w:val="00473F41"/>
    <w:rsid w:val="00484B9B"/>
    <w:rsid w:val="004855F6"/>
    <w:rsid w:val="004862F8"/>
    <w:rsid w:val="00486337"/>
    <w:rsid w:val="0048661E"/>
    <w:rsid w:val="00490B38"/>
    <w:rsid w:val="00490C46"/>
    <w:rsid w:val="00494670"/>
    <w:rsid w:val="00496651"/>
    <w:rsid w:val="0049686C"/>
    <w:rsid w:val="004972F7"/>
    <w:rsid w:val="004A3823"/>
    <w:rsid w:val="004A4DBD"/>
    <w:rsid w:val="004B07A8"/>
    <w:rsid w:val="004B26FE"/>
    <w:rsid w:val="004B2F87"/>
    <w:rsid w:val="004B35AF"/>
    <w:rsid w:val="004B508A"/>
    <w:rsid w:val="004B61BA"/>
    <w:rsid w:val="004B7532"/>
    <w:rsid w:val="004C64D0"/>
    <w:rsid w:val="004D28BC"/>
    <w:rsid w:val="004D5FA6"/>
    <w:rsid w:val="004D753B"/>
    <w:rsid w:val="004E6946"/>
    <w:rsid w:val="004E6B42"/>
    <w:rsid w:val="004F1105"/>
    <w:rsid w:val="004F1AD8"/>
    <w:rsid w:val="004F41AB"/>
    <w:rsid w:val="004F6B81"/>
    <w:rsid w:val="00500D76"/>
    <w:rsid w:val="005039CB"/>
    <w:rsid w:val="0050558F"/>
    <w:rsid w:val="00506286"/>
    <w:rsid w:val="0051043A"/>
    <w:rsid w:val="00510813"/>
    <w:rsid w:val="00511990"/>
    <w:rsid w:val="00511DE0"/>
    <w:rsid w:val="00514870"/>
    <w:rsid w:val="00514B9B"/>
    <w:rsid w:val="00517F02"/>
    <w:rsid w:val="0052108C"/>
    <w:rsid w:val="00524303"/>
    <w:rsid w:val="005258A2"/>
    <w:rsid w:val="00526B3B"/>
    <w:rsid w:val="005305C6"/>
    <w:rsid w:val="00537413"/>
    <w:rsid w:val="005401AE"/>
    <w:rsid w:val="0054083D"/>
    <w:rsid w:val="00542E07"/>
    <w:rsid w:val="00544219"/>
    <w:rsid w:val="00545424"/>
    <w:rsid w:val="00545FBB"/>
    <w:rsid w:val="005508D6"/>
    <w:rsid w:val="005508DB"/>
    <w:rsid w:val="005537A6"/>
    <w:rsid w:val="00554A7B"/>
    <w:rsid w:val="00554D8D"/>
    <w:rsid w:val="0055572C"/>
    <w:rsid w:val="00557228"/>
    <w:rsid w:val="005600F4"/>
    <w:rsid w:val="005601A7"/>
    <w:rsid w:val="0056106A"/>
    <w:rsid w:val="005644DB"/>
    <w:rsid w:val="00567788"/>
    <w:rsid w:val="00571A88"/>
    <w:rsid w:val="005720AE"/>
    <w:rsid w:val="00572B2B"/>
    <w:rsid w:val="00583C0B"/>
    <w:rsid w:val="00586919"/>
    <w:rsid w:val="00594D77"/>
    <w:rsid w:val="005969E4"/>
    <w:rsid w:val="00597911"/>
    <w:rsid w:val="005A0105"/>
    <w:rsid w:val="005A06B7"/>
    <w:rsid w:val="005A0944"/>
    <w:rsid w:val="005A1759"/>
    <w:rsid w:val="005A19C3"/>
    <w:rsid w:val="005A2407"/>
    <w:rsid w:val="005A3119"/>
    <w:rsid w:val="005A42AD"/>
    <w:rsid w:val="005A4D4E"/>
    <w:rsid w:val="005A68A7"/>
    <w:rsid w:val="005A7784"/>
    <w:rsid w:val="005A7C48"/>
    <w:rsid w:val="005B3555"/>
    <w:rsid w:val="005B7244"/>
    <w:rsid w:val="005B7526"/>
    <w:rsid w:val="005C3EBF"/>
    <w:rsid w:val="005D36AB"/>
    <w:rsid w:val="005D4FD4"/>
    <w:rsid w:val="005E72E4"/>
    <w:rsid w:val="005F4707"/>
    <w:rsid w:val="006050D0"/>
    <w:rsid w:val="00607DE0"/>
    <w:rsid w:val="006106F4"/>
    <w:rsid w:val="00610756"/>
    <w:rsid w:val="00612D89"/>
    <w:rsid w:val="00615729"/>
    <w:rsid w:val="00617CC3"/>
    <w:rsid w:val="006260A9"/>
    <w:rsid w:val="00626898"/>
    <w:rsid w:val="00631707"/>
    <w:rsid w:val="0063503D"/>
    <w:rsid w:val="0063527D"/>
    <w:rsid w:val="006377A6"/>
    <w:rsid w:val="00637802"/>
    <w:rsid w:val="00637A3D"/>
    <w:rsid w:val="00640F07"/>
    <w:rsid w:val="006411EF"/>
    <w:rsid w:val="006505BB"/>
    <w:rsid w:val="00651291"/>
    <w:rsid w:val="0065382F"/>
    <w:rsid w:val="00656878"/>
    <w:rsid w:val="00656C2F"/>
    <w:rsid w:val="00661188"/>
    <w:rsid w:val="006638D7"/>
    <w:rsid w:val="00667782"/>
    <w:rsid w:val="00670D5C"/>
    <w:rsid w:val="00673E75"/>
    <w:rsid w:val="0067480F"/>
    <w:rsid w:val="006748B8"/>
    <w:rsid w:val="00676C73"/>
    <w:rsid w:val="006775C3"/>
    <w:rsid w:val="00682241"/>
    <w:rsid w:val="00690980"/>
    <w:rsid w:val="00690D21"/>
    <w:rsid w:val="0069290A"/>
    <w:rsid w:val="0069775A"/>
    <w:rsid w:val="00697813"/>
    <w:rsid w:val="00697CA9"/>
    <w:rsid w:val="006A3DEC"/>
    <w:rsid w:val="006A3EE8"/>
    <w:rsid w:val="006A5B81"/>
    <w:rsid w:val="006A6685"/>
    <w:rsid w:val="006A72BF"/>
    <w:rsid w:val="006B03F2"/>
    <w:rsid w:val="006B1868"/>
    <w:rsid w:val="006B3121"/>
    <w:rsid w:val="006B37DC"/>
    <w:rsid w:val="006B4530"/>
    <w:rsid w:val="006B4CB2"/>
    <w:rsid w:val="006B4F68"/>
    <w:rsid w:val="006C012D"/>
    <w:rsid w:val="006C0592"/>
    <w:rsid w:val="006C102C"/>
    <w:rsid w:val="006C1245"/>
    <w:rsid w:val="006C272E"/>
    <w:rsid w:val="006C4F3E"/>
    <w:rsid w:val="006C5479"/>
    <w:rsid w:val="006C625C"/>
    <w:rsid w:val="006C702E"/>
    <w:rsid w:val="006D13B5"/>
    <w:rsid w:val="006D3947"/>
    <w:rsid w:val="006D6F20"/>
    <w:rsid w:val="006E0927"/>
    <w:rsid w:val="006E10BE"/>
    <w:rsid w:val="006E1260"/>
    <w:rsid w:val="006E12FF"/>
    <w:rsid w:val="006E607E"/>
    <w:rsid w:val="006F1CFC"/>
    <w:rsid w:val="007007DA"/>
    <w:rsid w:val="007042D0"/>
    <w:rsid w:val="0070648D"/>
    <w:rsid w:val="00706C5D"/>
    <w:rsid w:val="0070714C"/>
    <w:rsid w:val="00707474"/>
    <w:rsid w:val="0071029C"/>
    <w:rsid w:val="00720C04"/>
    <w:rsid w:val="00723B6F"/>
    <w:rsid w:val="007249AD"/>
    <w:rsid w:val="0072649C"/>
    <w:rsid w:val="00726F13"/>
    <w:rsid w:val="00730A4C"/>
    <w:rsid w:val="007312D2"/>
    <w:rsid w:val="00731AAA"/>
    <w:rsid w:val="00732922"/>
    <w:rsid w:val="007330FA"/>
    <w:rsid w:val="007335B4"/>
    <w:rsid w:val="007404AE"/>
    <w:rsid w:val="00741F5F"/>
    <w:rsid w:val="00747851"/>
    <w:rsid w:val="0075162E"/>
    <w:rsid w:val="00754034"/>
    <w:rsid w:val="007540C4"/>
    <w:rsid w:val="007544B7"/>
    <w:rsid w:val="007554CA"/>
    <w:rsid w:val="00756556"/>
    <w:rsid w:val="00757932"/>
    <w:rsid w:val="00760384"/>
    <w:rsid w:val="007618C4"/>
    <w:rsid w:val="00762FD5"/>
    <w:rsid w:val="00767980"/>
    <w:rsid w:val="00770B19"/>
    <w:rsid w:val="0077463F"/>
    <w:rsid w:val="00774F66"/>
    <w:rsid w:val="007771E8"/>
    <w:rsid w:val="007836EA"/>
    <w:rsid w:val="00784CDA"/>
    <w:rsid w:val="00786C48"/>
    <w:rsid w:val="007906C4"/>
    <w:rsid w:val="00792D3E"/>
    <w:rsid w:val="00793519"/>
    <w:rsid w:val="007940EA"/>
    <w:rsid w:val="00795B35"/>
    <w:rsid w:val="007967E8"/>
    <w:rsid w:val="007A2170"/>
    <w:rsid w:val="007A22BF"/>
    <w:rsid w:val="007A2D3B"/>
    <w:rsid w:val="007A3323"/>
    <w:rsid w:val="007A4D8F"/>
    <w:rsid w:val="007A7233"/>
    <w:rsid w:val="007B1247"/>
    <w:rsid w:val="007B15A4"/>
    <w:rsid w:val="007B2474"/>
    <w:rsid w:val="007B3B15"/>
    <w:rsid w:val="007B442D"/>
    <w:rsid w:val="007B72B8"/>
    <w:rsid w:val="007B7A58"/>
    <w:rsid w:val="007C184F"/>
    <w:rsid w:val="007C21B5"/>
    <w:rsid w:val="007C4D1F"/>
    <w:rsid w:val="007C5BA9"/>
    <w:rsid w:val="007C7AAB"/>
    <w:rsid w:val="007D00E3"/>
    <w:rsid w:val="007D01EA"/>
    <w:rsid w:val="007D2516"/>
    <w:rsid w:val="007D3D29"/>
    <w:rsid w:val="007D4284"/>
    <w:rsid w:val="007D6DD7"/>
    <w:rsid w:val="007D77A9"/>
    <w:rsid w:val="007E0726"/>
    <w:rsid w:val="007E4BD2"/>
    <w:rsid w:val="007E68A6"/>
    <w:rsid w:val="007F4659"/>
    <w:rsid w:val="00801393"/>
    <w:rsid w:val="00801BC5"/>
    <w:rsid w:val="00802F88"/>
    <w:rsid w:val="0081293E"/>
    <w:rsid w:val="00812CCD"/>
    <w:rsid w:val="00812D23"/>
    <w:rsid w:val="008148EA"/>
    <w:rsid w:val="00815465"/>
    <w:rsid w:val="00817E9A"/>
    <w:rsid w:val="008239C3"/>
    <w:rsid w:val="0082505C"/>
    <w:rsid w:val="008306BD"/>
    <w:rsid w:val="008313C1"/>
    <w:rsid w:val="00831A80"/>
    <w:rsid w:val="008335D7"/>
    <w:rsid w:val="00833743"/>
    <w:rsid w:val="008340A4"/>
    <w:rsid w:val="00835E03"/>
    <w:rsid w:val="00836918"/>
    <w:rsid w:val="00836F65"/>
    <w:rsid w:val="008378F9"/>
    <w:rsid w:val="00841809"/>
    <w:rsid w:val="0084297D"/>
    <w:rsid w:val="008449EA"/>
    <w:rsid w:val="0084550C"/>
    <w:rsid w:val="00847A85"/>
    <w:rsid w:val="00847FCE"/>
    <w:rsid w:val="008539E9"/>
    <w:rsid w:val="00857591"/>
    <w:rsid w:val="00862342"/>
    <w:rsid w:val="0086377B"/>
    <w:rsid w:val="0087135F"/>
    <w:rsid w:val="00872D1A"/>
    <w:rsid w:val="00872D94"/>
    <w:rsid w:val="00880364"/>
    <w:rsid w:val="00882674"/>
    <w:rsid w:val="0088457B"/>
    <w:rsid w:val="00884BB5"/>
    <w:rsid w:val="00890C74"/>
    <w:rsid w:val="00891592"/>
    <w:rsid w:val="00891CAE"/>
    <w:rsid w:val="00891E9E"/>
    <w:rsid w:val="00893A5D"/>
    <w:rsid w:val="008959DD"/>
    <w:rsid w:val="008A0A1E"/>
    <w:rsid w:val="008A2F68"/>
    <w:rsid w:val="008A6182"/>
    <w:rsid w:val="008A6FA5"/>
    <w:rsid w:val="008A702B"/>
    <w:rsid w:val="008B0D19"/>
    <w:rsid w:val="008B165D"/>
    <w:rsid w:val="008B3245"/>
    <w:rsid w:val="008B44D0"/>
    <w:rsid w:val="008B4FA6"/>
    <w:rsid w:val="008B5282"/>
    <w:rsid w:val="008B66DA"/>
    <w:rsid w:val="008B7C17"/>
    <w:rsid w:val="008C2D01"/>
    <w:rsid w:val="008C40E6"/>
    <w:rsid w:val="008C41F5"/>
    <w:rsid w:val="008D0F7A"/>
    <w:rsid w:val="008D12D1"/>
    <w:rsid w:val="008D2836"/>
    <w:rsid w:val="008D68E4"/>
    <w:rsid w:val="008E0506"/>
    <w:rsid w:val="008E0C15"/>
    <w:rsid w:val="008E0CFF"/>
    <w:rsid w:val="008E36A9"/>
    <w:rsid w:val="008E39B7"/>
    <w:rsid w:val="008E5D6B"/>
    <w:rsid w:val="008E76F0"/>
    <w:rsid w:val="008F0493"/>
    <w:rsid w:val="008F15FE"/>
    <w:rsid w:val="008F2D29"/>
    <w:rsid w:val="008F3AB6"/>
    <w:rsid w:val="008F42A4"/>
    <w:rsid w:val="008F4384"/>
    <w:rsid w:val="008F5187"/>
    <w:rsid w:val="008F5DBA"/>
    <w:rsid w:val="008F60D8"/>
    <w:rsid w:val="009008B8"/>
    <w:rsid w:val="00902727"/>
    <w:rsid w:val="00902E90"/>
    <w:rsid w:val="0090312B"/>
    <w:rsid w:val="0090594E"/>
    <w:rsid w:val="0090692A"/>
    <w:rsid w:val="00911579"/>
    <w:rsid w:val="00912AFF"/>
    <w:rsid w:val="00915F11"/>
    <w:rsid w:val="0091736D"/>
    <w:rsid w:val="00924963"/>
    <w:rsid w:val="009250DB"/>
    <w:rsid w:val="0093037A"/>
    <w:rsid w:val="00930516"/>
    <w:rsid w:val="009312E0"/>
    <w:rsid w:val="00937220"/>
    <w:rsid w:val="0094154D"/>
    <w:rsid w:val="00942004"/>
    <w:rsid w:val="00944266"/>
    <w:rsid w:val="00946AE0"/>
    <w:rsid w:val="0095155F"/>
    <w:rsid w:val="00954429"/>
    <w:rsid w:val="00954CA0"/>
    <w:rsid w:val="009563CE"/>
    <w:rsid w:val="009569A5"/>
    <w:rsid w:val="00960621"/>
    <w:rsid w:val="0096178A"/>
    <w:rsid w:val="009624E4"/>
    <w:rsid w:val="00965EBA"/>
    <w:rsid w:val="00971C08"/>
    <w:rsid w:val="00974AF3"/>
    <w:rsid w:val="00976328"/>
    <w:rsid w:val="009763B3"/>
    <w:rsid w:val="0097680D"/>
    <w:rsid w:val="00980922"/>
    <w:rsid w:val="00981D02"/>
    <w:rsid w:val="00982438"/>
    <w:rsid w:val="0098404C"/>
    <w:rsid w:val="00985283"/>
    <w:rsid w:val="009907AE"/>
    <w:rsid w:val="009916C2"/>
    <w:rsid w:val="00995992"/>
    <w:rsid w:val="00995A60"/>
    <w:rsid w:val="00997C16"/>
    <w:rsid w:val="009A03E5"/>
    <w:rsid w:val="009A0CB9"/>
    <w:rsid w:val="009A0D88"/>
    <w:rsid w:val="009A0F3B"/>
    <w:rsid w:val="009A1BB4"/>
    <w:rsid w:val="009A2628"/>
    <w:rsid w:val="009A3200"/>
    <w:rsid w:val="009A3EE1"/>
    <w:rsid w:val="009A63B3"/>
    <w:rsid w:val="009A7F85"/>
    <w:rsid w:val="009B0897"/>
    <w:rsid w:val="009B2FF8"/>
    <w:rsid w:val="009B65B0"/>
    <w:rsid w:val="009B7BD9"/>
    <w:rsid w:val="009C1065"/>
    <w:rsid w:val="009C2DF3"/>
    <w:rsid w:val="009C6914"/>
    <w:rsid w:val="009C77BD"/>
    <w:rsid w:val="009C7A65"/>
    <w:rsid w:val="009C7DD5"/>
    <w:rsid w:val="009D3D99"/>
    <w:rsid w:val="009E0046"/>
    <w:rsid w:val="009E227D"/>
    <w:rsid w:val="009E5019"/>
    <w:rsid w:val="009E6E13"/>
    <w:rsid w:val="009F217A"/>
    <w:rsid w:val="009F226B"/>
    <w:rsid w:val="009F3B8A"/>
    <w:rsid w:val="00A01B29"/>
    <w:rsid w:val="00A026BF"/>
    <w:rsid w:val="00A04F1B"/>
    <w:rsid w:val="00A0501B"/>
    <w:rsid w:val="00A059A4"/>
    <w:rsid w:val="00A05ED3"/>
    <w:rsid w:val="00A07F94"/>
    <w:rsid w:val="00A14947"/>
    <w:rsid w:val="00A15BBD"/>
    <w:rsid w:val="00A218C1"/>
    <w:rsid w:val="00A23FE2"/>
    <w:rsid w:val="00A25F25"/>
    <w:rsid w:val="00A2681A"/>
    <w:rsid w:val="00A32A83"/>
    <w:rsid w:val="00A3311F"/>
    <w:rsid w:val="00A33CD5"/>
    <w:rsid w:val="00A34B65"/>
    <w:rsid w:val="00A368DB"/>
    <w:rsid w:val="00A423AA"/>
    <w:rsid w:val="00A444D7"/>
    <w:rsid w:val="00A45C8E"/>
    <w:rsid w:val="00A470DC"/>
    <w:rsid w:val="00A53E1A"/>
    <w:rsid w:val="00A53EC6"/>
    <w:rsid w:val="00A55AD1"/>
    <w:rsid w:val="00A55C0F"/>
    <w:rsid w:val="00A60E4E"/>
    <w:rsid w:val="00A63835"/>
    <w:rsid w:val="00A65CC6"/>
    <w:rsid w:val="00A823FE"/>
    <w:rsid w:val="00A85A5D"/>
    <w:rsid w:val="00A85CE0"/>
    <w:rsid w:val="00A8713F"/>
    <w:rsid w:val="00A8791A"/>
    <w:rsid w:val="00A90BA1"/>
    <w:rsid w:val="00A94ED9"/>
    <w:rsid w:val="00A97A9A"/>
    <w:rsid w:val="00A97C6F"/>
    <w:rsid w:val="00AA0671"/>
    <w:rsid w:val="00AA0FC7"/>
    <w:rsid w:val="00AA2531"/>
    <w:rsid w:val="00AA2A2F"/>
    <w:rsid w:val="00AB05EA"/>
    <w:rsid w:val="00AB1E09"/>
    <w:rsid w:val="00AB4514"/>
    <w:rsid w:val="00AB4BC6"/>
    <w:rsid w:val="00AB5330"/>
    <w:rsid w:val="00AB7747"/>
    <w:rsid w:val="00AC059B"/>
    <w:rsid w:val="00AC090E"/>
    <w:rsid w:val="00AC1376"/>
    <w:rsid w:val="00AC14CE"/>
    <w:rsid w:val="00AC2A56"/>
    <w:rsid w:val="00AC4478"/>
    <w:rsid w:val="00AC5C21"/>
    <w:rsid w:val="00AD022D"/>
    <w:rsid w:val="00AD055E"/>
    <w:rsid w:val="00AD21F0"/>
    <w:rsid w:val="00AD299D"/>
    <w:rsid w:val="00AD457B"/>
    <w:rsid w:val="00AD47A7"/>
    <w:rsid w:val="00AE4619"/>
    <w:rsid w:val="00AF0CBF"/>
    <w:rsid w:val="00AF257F"/>
    <w:rsid w:val="00AF27FE"/>
    <w:rsid w:val="00AF33CF"/>
    <w:rsid w:val="00AF4D50"/>
    <w:rsid w:val="00AF6179"/>
    <w:rsid w:val="00AF7F31"/>
    <w:rsid w:val="00B02281"/>
    <w:rsid w:val="00B11619"/>
    <w:rsid w:val="00B1223E"/>
    <w:rsid w:val="00B1295A"/>
    <w:rsid w:val="00B16532"/>
    <w:rsid w:val="00B20A45"/>
    <w:rsid w:val="00B22C5C"/>
    <w:rsid w:val="00B22F72"/>
    <w:rsid w:val="00B24F30"/>
    <w:rsid w:val="00B26475"/>
    <w:rsid w:val="00B31ABF"/>
    <w:rsid w:val="00B33BE3"/>
    <w:rsid w:val="00B3469E"/>
    <w:rsid w:val="00B35307"/>
    <w:rsid w:val="00B434FE"/>
    <w:rsid w:val="00B439BE"/>
    <w:rsid w:val="00B53B5D"/>
    <w:rsid w:val="00B557A8"/>
    <w:rsid w:val="00B6055E"/>
    <w:rsid w:val="00B6139D"/>
    <w:rsid w:val="00B6317D"/>
    <w:rsid w:val="00B67C66"/>
    <w:rsid w:val="00B7091A"/>
    <w:rsid w:val="00B7238C"/>
    <w:rsid w:val="00B723CF"/>
    <w:rsid w:val="00B725FD"/>
    <w:rsid w:val="00B72BDE"/>
    <w:rsid w:val="00B7673C"/>
    <w:rsid w:val="00B7723F"/>
    <w:rsid w:val="00B77FAF"/>
    <w:rsid w:val="00B8015E"/>
    <w:rsid w:val="00B80534"/>
    <w:rsid w:val="00B81C9D"/>
    <w:rsid w:val="00B8433C"/>
    <w:rsid w:val="00B87491"/>
    <w:rsid w:val="00B903D4"/>
    <w:rsid w:val="00B938D1"/>
    <w:rsid w:val="00B93C23"/>
    <w:rsid w:val="00B96606"/>
    <w:rsid w:val="00BA0C83"/>
    <w:rsid w:val="00BA159D"/>
    <w:rsid w:val="00BA281D"/>
    <w:rsid w:val="00BA29E9"/>
    <w:rsid w:val="00BA46A0"/>
    <w:rsid w:val="00BA5A25"/>
    <w:rsid w:val="00BA7142"/>
    <w:rsid w:val="00BB237C"/>
    <w:rsid w:val="00BB29B2"/>
    <w:rsid w:val="00BB382C"/>
    <w:rsid w:val="00BB3912"/>
    <w:rsid w:val="00BB41A3"/>
    <w:rsid w:val="00BB4967"/>
    <w:rsid w:val="00BC32DC"/>
    <w:rsid w:val="00BC35B6"/>
    <w:rsid w:val="00BC79CC"/>
    <w:rsid w:val="00BD04E2"/>
    <w:rsid w:val="00BD1B51"/>
    <w:rsid w:val="00BD4596"/>
    <w:rsid w:val="00BE054A"/>
    <w:rsid w:val="00BE1086"/>
    <w:rsid w:val="00BE1405"/>
    <w:rsid w:val="00BE172F"/>
    <w:rsid w:val="00BE1CB6"/>
    <w:rsid w:val="00BE312D"/>
    <w:rsid w:val="00BE38D2"/>
    <w:rsid w:val="00BE674B"/>
    <w:rsid w:val="00BF1C20"/>
    <w:rsid w:val="00BF2955"/>
    <w:rsid w:val="00BF2A0F"/>
    <w:rsid w:val="00BF7199"/>
    <w:rsid w:val="00C00CAA"/>
    <w:rsid w:val="00C07E4B"/>
    <w:rsid w:val="00C10578"/>
    <w:rsid w:val="00C11CDB"/>
    <w:rsid w:val="00C11D4D"/>
    <w:rsid w:val="00C135BC"/>
    <w:rsid w:val="00C14B78"/>
    <w:rsid w:val="00C14C6F"/>
    <w:rsid w:val="00C15C95"/>
    <w:rsid w:val="00C20672"/>
    <w:rsid w:val="00C21EA3"/>
    <w:rsid w:val="00C2481B"/>
    <w:rsid w:val="00C2596A"/>
    <w:rsid w:val="00C2622B"/>
    <w:rsid w:val="00C27537"/>
    <w:rsid w:val="00C30E2E"/>
    <w:rsid w:val="00C328FE"/>
    <w:rsid w:val="00C33507"/>
    <w:rsid w:val="00C37060"/>
    <w:rsid w:val="00C3735A"/>
    <w:rsid w:val="00C3774A"/>
    <w:rsid w:val="00C41A43"/>
    <w:rsid w:val="00C4409D"/>
    <w:rsid w:val="00C4481A"/>
    <w:rsid w:val="00C44E72"/>
    <w:rsid w:val="00C45A06"/>
    <w:rsid w:val="00C47E5B"/>
    <w:rsid w:val="00C51E1D"/>
    <w:rsid w:val="00C54122"/>
    <w:rsid w:val="00C544CE"/>
    <w:rsid w:val="00C60F5C"/>
    <w:rsid w:val="00C618A4"/>
    <w:rsid w:val="00C61E4B"/>
    <w:rsid w:val="00C620C3"/>
    <w:rsid w:val="00C630A8"/>
    <w:rsid w:val="00C64BFF"/>
    <w:rsid w:val="00C65488"/>
    <w:rsid w:val="00C704E9"/>
    <w:rsid w:val="00C72D2C"/>
    <w:rsid w:val="00C758C6"/>
    <w:rsid w:val="00C763C9"/>
    <w:rsid w:val="00C77470"/>
    <w:rsid w:val="00C80057"/>
    <w:rsid w:val="00C802FC"/>
    <w:rsid w:val="00C82232"/>
    <w:rsid w:val="00C82913"/>
    <w:rsid w:val="00C84A6B"/>
    <w:rsid w:val="00C972B1"/>
    <w:rsid w:val="00CA06FB"/>
    <w:rsid w:val="00CA2CCE"/>
    <w:rsid w:val="00CA43FD"/>
    <w:rsid w:val="00CA7AAF"/>
    <w:rsid w:val="00CA7EF8"/>
    <w:rsid w:val="00CB3050"/>
    <w:rsid w:val="00CB415B"/>
    <w:rsid w:val="00CB59EB"/>
    <w:rsid w:val="00CB77C3"/>
    <w:rsid w:val="00CB7FD0"/>
    <w:rsid w:val="00CC1F92"/>
    <w:rsid w:val="00CC3441"/>
    <w:rsid w:val="00CC36AF"/>
    <w:rsid w:val="00CC489B"/>
    <w:rsid w:val="00CC7474"/>
    <w:rsid w:val="00CD060E"/>
    <w:rsid w:val="00CD2763"/>
    <w:rsid w:val="00CD2BCD"/>
    <w:rsid w:val="00CD3A4C"/>
    <w:rsid w:val="00CD57F0"/>
    <w:rsid w:val="00CE10E9"/>
    <w:rsid w:val="00CE2910"/>
    <w:rsid w:val="00CE5393"/>
    <w:rsid w:val="00CE5E6D"/>
    <w:rsid w:val="00CE6B57"/>
    <w:rsid w:val="00CF0EF2"/>
    <w:rsid w:val="00CF1D28"/>
    <w:rsid w:val="00CF20E9"/>
    <w:rsid w:val="00CF36B5"/>
    <w:rsid w:val="00CF36BE"/>
    <w:rsid w:val="00CF42C7"/>
    <w:rsid w:val="00CF6000"/>
    <w:rsid w:val="00D003F3"/>
    <w:rsid w:val="00D0050D"/>
    <w:rsid w:val="00D007AD"/>
    <w:rsid w:val="00D01FC9"/>
    <w:rsid w:val="00D021FB"/>
    <w:rsid w:val="00D0364F"/>
    <w:rsid w:val="00D046BB"/>
    <w:rsid w:val="00D04CB4"/>
    <w:rsid w:val="00D06834"/>
    <w:rsid w:val="00D06D13"/>
    <w:rsid w:val="00D074B4"/>
    <w:rsid w:val="00D13CF3"/>
    <w:rsid w:val="00D228ED"/>
    <w:rsid w:val="00D22AA6"/>
    <w:rsid w:val="00D25824"/>
    <w:rsid w:val="00D2725E"/>
    <w:rsid w:val="00D27CC8"/>
    <w:rsid w:val="00D308ED"/>
    <w:rsid w:val="00D3207B"/>
    <w:rsid w:val="00D36725"/>
    <w:rsid w:val="00D36D86"/>
    <w:rsid w:val="00D404CE"/>
    <w:rsid w:val="00D428AA"/>
    <w:rsid w:val="00D478F6"/>
    <w:rsid w:val="00D50A34"/>
    <w:rsid w:val="00D5186D"/>
    <w:rsid w:val="00D53EFA"/>
    <w:rsid w:val="00D557E2"/>
    <w:rsid w:val="00D57E83"/>
    <w:rsid w:val="00D612DB"/>
    <w:rsid w:val="00D65F52"/>
    <w:rsid w:val="00D67D6F"/>
    <w:rsid w:val="00D7276A"/>
    <w:rsid w:val="00D74075"/>
    <w:rsid w:val="00D7478A"/>
    <w:rsid w:val="00D752AA"/>
    <w:rsid w:val="00D85386"/>
    <w:rsid w:val="00D903D9"/>
    <w:rsid w:val="00D94A7C"/>
    <w:rsid w:val="00D94FB4"/>
    <w:rsid w:val="00D95896"/>
    <w:rsid w:val="00DA1FD7"/>
    <w:rsid w:val="00DA43D6"/>
    <w:rsid w:val="00DA4BDB"/>
    <w:rsid w:val="00DB2983"/>
    <w:rsid w:val="00DC040F"/>
    <w:rsid w:val="00DC1257"/>
    <w:rsid w:val="00DC3DC0"/>
    <w:rsid w:val="00DC4139"/>
    <w:rsid w:val="00DC5B2B"/>
    <w:rsid w:val="00DD0790"/>
    <w:rsid w:val="00DD0802"/>
    <w:rsid w:val="00DD318D"/>
    <w:rsid w:val="00DD373B"/>
    <w:rsid w:val="00DD5C57"/>
    <w:rsid w:val="00DF14B2"/>
    <w:rsid w:val="00DF2E12"/>
    <w:rsid w:val="00DF514A"/>
    <w:rsid w:val="00DF6690"/>
    <w:rsid w:val="00DF6804"/>
    <w:rsid w:val="00E00455"/>
    <w:rsid w:val="00E0358D"/>
    <w:rsid w:val="00E03790"/>
    <w:rsid w:val="00E0400E"/>
    <w:rsid w:val="00E04323"/>
    <w:rsid w:val="00E070A2"/>
    <w:rsid w:val="00E10002"/>
    <w:rsid w:val="00E11057"/>
    <w:rsid w:val="00E1247B"/>
    <w:rsid w:val="00E12695"/>
    <w:rsid w:val="00E13D97"/>
    <w:rsid w:val="00E1479B"/>
    <w:rsid w:val="00E20370"/>
    <w:rsid w:val="00E2131A"/>
    <w:rsid w:val="00E22182"/>
    <w:rsid w:val="00E22610"/>
    <w:rsid w:val="00E2656A"/>
    <w:rsid w:val="00E26E96"/>
    <w:rsid w:val="00E3355E"/>
    <w:rsid w:val="00E412D0"/>
    <w:rsid w:val="00E42AA7"/>
    <w:rsid w:val="00E42CE6"/>
    <w:rsid w:val="00E43AC6"/>
    <w:rsid w:val="00E44F1D"/>
    <w:rsid w:val="00E4562A"/>
    <w:rsid w:val="00E479F8"/>
    <w:rsid w:val="00E555AC"/>
    <w:rsid w:val="00E56322"/>
    <w:rsid w:val="00E6050C"/>
    <w:rsid w:val="00E60982"/>
    <w:rsid w:val="00E626FF"/>
    <w:rsid w:val="00E62C62"/>
    <w:rsid w:val="00E635C4"/>
    <w:rsid w:val="00E654C1"/>
    <w:rsid w:val="00E65D97"/>
    <w:rsid w:val="00E66184"/>
    <w:rsid w:val="00E66FCF"/>
    <w:rsid w:val="00E719A5"/>
    <w:rsid w:val="00E72A5A"/>
    <w:rsid w:val="00E73354"/>
    <w:rsid w:val="00E73870"/>
    <w:rsid w:val="00E7630E"/>
    <w:rsid w:val="00E77448"/>
    <w:rsid w:val="00E81C30"/>
    <w:rsid w:val="00E828D6"/>
    <w:rsid w:val="00E86E50"/>
    <w:rsid w:val="00E92120"/>
    <w:rsid w:val="00E9242D"/>
    <w:rsid w:val="00E92FCB"/>
    <w:rsid w:val="00EA10F4"/>
    <w:rsid w:val="00EA5347"/>
    <w:rsid w:val="00EB1C0E"/>
    <w:rsid w:val="00EB5255"/>
    <w:rsid w:val="00EB5C47"/>
    <w:rsid w:val="00EB6D2E"/>
    <w:rsid w:val="00EB7EDC"/>
    <w:rsid w:val="00EC4589"/>
    <w:rsid w:val="00ED0639"/>
    <w:rsid w:val="00ED3729"/>
    <w:rsid w:val="00EE1215"/>
    <w:rsid w:val="00EE16AF"/>
    <w:rsid w:val="00EE1DF6"/>
    <w:rsid w:val="00EE3516"/>
    <w:rsid w:val="00EE396D"/>
    <w:rsid w:val="00EE4D46"/>
    <w:rsid w:val="00EF02F3"/>
    <w:rsid w:val="00EF4755"/>
    <w:rsid w:val="00EF4DE8"/>
    <w:rsid w:val="00EF7135"/>
    <w:rsid w:val="00F007B4"/>
    <w:rsid w:val="00F01CBB"/>
    <w:rsid w:val="00F027DB"/>
    <w:rsid w:val="00F05DAE"/>
    <w:rsid w:val="00F06B91"/>
    <w:rsid w:val="00F07801"/>
    <w:rsid w:val="00F13921"/>
    <w:rsid w:val="00F14A7A"/>
    <w:rsid w:val="00F16D69"/>
    <w:rsid w:val="00F17018"/>
    <w:rsid w:val="00F202FD"/>
    <w:rsid w:val="00F22985"/>
    <w:rsid w:val="00F3383E"/>
    <w:rsid w:val="00F33F2E"/>
    <w:rsid w:val="00F42CE3"/>
    <w:rsid w:val="00F4411C"/>
    <w:rsid w:val="00F465A7"/>
    <w:rsid w:val="00F50B7C"/>
    <w:rsid w:val="00F5489C"/>
    <w:rsid w:val="00F550E6"/>
    <w:rsid w:val="00F6024B"/>
    <w:rsid w:val="00F60A07"/>
    <w:rsid w:val="00F636E3"/>
    <w:rsid w:val="00F67F54"/>
    <w:rsid w:val="00F74345"/>
    <w:rsid w:val="00F80035"/>
    <w:rsid w:val="00F80A0A"/>
    <w:rsid w:val="00F820AC"/>
    <w:rsid w:val="00F82B19"/>
    <w:rsid w:val="00F85E54"/>
    <w:rsid w:val="00F91E76"/>
    <w:rsid w:val="00F9212D"/>
    <w:rsid w:val="00F95AB6"/>
    <w:rsid w:val="00F965DA"/>
    <w:rsid w:val="00FA0456"/>
    <w:rsid w:val="00FA04EA"/>
    <w:rsid w:val="00FA082E"/>
    <w:rsid w:val="00FA27A2"/>
    <w:rsid w:val="00FA33CD"/>
    <w:rsid w:val="00FA3BF9"/>
    <w:rsid w:val="00FA406A"/>
    <w:rsid w:val="00FA4B35"/>
    <w:rsid w:val="00FA760A"/>
    <w:rsid w:val="00FA7AD5"/>
    <w:rsid w:val="00FB297B"/>
    <w:rsid w:val="00FB503A"/>
    <w:rsid w:val="00FB516C"/>
    <w:rsid w:val="00FB62F5"/>
    <w:rsid w:val="00FC05E9"/>
    <w:rsid w:val="00FC3E87"/>
    <w:rsid w:val="00FC41FD"/>
    <w:rsid w:val="00FC431F"/>
    <w:rsid w:val="00FC5E24"/>
    <w:rsid w:val="00FC64B6"/>
    <w:rsid w:val="00FD0236"/>
    <w:rsid w:val="00FD18F4"/>
    <w:rsid w:val="00FD27F8"/>
    <w:rsid w:val="00FD54DB"/>
    <w:rsid w:val="00FD619F"/>
    <w:rsid w:val="00FE16FC"/>
    <w:rsid w:val="00FE1B34"/>
    <w:rsid w:val="00FE6E7A"/>
    <w:rsid w:val="00FF496C"/>
    <w:rsid w:val="00FF52AE"/>
    <w:rsid w:val="01212CD5"/>
    <w:rsid w:val="012302C3"/>
    <w:rsid w:val="01290F7E"/>
    <w:rsid w:val="012D37A4"/>
    <w:rsid w:val="012F41F1"/>
    <w:rsid w:val="0134548E"/>
    <w:rsid w:val="013B48B1"/>
    <w:rsid w:val="015D1E09"/>
    <w:rsid w:val="01633E9B"/>
    <w:rsid w:val="016674D7"/>
    <w:rsid w:val="019F7EB2"/>
    <w:rsid w:val="01B95334"/>
    <w:rsid w:val="01D76575"/>
    <w:rsid w:val="01D91F20"/>
    <w:rsid w:val="01F458CE"/>
    <w:rsid w:val="0246450D"/>
    <w:rsid w:val="0253158E"/>
    <w:rsid w:val="025536F2"/>
    <w:rsid w:val="02567340"/>
    <w:rsid w:val="02584939"/>
    <w:rsid w:val="025E10F9"/>
    <w:rsid w:val="025E4701"/>
    <w:rsid w:val="026131C1"/>
    <w:rsid w:val="0261662C"/>
    <w:rsid w:val="02697903"/>
    <w:rsid w:val="02764356"/>
    <w:rsid w:val="02785A56"/>
    <w:rsid w:val="028B36A9"/>
    <w:rsid w:val="028D5553"/>
    <w:rsid w:val="02B44C05"/>
    <w:rsid w:val="02B824B5"/>
    <w:rsid w:val="02DE480D"/>
    <w:rsid w:val="02DF39F5"/>
    <w:rsid w:val="02EF4CE1"/>
    <w:rsid w:val="02F96569"/>
    <w:rsid w:val="03074550"/>
    <w:rsid w:val="030F693F"/>
    <w:rsid w:val="031F18A8"/>
    <w:rsid w:val="03526967"/>
    <w:rsid w:val="036074F8"/>
    <w:rsid w:val="03694CA6"/>
    <w:rsid w:val="036D31FB"/>
    <w:rsid w:val="037A0D2F"/>
    <w:rsid w:val="03830824"/>
    <w:rsid w:val="039D18E6"/>
    <w:rsid w:val="03A675BE"/>
    <w:rsid w:val="03A828B1"/>
    <w:rsid w:val="03AB5D47"/>
    <w:rsid w:val="03BE2CAF"/>
    <w:rsid w:val="03C365FF"/>
    <w:rsid w:val="03C86237"/>
    <w:rsid w:val="03D90945"/>
    <w:rsid w:val="03EA7B21"/>
    <w:rsid w:val="03FE574E"/>
    <w:rsid w:val="03FF355C"/>
    <w:rsid w:val="04245B63"/>
    <w:rsid w:val="04446111"/>
    <w:rsid w:val="045F64A0"/>
    <w:rsid w:val="04795B42"/>
    <w:rsid w:val="047A2DC7"/>
    <w:rsid w:val="048D134F"/>
    <w:rsid w:val="04A445BC"/>
    <w:rsid w:val="04A70542"/>
    <w:rsid w:val="04C1348B"/>
    <w:rsid w:val="04CA5E30"/>
    <w:rsid w:val="04DA6F7E"/>
    <w:rsid w:val="04EC0C31"/>
    <w:rsid w:val="04EC52C9"/>
    <w:rsid w:val="04F23C90"/>
    <w:rsid w:val="04FC38D0"/>
    <w:rsid w:val="050357EF"/>
    <w:rsid w:val="05053A33"/>
    <w:rsid w:val="050B2AA0"/>
    <w:rsid w:val="05345592"/>
    <w:rsid w:val="054D1176"/>
    <w:rsid w:val="05531274"/>
    <w:rsid w:val="055E6E53"/>
    <w:rsid w:val="056B77C2"/>
    <w:rsid w:val="05BB7523"/>
    <w:rsid w:val="05C354F5"/>
    <w:rsid w:val="05DA4873"/>
    <w:rsid w:val="05DB04A3"/>
    <w:rsid w:val="05DB6214"/>
    <w:rsid w:val="05DD246D"/>
    <w:rsid w:val="05E10A0D"/>
    <w:rsid w:val="05E54A0B"/>
    <w:rsid w:val="05EC1CBC"/>
    <w:rsid w:val="05F83EAE"/>
    <w:rsid w:val="06020126"/>
    <w:rsid w:val="0606676A"/>
    <w:rsid w:val="06165B25"/>
    <w:rsid w:val="06200CE7"/>
    <w:rsid w:val="062349F8"/>
    <w:rsid w:val="06247B31"/>
    <w:rsid w:val="062748DB"/>
    <w:rsid w:val="06353733"/>
    <w:rsid w:val="06360EDD"/>
    <w:rsid w:val="063E7D85"/>
    <w:rsid w:val="064B4399"/>
    <w:rsid w:val="06542CAB"/>
    <w:rsid w:val="066D2517"/>
    <w:rsid w:val="06807708"/>
    <w:rsid w:val="068804A7"/>
    <w:rsid w:val="06A55197"/>
    <w:rsid w:val="06AB0E04"/>
    <w:rsid w:val="06D82C35"/>
    <w:rsid w:val="06D95A8A"/>
    <w:rsid w:val="06E07C6C"/>
    <w:rsid w:val="06F114D9"/>
    <w:rsid w:val="06FA704F"/>
    <w:rsid w:val="07135AA7"/>
    <w:rsid w:val="07293586"/>
    <w:rsid w:val="07295285"/>
    <w:rsid w:val="072A1B9B"/>
    <w:rsid w:val="07634BF4"/>
    <w:rsid w:val="07636392"/>
    <w:rsid w:val="07650F54"/>
    <w:rsid w:val="07733224"/>
    <w:rsid w:val="07770C56"/>
    <w:rsid w:val="077E1A2E"/>
    <w:rsid w:val="07857FB4"/>
    <w:rsid w:val="07950C02"/>
    <w:rsid w:val="07B14F04"/>
    <w:rsid w:val="07D04CC8"/>
    <w:rsid w:val="07D32269"/>
    <w:rsid w:val="08043390"/>
    <w:rsid w:val="082463FC"/>
    <w:rsid w:val="082549AF"/>
    <w:rsid w:val="084D277C"/>
    <w:rsid w:val="085239CE"/>
    <w:rsid w:val="0860677F"/>
    <w:rsid w:val="08734E96"/>
    <w:rsid w:val="08744BDF"/>
    <w:rsid w:val="08851411"/>
    <w:rsid w:val="08887E8D"/>
    <w:rsid w:val="088A4EF6"/>
    <w:rsid w:val="08907C4F"/>
    <w:rsid w:val="08921B11"/>
    <w:rsid w:val="089420B8"/>
    <w:rsid w:val="08A5174E"/>
    <w:rsid w:val="08A639AA"/>
    <w:rsid w:val="08AE1E9F"/>
    <w:rsid w:val="08CC0577"/>
    <w:rsid w:val="08DA1FE2"/>
    <w:rsid w:val="08E367F2"/>
    <w:rsid w:val="08EB30F3"/>
    <w:rsid w:val="08EB5AB7"/>
    <w:rsid w:val="092108C3"/>
    <w:rsid w:val="092217DD"/>
    <w:rsid w:val="0927168D"/>
    <w:rsid w:val="093A7294"/>
    <w:rsid w:val="098E1B2F"/>
    <w:rsid w:val="09B434E5"/>
    <w:rsid w:val="09BD7261"/>
    <w:rsid w:val="09C0632E"/>
    <w:rsid w:val="09E4099F"/>
    <w:rsid w:val="09E95FEA"/>
    <w:rsid w:val="09FD7E16"/>
    <w:rsid w:val="09FE14A3"/>
    <w:rsid w:val="0A222101"/>
    <w:rsid w:val="0A240F86"/>
    <w:rsid w:val="0A263993"/>
    <w:rsid w:val="0A2D3AC2"/>
    <w:rsid w:val="0A597601"/>
    <w:rsid w:val="0A6856A9"/>
    <w:rsid w:val="0A946CF9"/>
    <w:rsid w:val="0A960E3D"/>
    <w:rsid w:val="0AA755DF"/>
    <w:rsid w:val="0AAA48E8"/>
    <w:rsid w:val="0AEA1189"/>
    <w:rsid w:val="0AEF3E75"/>
    <w:rsid w:val="0AFA6A9D"/>
    <w:rsid w:val="0B016BFE"/>
    <w:rsid w:val="0B120D44"/>
    <w:rsid w:val="0B39025F"/>
    <w:rsid w:val="0B616A44"/>
    <w:rsid w:val="0B675807"/>
    <w:rsid w:val="0B6E652E"/>
    <w:rsid w:val="0B720225"/>
    <w:rsid w:val="0B7A3AC4"/>
    <w:rsid w:val="0B9D754D"/>
    <w:rsid w:val="0BA93258"/>
    <w:rsid w:val="0BBA5438"/>
    <w:rsid w:val="0BCA59B3"/>
    <w:rsid w:val="0BD27BF6"/>
    <w:rsid w:val="0BD82AA5"/>
    <w:rsid w:val="0BEA7692"/>
    <w:rsid w:val="0BF90DD5"/>
    <w:rsid w:val="0C1C4DC4"/>
    <w:rsid w:val="0C252478"/>
    <w:rsid w:val="0C297482"/>
    <w:rsid w:val="0C2A7432"/>
    <w:rsid w:val="0C2F3B9B"/>
    <w:rsid w:val="0C314DA2"/>
    <w:rsid w:val="0C3B3C7D"/>
    <w:rsid w:val="0C3E79DE"/>
    <w:rsid w:val="0C572C27"/>
    <w:rsid w:val="0C6446CE"/>
    <w:rsid w:val="0C8A49D1"/>
    <w:rsid w:val="0C942B9E"/>
    <w:rsid w:val="0CAB2EAE"/>
    <w:rsid w:val="0CAF75AF"/>
    <w:rsid w:val="0CCC323C"/>
    <w:rsid w:val="0CF13EEA"/>
    <w:rsid w:val="0CF53F07"/>
    <w:rsid w:val="0D1235E6"/>
    <w:rsid w:val="0D17689C"/>
    <w:rsid w:val="0D222919"/>
    <w:rsid w:val="0D341995"/>
    <w:rsid w:val="0D3D7C96"/>
    <w:rsid w:val="0D534193"/>
    <w:rsid w:val="0D5E2DF7"/>
    <w:rsid w:val="0D621C7D"/>
    <w:rsid w:val="0D833342"/>
    <w:rsid w:val="0D847672"/>
    <w:rsid w:val="0D8F76E7"/>
    <w:rsid w:val="0DA85E31"/>
    <w:rsid w:val="0DAA72FB"/>
    <w:rsid w:val="0DC1224B"/>
    <w:rsid w:val="0DDF620D"/>
    <w:rsid w:val="0E011F83"/>
    <w:rsid w:val="0E015524"/>
    <w:rsid w:val="0E082052"/>
    <w:rsid w:val="0E0B7738"/>
    <w:rsid w:val="0E211404"/>
    <w:rsid w:val="0E527771"/>
    <w:rsid w:val="0E5E6FE3"/>
    <w:rsid w:val="0E73034D"/>
    <w:rsid w:val="0E794CFD"/>
    <w:rsid w:val="0E8A262A"/>
    <w:rsid w:val="0E963B01"/>
    <w:rsid w:val="0E9B300B"/>
    <w:rsid w:val="0EAD71B5"/>
    <w:rsid w:val="0EB50FF2"/>
    <w:rsid w:val="0EB7581B"/>
    <w:rsid w:val="0ED116D2"/>
    <w:rsid w:val="0EF30389"/>
    <w:rsid w:val="0EF91BF6"/>
    <w:rsid w:val="0F13775A"/>
    <w:rsid w:val="0F490B74"/>
    <w:rsid w:val="0F4E3D3C"/>
    <w:rsid w:val="0F563275"/>
    <w:rsid w:val="0F575F81"/>
    <w:rsid w:val="0F5F45FE"/>
    <w:rsid w:val="0F6B43D9"/>
    <w:rsid w:val="0F73799F"/>
    <w:rsid w:val="0F7958ED"/>
    <w:rsid w:val="0F7B4AA5"/>
    <w:rsid w:val="0F9A112B"/>
    <w:rsid w:val="0FC76184"/>
    <w:rsid w:val="0FD92E58"/>
    <w:rsid w:val="0FF05B30"/>
    <w:rsid w:val="100961F8"/>
    <w:rsid w:val="100C60AE"/>
    <w:rsid w:val="103E7A07"/>
    <w:rsid w:val="10587D0B"/>
    <w:rsid w:val="105D0B3E"/>
    <w:rsid w:val="10651C01"/>
    <w:rsid w:val="106D2F64"/>
    <w:rsid w:val="108160EB"/>
    <w:rsid w:val="10831E63"/>
    <w:rsid w:val="109141E8"/>
    <w:rsid w:val="10914580"/>
    <w:rsid w:val="10AA79F9"/>
    <w:rsid w:val="10B63710"/>
    <w:rsid w:val="10C34956"/>
    <w:rsid w:val="10DD4C2D"/>
    <w:rsid w:val="10DF290D"/>
    <w:rsid w:val="10E8262F"/>
    <w:rsid w:val="10F10820"/>
    <w:rsid w:val="11034969"/>
    <w:rsid w:val="111C2F7A"/>
    <w:rsid w:val="11220132"/>
    <w:rsid w:val="11515ABE"/>
    <w:rsid w:val="11525702"/>
    <w:rsid w:val="11665CA1"/>
    <w:rsid w:val="11892769"/>
    <w:rsid w:val="118B7904"/>
    <w:rsid w:val="11910609"/>
    <w:rsid w:val="11946772"/>
    <w:rsid w:val="11A007F3"/>
    <w:rsid w:val="11A84347"/>
    <w:rsid w:val="11F76BA0"/>
    <w:rsid w:val="11F8418B"/>
    <w:rsid w:val="122B7DCB"/>
    <w:rsid w:val="1230601B"/>
    <w:rsid w:val="12463F45"/>
    <w:rsid w:val="12465EB2"/>
    <w:rsid w:val="128D604D"/>
    <w:rsid w:val="12941E21"/>
    <w:rsid w:val="12B300E6"/>
    <w:rsid w:val="12C15FAC"/>
    <w:rsid w:val="12FD2012"/>
    <w:rsid w:val="1300136F"/>
    <w:rsid w:val="13025B5F"/>
    <w:rsid w:val="13027562"/>
    <w:rsid w:val="131365EE"/>
    <w:rsid w:val="131E0384"/>
    <w:rsid w:val="13231645"/>
    <w:rsid w:val="132E3789"/>
    <w:rsid w:val="1340403C"/>
    <w:rsid w:val="134633B3"/>
    <w:rsid w:val="135B633B"/>
    <w:rsid w:val="137242F9"/>
    <w:rsid w:val="137B209E"/>
    <w:rsid w:val="138A536B"/>
    <w:rsid w:val="13951726"/>
    <w:rsid w:val="13BB665A"/>
    <w:rsid w:val="13D330F5"/>
    <w:rsid w:val="13D64817"/>
    <w:rsid w:val="13D714E4"/>
    <w:rsid w:val="13E26EC7"/>
    <w:rsid w:val="13F65A3C"/>
    <w:rsid w:val="140F6F71"/>
    <w:rsid w:val="142A441A"/>
    <w:rsid w:val="143962DA"/>
    <w:rsid w:val="14396509"/>
    <w:rsid w:val="144731A8"/>
    <w:rsid w:val="145A1703"/>
    <w:rsid w:val="145E648F"/>
    <w:rsid w:val="148443FC"/>
    <w:rsid w:val="148461AA"/>
    <w:rsid w:val="14AB7A11"/>
    <w:rsid w:val="14BB269D"/>
    <w:rsid w:val="14DD2C3C"/>
    <w:rsid w:val="14E02D75"/>
    <w:rsid w:val="14FF7BAF"/>
    <w:rsid w:val="15063063"/>
    <w:rsid w:val="153E27FD"/>
    <w:rsid w:val="15455939"/>
    <w:rsid w:val="1565214A"/>
    <w:rsid w:val="158C28CD"/>
    <w:rsid w:val="15D36669"/>
    <w:rsid w:val="15EA1BCA"/>
    <w:rsid w:val="15F25E76"/>
    <w:rsid w:val="16087E1D"/>
    <w:rsid w:val="162423F7"/>
    <w:rsid w:val="163E15B6"/>
    <w:rsid w:val="16465E0D"/>
    <w:rsid w:val="164A3AD6"/>
    <w:rsid w:val="1662150B"/>
    <w:rsid w:val="166718DF"/>
    <w:rsid w:val="167634FB"/>
    <w:rsid w:val="168F23F6"/>
    <w:rsid w:val="169C3E79"/>
    <w:rsid w:val="16A166FF"/>
    <w:rsid w:val="16A55642"/>
    <w:rsid w:val="16AA2F92"/>
    <w:rsid w:val="16AE3B63"/>
    <w:rsid w:val="16C378E8"/>
    <w:rsid w:val="17400AAE"/>
    <w:rsid w:val="175005C5"/>
    <w:rsid w:val="17546301"/>
    <w:rsid w:val="176A7284"/>
    <w:rsid w:val="17701D14"/>
    <w:rsid w:val="17735226"/>
    <w:rsid w:val="17773DA4"/>
    <w:rsid w:val="17987430"/>
    <w:rsid w:val="179D3AF1"/>
    <w:rsid w:val="181B0BD3"/>
    <w:rsid w:val="181C055E"/>
    <w:rsid w:val="18361939"/>
    <w:rsid w:val="18475E6C"/>
    <w:rsid w:val="18505DB7"/>
    <w:rsid w:val="18546008"/>
    <w:rsid w:val="1881312C"/>
    <w:rsid w:val="188E3A9B"/>
    <w:rsid w:val="189F624C"/>
    <w:rsid w:val="18AB2EF1"/>
    <w:rsid w:val="18C84E89"/>
    <w:rsid w:val="18CD5623"/>
    <w:rsid w:val="18CF07B5"/>
    <w:rsid w:val="18D07C10"/>
    <w:rsid w:val="18E07295"/>
    <w:rsid w:val="18EF453A"/>
    <w:rsid w:val="190909CA"/>
    <w:rsid w:val="19097A42"/>
    <w:rsid w:val="19117922"/>
    <w:rsid w:val="192845BF"/>
    <w:rsid w:val="193B4BF6"/>
    <w:rsid w:val="195D3144"/>
    <w:rsid w:val="1976176F"/>
    <w:rsid w:val="198303AF"/>
    <w:rsid w:val="198527A8"/>
    <w:rsid w:val="199505E4"/>
    <w:rsid w:val="19AF1F1B"/>
    <w:rsid w:val="19C01A32"/>
    <w:rsid w:val="19CE59FA"/>
    <w:rsid w:val="19D16A7B"/>
    <w:rsid w:val="19F8741E"/>
    <w:rsid w:val="1A1C66C0"/>
    <w:rsid w:val="1A2603A9"/>
    <w:rsid w:val="1A2C0DC0"/>
    <w:rsid w:val="1A2E2078"/>
    <w:rsid w:val="1A383620"/>
    <w:rsid w:val="1A42393B"/>
    <w:rsid w:val="1A4C4BFC"/>
    <w:rsid w:val="1A593266"/>
    <w:rsid w:val="1A6476F9"/>
    <w:rsid w:val="1A66082C"/>
    <w:rsid w:val="1A6B4D64"/>
    <w:rsid w:val="1A8C400A"/>
    <w:rsid w:val="1A9A33B4"/>
    <w:rsid w:val="1AAB5CD6"/>
    <w:rsid w:val="1AAD45DE"/>
    <w:rsid w:val="1AE52321"/>
    <w:rsid w:val="1AF8344E"/>
    <w:rsid w:val="1B046F80"/>
    <w:rsid w:val="1B3267B5"/>
    <w:rsid w:val="1B3B2578"/>
    <w:rsid w:val="1B40161D"/>
    <w:rsid w:val="1B441859"/>
    <w:rsid w:val="1B470924"/>
    <w:rsid w:val="1B552E93"/>
    <w:rsid w:val="1B6606B1"/>
    <w:rsid w:val="1B6C4832"/>
    <w:rsid w:val="1B6D7998"/>
    <w:rsid w:val="1B9413C8"/>
    <w:rsid w:val="1BAC551D"/>
    <w:rsid w:val="1BC248BA"/>
    <w:rsid w:val="1BD24C6D"/>
    <w:rsid w:val="1C0B6CDA"/>
    <w:rsid w:val="1C1553FF"/>
    <w:rsid w:val="1C2534B1"/>
    <w:rsid w:val="1C3D7816"/>
    <w:rsid w:val="1C3E30E2"/>
    <w:rsid w:val="1C5775B1"/>
    <w:rsid w:val="1C5E7925"/>
    <w:rsid w:val="1C60701E"/>
    <w:rsid w:val="1C74340D"/>
    <w:rsid w:val="1C8013B6"/>
    <w:rsid w:val="1C8441BC"/>
    <w:rsid w:val="1C8D716C"/>
    <w:rsid w:val="1CB239BD"/>
    <w:rsid w:val="1CDB049A"/>
    <w:rsid w:val="1CE63B1B"/>
    <w:rsid w:val="1CFD070F"/>
    <w:rsid w:val="1CFD2F9D"/>
    <w:rsid w:val="1D0B7468"/>
    <w:rsid w:val="1D0C2186"/>
    <w:rsid w:val="1D0D19BA"/>
    <w:rsid w:val="1D1E1D0B"/>
    <w:rsid w:val="1D24677C"/>
    <w:rsid w:val="1D303129"/>
    <w:rsid w:val="1D585D8A"/>
    <w:rsid w:val="1D5E09BD"/>
    <w:rsid w:val="1D5F6196"/>
    <w:rsid w:val="1D6132A5"/>
    <w:rsid w:val="1D6372A4"/>
    <w:rsid w:val="1D6C5E75"/>
    <w:rsid w:val="1D727A2F"/>
    <w:rsid w:val="1D8E56D5"/>
    <w:rsid w:val="1D8E6940"/>
    <w:rsid w:val="1D927B08"/>
    <w:rsid w:val="1DB83B06"/>
    <w:rsid w:val="1E1A470B"/>
    <w:rsid w:val="1E3869C7"/>
    <w:rsid w:val="1E4926F1"/>
    <w:rsid w:val="1E4E1D03"/>
    <w:rsid w:val="1E700AF7"/>
    <w:rsid w:val="1E71779F"/>
    <w:rsid w:val="1E7A43DA"/>
    <w:rsid w:val="1E8E4F34"/>
    <w:rsid w:val="1EAA5C8C"/>
    <w:rsid w:val="1EB4108A"/>
    <w:rsid w:val="1EDF6DFF"/>
    <w:rsid w:val="1EEB4816"/>
    <w:rsid w:val="1EF3326F"/>
    <w:rsid w:val="1EF34658"/>
    <w:rsid w:val="1EFA59E6"/>
    <w:rsid w:val="1EFE6A05"/>
    <w:rsid w:val="1F072F63"/>
    <w:rsid w:val="1F1B2434"/>
    <w:rsid w:val="1F533349"/>
    <w:rsid w:val="1F5937C6"/>
    <w:rsid w:val="1F6B1651"/>
    <w:rsid w:val="1F8452B0"/>
    <w:rsid w:val="1F896D6A"/>
    <w:rsid w:val="1FBC2C9C"/>
    <w:rsid w:val="1FD07B27"/>
    <w:rsid w:val="1FD24E02"/>
    <w:rsid w:val="1FE7539E"/>
    <w:rsid w:val="1FFA337D"/>
    <w:rsid w:val="20120BDC"/>
    <w:rsid w:val="20262741"/>
    <w:rsid w:val="202D3637"/>
    <w:rsid w:val="20671BE0"/>
    <w:rsid w:val="206841BC"/>
    <w:rsid w:val="20735A50"/>
    <w:rsid w:val="207D1697"/>
    <w:rsid w:val="208337BA"/>
    <w:rsid w:val="208916BF"/>
    <w:rsid w:val="208A0FEC"/>
    <w:rsid w:val="20944838"/>
    <w:rsid w:val="20963CB8"/>
    <w:rsid w:val="20A81A1B"/>
    <w:rsid w:val="20B07FB6"/>
    <w:rsid w:val="20B646FB"/>
    <w:rsid w:val="20C95670"/>
    <w:rsid w:val="20CE6948"/>
    <w:rsid w:val="20D62BBB"/>
    <w:rsid w:val="21103BFF"/>
    <w:rsid w:val="211A26E0"/>
    <w:rsid w:val="211A4F36"/>
    <w:rsid w:val="21294361"/>
    <w:rsid w:val="213B74B1"/>
    <w:rsid w:val="214178FD"/>
    <w:rsid w:val="2152522B"/>
    <w:rsid w:val="215A2310"/>
    <w:rsid w:val="215C4618"/>
    <w:rsid w:val="21860CA9"/>
    <w:rsid w:val="2190585A"/>
    <w:rsid w:val="219D54A6"/>
    <w:rsid w:val="21C23FD2"/>
    <w:rsid w:val="21C72A3E"/>
    <w:rsid w:val="21C95466"/>
    <w:rsid w:val="21CF59ED"/>
    <w:rsid w:val="21DE318A"/>
    <w:rsid w:val="21EF5B80"/>
    <w:rsid w:val="21F7620D"/>
    <w:rsid w:val="2234464E"/>
    <w:rsid w:val="224F5F4C"/>
    <w:rsid w:val="22576990"/>
    <w:rsid w:val="22705591"/>
    <w:rsid w:val="22DD21AA"/>
    <w:rsid w:val="22EC04B5"/>
    <w:rsid w:val="22F47480"/>
    <w:rsid w:val="23160915"/>
    <w:rsid w:val="23175DE3"/>
    <w:rsid w:val="23182A19"/>
    <w:rsid w:val="2320025F"/>
    <w:rsid w:val="234B4A63"/>
    <w:rsid w:val="234C4B12"/>
    <w:rsid w:val="236B3AFB"/>
    <w:rsid w:val="23815648"/>
    <w:rsid w:val="23816D83"/>
    <w:rsid w:val="238A34CA"/>
    <w:rsid w:val="239A7949"/>
    <w:rsid w:val="23BC47D1"/>
    <w:rsid w:val="23D74B92"/>
    <w:rsid w:val="23DE1C48"/>
    <w:rsid w:val="240210CD"/>
    <w:rsid w:val="2425014F"/>
    <w:rsid w:val="2435301D"/>
    <w:rsid w:val="243629A0"/>
    <w:rsid w:val="243F6497"/>
    <w:rsid w:val="24516A71"/>
    <w:rsid w:val="245B23EC"/>
    <w:rsid w:val="2460453E"/>
    <w:rsid w:val="24653902"/>
    <w:rsid w:val="24674AE8"/>
    <w:rsid w:val="2483647E"/>
    <w:rsid w:val="24947C13"/>
    <w:rsid w:val="24BE74B6"/>
    <w:rsid w:val="24BF09F7"/>
    <w:rsid w:val="24C752B6"/>
    <w:rsid w:val="24D07CB8"/>
    <w:rsid w:val="24E61E3B"/>
    <w:rsid w:val="25031118"/>
    <w:rsid w:val="250D5433"/>
    <w:rsid w:val="25131549"/>
    <w:rsid w:val="25231E68"/>
    <w:rsid w:val="252D53FE"/>
    <w:rsid w:val="25382DC5"/>
    <w:rsid w:val="2542667D"/>
    <w:rsid w:val="255D6CCF"/>
    <w:rsid w:val="258778A8"/>
    <w:rsid w:val="25A61E88"/>
    <w:rsid w:val="25B14C9A"/>
    <w:rsid w:val="25BF4AB4"/>
    <w:rsid w:val="25C44658"/>
    <w:rsid w:val="25C55343"/>
    <w:rsid w:val="25DC00BB"/>
    <w:rsid w:val="25DC5E46"/>
    <w:rsid w:val="25EC2D81"/>
    <w:rsid w:val="25EE0655"/>
    <w:rsid w:val="265005E2"/>
    <w:rsid w:val="26671AA9"/>
    <w:rsid w:val="266D2F42"/>
    <w:rsid w:val="267B4BC8"/>
    <w:rsid w:val="26B4291F"/>
    <w:rsid w:val="26B55545"/>
    <w:rsid w:val="26C27D7C"/>
    <w:rsid w:val="26C95C9C"/>
    <w:rsid w:val="26C973CE"/>
    <w:rsid w:val="26DD1E76"/>
    <w:rsid w:val="26FF5FBD"/>
    <w:rsid w:val="270E0B50"/>
    <w:rsid w:val="271001E2"/>
    <w:rsid w:val="273A59F5"/>
    <w:rsid w:val="274D4F09"/>
    <w:rsid w:val="275D5F9C"/>
    <w:rsid w:val="275E5415"/>
    <w:rsid w:val="27702CEA"/>
    <w:rsid w:val="277057A2"/>
    <w:rsid w:val="277858AD"/>
    <w:rsid w:val="277E2A63"/>
    <w:rsid w:val="27831145"/>
    <w:rsid w:val="27960276"/>
    <w:rsid w:val="279B588D"/>
    <w:rsid w:val="27CB5F53"/>
    <w:rsid w:val="27D4037A"/>
    <w:rsid w:val="27DE2E8F"/>
    <w:rsid w:val="27F60478"/>
    <w:rsid w:val="28302479"/>
    <w:rsid w:val="2835183D"/>
    <w:rsid w:val="283F6263"/>
    <w:rsid w:val="284F60D9"/>
    <w:rsid w:val="286E715F"/>
    <w:rsid w:val="28A276F2"/>
    <w:rsid w:val="28B5472C"/>
    <w:rsid w:val="28C332ED"/>
    <w:rsid w:val="28C50E13"/>
    <w:rsid w:val="28D15293"/>
    <w:rsid w:val="28D63020"/>
    <w:rsid w:val="29206EB8"/>
    <w:rsid w:val="2933688A"/>
    <w:rsid w:val="293734C5"/>
    <w:rsid w:val="29595666"/>
    <w:rsid w:val="295F21E3"/>
    <w:rsid w:val="297D77CD"/>
    <w:rsid w:val="29874881"/>
    <w:rsid w:val="29984596"/>
    <w:rsid w:val="29A24BCE"/>
    <w:rsid w:val="29A72746"/>
    <w:rsid w:val="29C46615"/>
    <w:rsid w:val="29C514FC"/>
    <w:rsid w:val="29CD5128"/>
    <w:rsid w:val="29DD40DE"/>
    <w:rsid w:val="29E325E0"/>
    <w:rsid w:val="29E52C48"/>
    <w:rsid w:val="29F22455"/>
    <w:rsid w:val="2A133E00"/>
    <w:rsid w:val="2A156D54"/>
    <w:rsid w:val="2A2B7EBD"/>
    <w:rsid w:val="2A2C7D1E"/>
    <w:rsid w:val="2A3122C0"/>
    <w:rsid w:val="2A452503"/>
    <w:rsid w:val="2A6875AF"/>
    <w:rsid w:val="2A731944"/>
    <w:rsid w:val="2A8D50A7"/>
    <w:rsid w:val="2A9C7646"/>
    <w:rsid w:val="2AAA70FF"/>
    <w:rsid w:val="2AC43472"/>
    <w:rsid w:val="2AD95734"/>
    <w:rsid w:val="2B05716D"/>
    <w:rsid w:val="2B2C2F4C"/>
    <w:rsid w:val="2B2D3F52"/>
    <w:rsid w:val="2B2D4A4E"/>
    <w:rsid w:val="2B6101BB"/>
    <w:rsid w:val="2B682CA4"/>
    <w:rsid w:val="2B7721D4"/>
    <w:rsid w:val="2B790AAE"/>
    <w:rsid w:val="2B8124A8"/>
    <w:rsid w:val="2B8B06FC"/>
    <w:rsid w:val="2B9D7EDC"/>
    <w:rsid w:val="2BA936A8"/>
    <w:rsid w:val="2BE22D7D"/>
    <w:rsid w:val="2BE9306B"/>
    <w:rsid w:val="2BFF2AE0"/>
    <w:rsid w:val="2C08517A"/>
    <w:rsid w:val="2C0A131E"/>
    <w:rsid w:val="2C140C75"/>
    <w:rsid w:val="2C315A5A"/>
    <w:rsid w:val="2C3167C0"/>
    <w:rsid w:val="2C4B1C25"/>
    <w:rsid w:val="2C5F6665"/>
    <w:rsid w:val="2C891B1B"/>
    <w:rsid w:val="2C8B5ED0"/>
    <w:rsid w:val="2CA34C01"/>
    <w:rsid w:val="2CB400D9"/>
    <w:rsid w:val="2CC41534"/>
    <w:rsid w:val="2CD5055E"/>
    <w:rsid w:val="2CD935E2"/>
    <w:rsid w:val="2CF55A3F"/>
    <w:rsid w:val="2CF67876"/>
    <w:rsid w:val="2CF736AC"/>
    <w:rsid w:val="2CF866FB"/>
    <w:rsid w:val="2D08278D"/>
    <w:rsid w:val="2D2A3110"/>
    <w:rsid w:val="2D376058"/>
    <w:rsid w:val="2D585A43"/>
    <w:rsid w:val="2D9E56F5"/>
    <w:rsid w:val="2DD94DB4"/>
    <w:rsid w:val="2DDF38C0"/>
    <w:rsid w:val="2DE57597"/>
    <w:rsid w:val="2DFF115B"/>
    <w:rsid w:val="2E274967"/>
    <w:rsid w:val="2E301E8A"/>
    <w:rsid w:val="2E315B44"/>
    <w:rsid w:val="2E391D11"/>
    <w:rsid w:val="2E3D5617"/>
    <w:rsid w:val="2E3E53A1"/>
    <w:rsid w:val="2E444588"/>
    <w:rsid w:val="2E667F96"/>
    <w:rsid w:val="2E703B73"/>
    <w:rsid w:val="2E71315B"/>
    <w:rsid w:val="2E8226AB"/>
    <w:rsid w:val="2E826691"/>
    <w:rsid w:val="2E8E259B"/>
    <w:rsid w:val="2EAF7A87"/>
    <w:rsid w:val="2EC8340B"/>
    <w:rsid w:val="2ECC0DE7"/>
    <w:rsid w:val="2ECE02F6"/>
    <w:rsid w:val="2EFA733D"/>
    <w:rsid w:val="2F034443"/>
    <w:rsid w:val="2F0C5689"/>
    <w:rsid w:val="2F1C6ADF"/>
    <w:rsid w:val="2F261BC9"/>
    <w:rsid w:val="2F315D7F"/>
    <w:rsid w:val="2F367D1A"/>
    <w:rsid w:val="2F560A17"/>
    <w:rsid w:val="2F565711"/>
    <w:rsid w:val="2F601055"/>
    <w:rsid w:val="2F692D63"/>
    <w:rsid w:val="2F7C7CA4"/>
    <w:rsid w:val="2F882B9B"/>
    <w:rsid w:val="2F8E31BA"/>
    <w:rsid w:val="2F990904"/>
    <w:rsid w:val="2FB4335D"/>
    <w:rsid w:val="2FC34923"/>
    <w:rsid w:val="2FD065E6"/>
    <w:rsid w:val="2FD96870"/>
    <w:rsid w:val="2FE77634"/>
    <w:rsid w:val="30000983"/>
    <w:rsid w:val="30030473"/>
    <w:rsid w:val="303F598D"/>
    <w:rsid w:val="30504A45"/>
    <w:rsid w:val="30580BC9"/>
    <w:rsid w:val="305B205D"/>
    <w:rsid w:val="30782C0F"/>
    <w:rsid w:val="307C794F"/>
    <w:rsid w:val="308418CA"/>
    <w:rsid w:val="309940B3"/>
    <w:rsid w:val="30A9726C"/>
    <w:rsid w:val="30BA6D84"/>
    <w:rsid w:val="30C6397A"/>
    <w:rsid w:val="310115DC"/>
    <w:rsid w:val="310C5790"/>
    <w:rsid w:val="310D4302"/>
    <w:rsid w:val="311E2ED7"/>
    <w:rsid w:val="315619EE"/>
    <w:rsid w:val="31562C78"/>
    <w:rsid w:val="315C449C"/>
    <w:rsid w:val="318143C9"/>
    <w:rsid w:val="31A65E97"/>
    <w:rsid w:val="31B82709"/>
    <w:rsid w:val="31C01434"/>
    <w:rsid w:val="31C169AB"/>
    <w:rsid w:val="31CA1248"/>
    <w:rsid w:val="31D05482"/>
    <w:rsid w:val="321A149A"/>
    <w:rsid w:val="322A618B"/>
    <w:rsid w:val="32400B34"/>
    <w:rsid w:val="32417C89"/>
    <w:rsid w:val="32545C17"/>
    <w:rsid w:val="3259201D"/>
    <w:rsid w:val="32597146"/>
    <w:rsid w:val="326564DD"/>
    <w:rsid w:val="326F6506"/>
    <w:rsid w:val="327D7359"/>
    <w:rsid w:val="329E6876"/>
    <w:rsid w:val="32B67A1F"/>
    <w:rsid w:val="32CB24FE"/>
    <w:rsid w:val="32E62BDB"/>
    <w:rsid w:val="331A5354"/>
    <w:rsid w:val="332B27A6"/>
    <w:rsid w:val="333015F2"/>
    <w:rsid w:val="333A4EED"/>
    <w:rsid w:val="334B6320"/>
    <w:rsid w:val="33581F4B"/>
    <w:rsid w:val="336D1431"/>
    <w:rsid w:val="336E5337"/>
    <w:rsid w:val="33931BF5"/>
    <w:rsid w:val="33A97511"/>
    <w:rsid w:val="33BF1CC3"/>
    <w:rsid w:val="33CA3782"/>
    <w:rsid w:val="33D934D4"/>
    <w:rsid w:val="33E5558B"/>
    <w:rsid w:val="33FE2F6A"/>
    <w:rsid w:val="340824FC"/>
    <w:rsid w:val="340E07E5"/>
    <w:rsid w:val="34235BF7"/>
    <w:rsid w:val="34256C0A"/>
    <w:rsid w:val="342B741D"/>
    <w:rsid w:val="344610EB"/>
    <w:rsid w:val="346106A8"/>
    <w:rsid w:val="346314E0"/>
    <w:rsid w:val="349F69BC"/>
    <w:rsid w:val="34A264AC"/>
    <w:rsid w:val="34B7275B"/>
    <w:rsid w:val="34C9305D"/>
    <w:rsid w:val="34D348B8"/>
    <w:rsid w:val="34E22D4D"/>
    <w:rsid w:val="34E24BA9"/>
    <w:rsid w:val="34E4192B"/>
    <w:rsid w:val="34E72111"/>
    <w:rsid w:val="34E77600"/>
    <w:rsid w:val="34F647B4"/>
    <w:rsid w:val="35040DF3"/>
    <w:rsid w:val="352F719A"/>
    <w:rsid w:val="3537243D"/>
    <w:rsid w:val="354D3CC9"/>
    <w:rsid w:val="35562489"/>
    <w:rsid w:val="356C42ED"/>
    <w:rsid w:val="358C5FA8"/>
    <w:rsid w:val="359236C7"/>
    <w:rsid w:val="359D2487"/>
    <w:rsid w:val="359E3D7C"/>
    <w:rsid w:val="35A5715A"/>
    <w:rsid w:val="35A818A1"/>
    <w:rsid w:val="35C15DF1"/>
    <w:rsid w:val="35D30255"/>
    <w:rsid w:val="35E02D95"/>
    <w:rsid w:val="35E30B2B"/>
    <w:rsid w:val="35EB2255"/>
    <w:rsid w:val="35ED0E58"/>
    <w:rsid w:val="35F47056"/>
    <w:rsid w:val="36004255"/>
    <w:rsid w:val="36043061"/>
    <w:rsid w:val="36074A7F"/>
    <w:rsid w:val="360B0081"/>
    <w:rsid w:val="36126734"/>
    <w:rsid w:val="362967B5"/>
    <w:rsid w:val="36392A0F"/>
    <w:rsid w:val="366D29B1"/>
    <w:rsid w:val="366E4165"/>
    <w:rsid w:val="368220F2"/>
    <w:rsid w:val="36851BE2"/>
    <w:rsid w:val="36853990"/>
    <w:rsid w:val="36923549"/>
    <w:rsid w:val="369241CB"/>
    <w:rsid w:val="36AA6100"/>
    <w:rsid w:val="36AC716F"/>
    <w:rsid w:val="36B75FBF"/>
    <w:rsid w:val="36BD0C45"/>
    <w:rsid w:val="36C2499A"/>
    <w:rsid w:val="36C4095C"/>
    <w:rsid w:val="36CA3897"/>
    <w:rsid w:val="36CE177E"/>
    <w:rsid w:val="36DB2484"/>
    <w:rsid w:val="36E60560"/>
    <w:rsid w:val="36EE3FD8"/>
    <w:rsid w:val="372D3C50"/>
    <w:rsid w:val="372D686A"/>
    <w:rsid w:val="375A75B3"/>
    <w:rsid w:val="376A3337"/>
    <w:rsid w:val="37863E63"/>
    <w:rsid w:val="37870D15"/>
    <w:rsid w:val="37AE12CD"/>
    <w:rsid w:val="37C472BE"/>
    <w:rsid w:val="37C8622A"/>
    <w:rsid w:val="37D35E7A"/>
    <w:rsid w:val="37DE43B0"/>
    <w:rsid w:val="37E00298"/>
    <w:rsid w:val="37E33064"/>
    <w:rsid w:val="37E4060E"/>
    <w:rsid w:val="37E91D64"/>
    <w:rsid w:val="380B1ADE"/>
    <w:rsid w:val="38133EA7"/>
    <w:rsid w:val="381F0B42"/>
    <w:rsid w:val="382B3962"/>
    <w:rsid w:val="38561E84"/>
    <w:rsid w:val="3870241E"/>
    <w:rsid w:val="38B302F9"/>
    <w:rsid w:val="38B7163A"/>
    <w:rsid w:val="38BD2E8C"/>
    <w:rsid w:val="38C46460"/>
    <w:rsid w:val="38E05B90"/>
    <w:rsid w:val="38EA636E"/>
    <w:rsid w:val="38ED379F"/>
    <w:rsid w:val="38F12CD3"/>
    <w:rsid w:val="38F94775"/>
    <w:rsid w:val="392971ED"/>
    <w:rsid w:val="39325651"/>
    <w:rsid w:val="39432B77"/>
    <w:rsid w:val="395D6E46"/>
    <w:rsid w:val="3978592E"/>
    <w:rsid w:val="397A79F8"/>
    <w:rsid w:val="397E390A"/>
    <w:rsid w:val="397E4306"/>
    <w:rsid w:val="398652CB"/>
    <w:rsid w:val="39875DD6"/>
    <w:rsid w:val="398F4B84"/>
    <w:rsid w:val="39923F83"/>
    <w:rsid w:val="399671E4"/>
    <w:rsid w:val="39A44A75"/>
    <w:rsid w:val="39BA1395"/>
    <w:rsid w:val="39C75FE6"/>
    <w:rsid w:val="39DA0E9F"/>
    <w:rsid w:val="3A127C30"/>
    <w:rsid w:val="3A143FD8"/>
    <w:rsid w:val="3A26548A"/>
    <w:rsid w:val="3A3E2552"/>
    <w:rsid w:val="3A5169AB"/>
    <w:rsid w:val="3A6B1AE9"/>
    <w:rsid w:val="3A872856"/>
    <w:rsid w:val="3A8B1BBE"/>
    <w:rsid w:val="3A9D2BAA"/>
    <w:rsid w:val="3AA04ECA"/>
    <w:rsid w:val="3AA545BD"/>
    <w:rsid w:val="3AA92195"/>
    <w:rsid w:val="3ABA7538"/>
    <w:rsid w:val="3AC52F9C"/>
    <w:rsid w:val="3AC609EC"/>
    <w:rsid w:val="3AC802EF"/>
    <w:rsid w:val="3AC97759"/>
    <w:rsid w:val="3AD042BF"/>
    <w:rsid w:val="3AD44EE6"/>
    <w:rsid w:val="3AE612FB"/>
    <w:rsid w:val="3AF45588"/>
    <w:rsid w:val="3AFF0D6C"/>
    <w:rsid w:val="3B0C0EAC"/>
    <w:rsid w:val="3B1B37B2"/>
    <w:rsid w:val="3B3763D1"/>
    <w:rsid w:val="3B3D0CDD"/>
    <w:rsid w:val="3B7B1805"/>
    <w:rsid w:val="3B833C89"/>
    <w:rsid w:val="3B902032"/>
    <w:rsid w:val="3B9B63F8"/>
    <w:rsid w:val="3BA61D3D"/>
    <w:rsid w:val="3BCA48DC"/>
    <w:rsid w:val="3BDC6748"/>
    <w:rsid w:val="3BE4357A"/>
    <w:rsid w:val="3BE550AA"/>
    <w:rsid w:val="3BE94182"/>
    <w:rsid w:val="3BEE0DEE"/>
    <w:rsid w:val="3BFC4D18"/>
    <w:rsid w:val="3C096E11"/>
    <w:rsid w:val="3C0A69BB"/>
    <w:rsid w:val="3C1A7270"/>
    <w:rsid w:val="3C2F6E1E"/>
    <w:rsid w:val="3C326E82"/>
    <w:rsid w:val="3C364F71"/>
    <w:rsid w:val="3C4F64BA"/>
    <w:rsid w:val="3C6A620C"/>
    <w:rsid w:val="3C833B1B"/>
    <w:rsid w:val="3C914AAE"/>
    <w:rsid w:val="3CC9107F"/>
    <w:rsid w:val="3CDA245A"/>
    <w:rsid w:val="3CFA6BDE"/>
    <w:rsid w:val="3CFF1A3B"/>
    <w:rsid w:val="3D0D5719"/>
    <w:rsid w:val="3D1E06B7"/>
    <w:rsid w:val="3D3D55F2"/>
    <w:rsid w:val="3D4E5760"/>
    <w:rsid w:val="3D9E7465"/>
    <w:rsid w:val="3DB20E5A"/>
    <w:rsid w:val="3DB73C74"/>
    <w:rsid w:val="3DB85315"/>
    <w:rsid w:val="3DC3577B"/>
    <w:rsid w:val="3DC456E6"/>
    <w:rsid w:val="3E001086"/>
    <w:rsid w:val="3E022E57"/>
    <w:rsid w:val="3E082EB5"/>
    <w:rsid w:val="3E2A7F63"/>
    <w:rsid w:val="3E2F0889"/>
    <w:rsid w:val="3E355C17"/>
    <w:rsid w:val="3E37538D"/>
    <w:rsid w:val="3E382516"/>
    <w:rsid w:val="3E3E7059"/>
    <w:rsid w:val="3E3F662A"/>
    <w:rsid w:val="3E771902"/>
    <w:rsid w:val="3E9B743B"/>
    <w:rsid w:val="3ED33A49"/>
    <w:rsid w:val="3EDA0523"/>
    <w:rsid w:val="3EE33949"/>
    <w:rsid w:val="3EF72DC4"/>
    <w:rsid w:val="3F0E5CC1"/>
    <w:rsid w:val="3F4916B4"/>
    <w:rsid w:val="3F5F3DF5"/>
    <w:rsid w:val="3FBF638D"/>
    <w:rsid w:val="3FD260B4"/>
    <w:rsid w:val="3FE237B7"/>
    <w:rsid w:val="3FF315EA"/>
    <w:rsid w:val="3FFB4522"/>
    <w:rsid w:val="4023630A"/>
    <w:rsid w:val="40286CC1"/>
    <w:rsid w:val="403614E5"/>
    <w:rsid w:val="407A6407"/>
    <w:rsid w:val="408661F6"/>
    <w:rsid w:val="40977008"/>
    <w:rsid w:val="40C72913"/>
    <w:rsid w:val="40DB00D3"/>
    <w:rsid w:val="40DE330A"/>
    <w:rsid w:val="40F747E3"/>
    <w:rsid w:val="41183268"/>
    <w:rsid w:val="411B41E8"/>
    <w:rsid w:val="415154E2"/>
    <w:rsid w:val="41650F8E"/>
    <w:rsid w:val="419453CF"/>
    <w:rsid w:val="41947EA6"/>
    <w:rsid w:val="41A76EB0"/>
    <w:rsid w:val="41AF2209"/>
    <w:rsid w:val="41B766BA"/>
    <w:rsid w:val="41D028AB"/>
    <w:rsid w:val="41D774D7"/>
    <w:rsid w:val="41FD4D22"/>
    <w:rsid w:val="4200449D"/>
    <w:rsid w:val="420C61F0"/>
    <w:rsid w:val="423A3BCC"/>
    <w:rsid w:val="424633F6"/>
    <w:rsid w:val="424E57D2"/>
    <w:rsid w:val="4266759E"/>
    <w:rsid w:val="42A96C58"/>
    <w:rsid w:val="42AF5EDB"/>
    <w:rsid w:val="42B26C49"/>
    <w:rsid w:val="42DA5063"/>
    <w:rsid w:val="42F9198D"/>
    <w:rsid w:val="430C45F6"/>
    <w:rsid w:val="432033BE"/>
    <w:rsid w:val="432B58B9"/>
    <w:rsid w:val="433A6FE6"/>
    <w:rsid w:val="43480868"/>
    <w:rsid w:val="4349073A"/>
    <w:rsid w:val="434D464A"/>
    <w:rsid w:val="4350713C"/>
    <w:rsid w:val="436653E0"/>
    <w:rsid w:val="438411B1"/>
    <w:rsid w:val="43993E4F"/>
    <w:rsid w:val="43A7763B"/>
    <w:rsid w:val="43B104BA"/>
    <w:rsid w:val="43C4431A"/>
    <w:rsid w:val="43D13525"/>
    <w:rsid w:val="43D61269"/>
    <w:rsid w:val="43ED77AC"/>
    <w:rsid w:val="43FD548B"/>
    <w:rsid w:val="446B61D6"/>
    <w:rsid w:val="446D381E"/>
    <w:rsid w:val="448B1659"/>
    <w:rsid w:val="44A72AD6"/>
    <w:rsid w:val="44AB5E88"/>
    <w:rsid w:val="44AE1A1A"/>
    <w:rsid w:val="44B951CC"/>
    <w:rsid w:val="44CD14E0"/>
    <w:rsid w:val="44ED79D0"/>
    <w:rsid w:val="44F20B0B"/>
    <w:rsid w:val="450C6879"/>
    <w:rsid w:val="451958FB"/>
    <w:rsid w:val="452E5F4C"/>
    <w:rsid w:val="453D1CBB"/>
    <w:rsid w:val="4548434B"/>
    <w:rsid w:val="45612018"/>
    <w:rsid w:val="456B4699"/>
    <w:rsid w:val="458946E9"/>
    <w:rsid w:val="458E7597"/>
    <w:rsid w:val="45A47C0E"/>
    <w:rsid w:val="45A809B1"/>
    <w:rsid w:val="45A81449"/>
    <w:rsid w:val="45C34DD1"/>
    <w:rsid w:val="45D365B1"/>
    <w:rsid w:val="45EC57D9"/>
    <w:rsid w:val="45EF0E26"/>
    <w:rsid w:val="45F16A80"/>
    <w:rsid w:val="46081EE8"/>
    <w:rsid w:val="460B0B8E"/>
    <w:rsid w:val="4613508E"/>
    <w:rsid w:val="46362EF9"/>
    <w:rsid w:val="464C207C"/>
    <w:rsid w:val="46577FD6"/>
    <w:rsid w:val="46615CEC"/>
    <w:rsid w:val="466D4250"/>
    <w:rsid w:val="468A24F0"/>
    <w:rsid w:val="468C0D6B"/>
    <w:rsid w:val="46A63BDA"/>
    <w:rsid w:val="46BF4B3C"/>
    <w:rsid w:val="46CD2CA5"/>
    <w:rsid w:val="46D11C99"/>
    <w:rsid w:val="46D65183"/>
    <w:rsid w:val="46D955A7"/>
    <w:rsid w:val="46F34946"/>
    <w:rsid w:val="46F72688"/>
    <w:rsid w:val="46F806F8"/>
    <w:rsid w:val="46FE417E"/>
    <w:rsid w:val="47133957"/>
    <w:rsid w:val="47140AA5"/>
    <w:rsid w:val="471F398D"/>
    <w:rsid w:val="47246B0B"/>
    <w:rsid w:val="473B2125"/>
    <w:rsid w:val="477421BE"/>
    <w:rsid w:val="478C4FF2"/>
    <w:rsid w:val="47A0687C"/>
    <w:rsid w:val="47A07E0C"/>
    <w:rsid w:val="47B02BCD"/>
    <w:rsid w:val="47B10A89"/>
    <w:rsid w:val="47BF29AC"/>
    <w:rsid w:val="47C10324"/>
    <w:rsid w:val="47C14AE8"/>
    <w:rsid w:val="47ED5BA8"/>
    <w:rsid w:val="47F15329"/>
    <w:rsid w:val="480E155B"/>
    <w:rsid w:val="4820339D"/>
    <w:rsid w:val="482E4074"/>
    <w:rsid w:val="48330ADB"/>
    <w:rsid w:val="48425BEB"/>
    <w:rsid w:val="484B7103"/>
    <w:rsid w:val="48541414"/>
    <w:rsid w:val="48576465"/>
    <w:rsid w:val="4870272E"/>
    <w:rsid w:val="48853CC3"/>
    <w:rsid w:val="48976603"/>
    <w:rsid w:val="48AD0178"/>
    <w:rsid w:val="48D955BB"/>
    <w:rsid w:val="48DE038A"/>
    <w:rsid w:val="48F05C82"/>
    <w:rsid w:val="48FF1361"/>
    <w:rsid w:val="490B2CAD"/>
    <w:rsid w:val="4915555E"/>
    <w:rsid w:val="492928A1"/>
    <w:rsid w:val="49465201"/>
    <w:rsid w:val="49470F79"/>
    <w:rsid w:val="494D2A33"/>
    <w:rsid w:val="49902EF1"/>
    <w:rsid w:val="499B0C95"/>
    <w:rsid w:val="49AB59AC"/>
    <w:rsid w:val="49C7185F"/>
    <w:rsid w:val="49C91523"/>
    <w:rsid w:val="49DC7715"/>
    <w:rsid w:val="49DD1699"/>
    <w:rsid w:val="49E446BB"/>
    <w:rsid w:val="49E50EBD"/>
    <w:rsid w:val="49F61264"/>
    <w:rsid w:val="4A023139"/>
    <w:rsid w:val="4A0C13F4"/>
    <w:rsid w:val="4A157ADB"/>
    <w:rsid w:val="4A1E7713"/>
    <w:rsid w:val="4A660342"/>
    <w:rsid w:val="4A7144FF"/>
    <w:rsid w:val="4A7161DE"/>
    <w:rsid w:val="4A773C29"/>
    <w:rsid w:val="4A7B576F"/>
    <w:rsid w:val="4A84025C"/>
    <w:rsid w:val="4A9934DA"/>
    <w:rsid w:val="4AAD7493"/>
    <w:rsid w:val="4ABA4F32"/>
    <w:rsid w:val="4AE06902"/>
    <w:rsid w:val="4AE3672D"/>
    <w:rsid w:val="4AF561A9"/>
    <w:rsid w:val="4B0B1378"/>
    <w:rsid w:val="4B0C5F91"/>
    <w:rsid w:val="4B1D1B3F"/>
    <w:rsid w:val="4B743526"/>
    <w:rsid w:val="4B94275C"/>
    <w:rsid w:val="4B9606F2"/>
    <w:rsid w:val="4BB43862"/>
    <w:rsid w:val="4BB74865"/>
    <w:rsid w:val="4BC62629"/>
    <w:rsid w:val="4BC77DC4"/>
    <w:rsid w:val="4BE46664"/>
    <w:rsid w:val="4BF855EB"/>
    <w:rsid w:val="4C1440D8"/>
    <w:rsid w:val="4C1B26BF"/>
    <w:rsid w:val="4C325F10"/>
    <w:rsid w:val="4C4A0649"/>
    <w:rsid w:val="4C4D21DE"/>
    <w:rsid w:val="4C7C1B2E"/>
    <w:rsid w:val="4C7E5ECA"/>
    <w:rsid w:val="4C876AA5"/>
    <w:rsid w:val="4CA20DFD"/>
    <w:rsid w:val="4CBE77A4"/>
    <w:rsid w:val="4CC4300C"/>
    <w:rsid w:val="4CD45C05"/>
    <w:rsid w:val="4CE94821"/>
    <w:rsid w:val="4CEB2F78"/>
    <w:rsid w:val="4CF411FE"/>
    <w:rsid w:val="4D0D5CA4"/>
    <w:rsid w:val="4D0E00FB"/>
    <w:rsid w:val="4D176606"/>
    <w:rsid w:val="4D2031FF"/>
    <w:rsid w:val="4D63672B"/>
    <w:rsid w:val="4D8125CD"/>
    <w:rsid w:val="4D895A4B"/>
    <w:rsid w:val="4D9A499A"/>
    <w:rsid w:val="4D9D41C7"/>
    <w:rsid w:val="4DB12E65"/>
    <w:rsid w:val="4DBD7152"/>
    <w:rsid w:val="4DD03C33"/>
    <w:rsid w:val="4DDA74A5"/>
    <w:rsid w:val="4DDC5FD5"/>
    <w:rsid w:val="4DE01372"/>
    <w:rsid w:val="4DE67291"/>
    <w:rsid w:val="4DEC4FB0"/>
    <w:rsid w:val="4DF3671A"/>
    <w:rsid w:val="4DF53BF0"/>
    <w:rsid w:val="4DF9737B"/>
    <w:rsid w:val="4E075D8A"/>
    <w:rsid w:val="4E303912"/>
    <w:rsid w:val="4E4A0B70"/>
    <w:rsid w:val="4E5F4EA3"/>
    <w:rsid w:val="4E6879C7"/>
    <w:rsid w:val="4E6E72E0"/>
    <w:rsid w:val="4EC00FAD"/>
    <w:rsid w:val="4EC339EA"/>
    <w:rsid w:val="4EDD4720"/>
    <w:rsid w:val="4EF83CFF"/>
    <w:rsid w:val="4EFF3A98"/>
    <w:rsid w:val="4F0E67C1"/>
    <w:rsid w:val="4F1D2CE7"/>
    <w:rsid w:val="4F527FE8"/>
    <w:rsid w:val="4F532425"/>
    <w:rsid w:val="4F7A057F"/>
    <w:rsid w:val="4F836F22"/>
    <w:rsid w:val="4F8D3F14"/>
    <w:rsid w:val="4F9843DC"/>
    <w:rsid w:val="4FB16363"/>
    <w:rsid w:val="4FC62A8C"/>
    <w:rsid w:val="4FE20F0D"/>
    <w:rsid w:val="4FE51552"/>
    <w:rsid w:val="4FE51EC0"/>
    <w:rsid w:val="4FE83A11"/>
    <w:rsid w:val="4FED02DC"/>
    <w:rsid w:val="50005743"/>
    <w:rsid w:val="50295582"/>
    <w:rsid w:val="50297313"/>
    <w:rsid w:val="50303167"/>
    <w:rsid w:val="503644D7"/>
    <w:rsid w:val="50452A2D"/>
    <w:rsid w:val="50504C4B"/>
    <w:rsid w:val="50730CC8"/>
    <w:rsid w:val="50803304"/>
    <w:rsid w:val="50853068"/>
    <w:rsid w:val="50854EC5"/>
    <w:rsid w:val="509C6E7C"/>
    <w:rsid w:val="50A872EC"/>
    <w:rsid w:val="50B228F9"/>
    <w:rsid w:val="50B36976"/>
    <w:rsid w:val="50C5392B"/>
    <w:rsid w:val="50CF26C4"/>
    <w:rsid w:val="50D770ED"/>
    <w:rsid w:val="50EB4CDC"/>
    <w:rsid w:val="50F1639A"/>
    <w:rsid w:val="51085492"/>
    <w:rsid w:val="510A49A4"/>
    <w:rsid w:val="510A745C"/>
    <w:rsid w:val="51101E19"/>
    <w:rsid w:val="51183927"/>
    <w:rsid w:val="5129237A"/>
    <w:rsid w:val="512B1096"/>
    <w:rsid w:val="5139389D"/>
    <w:rsid w:val="5162104E"/>
    <w:rsid w:val="51690353"/>
    <w:rsid w:val="517C61A9"/>
    <w:rsid w:val="518A40F8"/>
    <w:rsid w:val="51905BB3"/>
    <w:rsid w:val="51C4760A"/>
    <w:rsid w:val="52190646"/>
    <w:rsid w:val="521E31BF"/>
    <w:rsid w:val="522E4225"/>
    <w:rsid w:val="5237566C"/>
    <w:rsid w:val="52496488"/>
    <w:rsid w:val="5253273C"/>
    <w:rsid w:val="527A066D"/>
    <w:rsid w:val="528079D5"/>
    <w:rsid w:val="52870F06"/>
    <w:rsid w:val="52AF75ED"/>
    <w:rsid w:val="52BD4C7E"/>
    <w:rsid w:val="52CC565E"/>
    <w:rsid w:val="52CE4643"/>
    <w:rsid w:val="52DC5704"/>
    <w:rsid w:val="52EB3E8C"/>
    <w:rsid w:val="52F7311F"/>
    <w:rsid w:val="53003058"/>
    <w:rsid w:val="530F6FAB"/>
    <w:rsid w:val="531A3321"/>
    <w:rsid w:val="53224373"/>
    <w:rsid w:val="53245302"/>
    <w:rsid w:val="532A02D1"/>
    <w:rsid w:val="532B3A49"/>
    <w:rsid w:val="53436A32"/>
    <w:rsid w:val="53516D6C"/>
    <w:rsid w:val="53642E53"/>
    <w:rsid w:val="53681847"/>
    <w:rsid w:val="536A2433"/>
    <w:rsid w:val="53933738"/>
    <w:rsid w:val="53A039CC"/>
    <w:rsid w:val="53A1505A"/>
    <w:rsid w:val="53AE144B"/>
    <w:rsid w:val="53C01227"/>
    <w:rsid w:val="53C27B7A"/>
    <w:rsid w:val="53C575BA"/>
    <w:rsid w:val="53C816D9"/>
    <w:rsid w:val="53D72334"/>
    <w:rsid w:val="53D72F63"/>
    <w:rsid w:val="53D730AC"/>
    <w:rsid w:val="53F57F4F"/>
    <w:rsid w:val="54063E08"/>
    <w:rsid w:val="540E6DEB"/>
    <w:rsid w:val="54271A1E"/>
    <w:rsid w:val="54273C01"/>
    <w:rsid w:val="542D1647"/>
    <w:rsid w:val="543437E8"/>
    <w:rsid w:val="543A1C2E"/>
    <w:rsid w:val="544A4F5E"/>
    <w:rsid w:val="54522C59"/>
    <w:rsid w:val="546C696D"/>
    <w:rsid w:val="548259D7"/>
    <w:rsid w:val="54866DF9"/>
    <w:rsid w:val="548C7E32"/>
    <w:rsid w:val="54901D15"/>
    <w:rsid w:val="54931DA4"/>
    <w:rsid w:val="549842C9"/>
    <w:rsid w:val="549B2A16"/>
    <w:rsid w:val="54B37833"/>
    <w:rsid w:val="54BA59AC"/>
    <w:rsid w:val="54BF3CBB"/>
    <w:rsid w:val="54E12281"/>
    <w:rsid w:val="54F46A5F"/>
    <w:rsid w:val="54F73313"/>
    <w:rsid w:val="54F80955"/>
    <w:rsid w:val="54F94271"/>
    <w:rsid w:val="55172147"/>
    <w:rsid w:val="55214D74"/>
    <w:rsid w:val="55426801"/>
    <w:rsid w:val="55452E5B"/>
    <w:rsid w:val="555170A7"/>
    <w:rsid w:val="555E7D76"/>
    <w:rsid w:val="5587536D"/>
    <w:rsid w:val="55974204"/>
    <w:rsid w:val="559B174B"/>
    <w:rsid w:val="559E63C4"/>
    <w:rsid w:val="55CE0CF4"/>
    <w:rsid w:val="55D91F29"/>
    <w:rsid w:val="55E206C1"/>
    <w:rsid w:val="5612477C"/>
    <w:rsid w:val="56301712"/>
    <w:rsid w:val="565D6EC9"/>
    <w:rsid w:val="567F55FB"/>
    <w:rsid w:val="5693695F"/>
    <w:rsid w:val="56B22A9C"/>
    <w:rsid w:val="56B602D2"/>
    <w:rsid w:val="56C55CBD"/>
    <w:rsid w:val="56CD49AF"/>
    <w:rsid w:val="56E01BC9"/>
    <w:rsid w:val="56EA58D3"/>
    <w:rsid w:val="572F19CA"/>
    <w:rsid w:val="57494C7B"/>
    <w:rsid w:val="574C0219"/>
    <w:rsid w:val="57675B4B"/>
    <w:rsid w:val="578D60B2"/>
    <w:rsid w:val="57A47F79"/>
    <w:rsid w:val="57A71560"/>
    <w:rsid w:val="57AB535F"/>
    <w:rsid w:val="57AE6D93"/>
    <w:rsid w:val="57B72A76"/>
    <w:rsid w:val="57BE68AA"/>
    <w:rsid w:val="57C3426C"/>
    <w:rsid w:val="57CE1F93"/>
    <w:rsid w:val="57D63BF4"/>
    <w:rsid w:val="57F329F7"/>
    <w:rsid w:val="58282F44"/>
    <w:rsid w:val="584E40D2"/>
    <w:rsid w:val="5853140F"/>
    <w:rsid w:val="585845A0"/>
    <w:rsid w:val="586D7DEB"/>
    <w:rsid w:val="586E02D0"/>
    <w:rsid w:val="588743D1"/>
    <w:rsid w:val="5887701A"/>
    <w:rsid w:val="58B32331"/>
    <w:rsid w:val="58EB64A6"/>
    <w:rsid w:val="58F43A5E"/>
    <w:rsid w:val="5903310E"/>
    <w:rsid w:val="590935A5"/>
    <w:rsid w:val="59260BAB"/>
    <w:rsid w:val="593C0B3B"/>
    <w:rsid w:val="593D0D92"/>
    <w:rsid w:val="5954753F"/>
    <w:rsid w:val="596F611A"/>
    <w:rsid w:val="598F0ABE"/>
    <w:rsid w:val="599B413B"/>
    <w:rsid w:val="59BF5F77"/>
    <w:rsid w:val="59C0439F"/>
    <w:rsid w:val="59D30BEC"/>
    <w:rsid w:val="59DF0B0D"/>
    <w:rsid w:val="59F6780B"/>
    <w:rsid w:val="59F842F5"/>
    <w:rsid w:val="5A143947"/>
    <w:rsid w:val="5A2F2751"/>
    <w:rsid w:val="5A32357D"/>
    <w:rsid w:val="5A355C07"/>
    <w:rsid w:val="5A467FEF"/>
    <w:rsid w:val="5A55565E"/>
    <w:rsid w:val="5A587151"/>
    <w:rsid w:val="5A771F0D"/>
    <w:rsid w:val="5A8C681E"/>
    <w:rsid w:val="5AB07472"/>
    <w:rsid w:val="5ABE2233"/>
    <w:rsid w:val="5AC95F39"/>
    <w:rsid w:val="5AE20B01"/>
    <w:rsid w:val="5AE76118"/>
    <w:rsid w:val="5AF51020"/>
    <w:rsid w:val="5AF75708"/>
    <w:rsid w:val="5B1769FD"/>
    <w:rsid w:val="5B2B24A8"/>
    <w:rsid w:val="5B327FA1"/>
    <w:rsid w:val="5B406C4C"/>
    <w:rsid w:val="5B487F38"/>
    <w:rsid w:val="5B593AD1"/>
    <w:rsid w:val="5B5F45A6"/>
    <w:rsid w:val="5B8D1B27"/>
    <w:rsid w:val="5BA273F9"/>
    <w:rsid w:val="5BA74018"/>
    <w:rsid w:val="5BB36EEB"/>
    <w:rsid w:val="5BBC75A4"/>
    <w:rsid w:val="5BC37D1E"/>
    <w:rsid w:val="5BDE576D"/>
    <w:rsid w:val="5BDF4AD0"/>
    <w:rsid w:val="5BDF5D95"/>
    <w:rsid w:val="5BE128E3"/>
    <w:rsid w:val="5BEF0052"/>
    <w:rsid w:val="5BFE7528"/>
    <w:rsid w:val="5C2421EB"/>
    <w:rsid w:val="5C367B48"/>
    <w:rsid w:val="5C39748A"/>
    <w:rsid w:val="5C443DBD"/>
    <w:rsid w:val="5C5B1124"/>
    <w:rsid w:val="5C5C5A39"/>
    <w:rsid w:val="5C6C2D78"/>
    <w:rsid w:val="5C880FA4"/>
    <w:rsid w:val="5CA5065B"/>
    <w:rsid w:val="5CA96851"/>
    <w:rsid w:val="5CB331A1"/>
    <w:rsid w:val="5CBE7B7D"/>
    <w:rsid w:val="5CD55AF2"/>
    <w:rsid w:val="5CD8040E"/>
    <w:rsid w:val="5CE45005"/>
    <w:rsid w:val="5CEE7C31"/>
    <w:rsid w:val="5CF265F9"/>
    <w:rsid w:val="5CF508CE"/>
    <w:rsid w:val="5CFF3BED"/>
    <w:rsid w:val="5D0D58CF"/>
    <w:rsid w:val="5D2756AE"/>
    <w:rsid w:val="5D337BC3"/>
    <w:rsid w:val="5D4C74B8"/>
    <w:rsid w:val="5D4D2BAA"/>
    <w:rsid w:val="5D5C2DED"/>
    <w:rsid w:val="5D8F5663"/>
    <w:rsid w:val="5D922ADA"/>
    <w:rsid w:val="5DA12EF6"/>
    <w:rsid w:val="5DAC6E75"/>
    <w:rsid w:val="5DD53037"/>
    <w:rsid w:val="5DE54873"/>
    <w:rsid w:val="5E1A67C6"/>
    <w:rsid w:val="5E2467F1"/>
    <w:rsid w:val="5E2F5C8C"/>
    <w:rsid w:val="5E411BD9"/>
    <w:rsid w:val="5E453881"/>
    <w:rsid w:val="5E454A9F"/>
    <w:rsid w:val="5E491E2B"/>
    <w:rsid w:val="5E4F4700"/>
    <w:rsid w:val="5E7F4D61"/>
    <w:rsid w:val="5E9F7435"/>
    <w:rsid w:val="5EAC0A6D"/>
    <w:rsid w:val="5EDC0A74"/>
    <w:rsid w:val="5EFE12B6"/>
    <w:rsid w:val="5F0536FD"/>
    <w:rsid w:val="5F1A2B43"/>
    <w:rsid w:val="5F27742B"/>
    <w:rsid w:val="5F5316B1"/>
    <w:rsid w:val="5F5B7413"/>
    <w:rsid w:val="5F7D42FC"/>
    <w:rsid w:val="5F9D1B50"/>
    <w:rsid w:val="5FA34506"/>
    <w:rsid w:val="5FB837BB"/>
    <w:rsid w:val="5FBB30B8"/>
    <w:rsid w:val="5FCE75A5"/>
    <w:rsid w:val="5FE50314"/>
    <w:rsid w:val="5FF31031"/>
    <w:rsid w:val="5FF640CF"/>
    <w:rsid w:val="5FF7504F"/>
    <w:rsid w:val="6000572E"/>
    <w:rsid w:val="605D6C76"/>
    <w:rsid w:val="606049A2"/>
    <w:rsid w:val="606B0717"/>
    <w:rsid w:val="60716BAF"/>
    <w:rsid w:val="60B44738"/>
    <w:rsid w:val="60BE4FE7"/>
    <w:rsid w:val="60CC405A"/>
    <w:rsid w:val="60DE163D"/>
    <w:rsid w:val="61064164"/>
    <w:rsid w:val="610703FD"/>
    <w:rsid w:val="612B7E12"/>
    <w:rsid w:val="614836B9"/>
    <w:rsid w:val="61507C7A"/>
    <w:rsid w:val="615D64E7"/>
    <w:rsid w:val="615F60F6"/>
    <w:rsid w:val="616D4590"/>
    <w:rsid w:val="616F5D86"/>
    <w:rsid w:val="617E1753"/>
    <w:rsid w:val="618911CB"/>
    <w:rsid w:val="61903065"/>
    <w:rsid w:val="619B4A00"/>
    <w:rsid w:val="619B6A19"/>
    <w:rsid w:val="61A61710"/>
    <w:rsid w:val="61AB7E9F"/>
    <w:rsid w:val="61CA04F0"/>
    <w:rsid w:val="61DC312E"/>
    <w:rsid w:val="61E215D8"/>
    <w:rsid w:val="61EA606C"/>
    <w:rsid w:val="62007ACA"/>
    <w:rsid w:val="6203611E"/>
    <w:rsid w:val="620476BF"/>
    <w:rsid w:val="620B1180"/>
    <w:rsid w:val="621B3775"/>
    <w:rsid w:val="621C0D9D"/>
    <w:rsid w:val="6223664B"/>
    <w:rsid w:val="62364782"/>
    <w:rsid w:val="62473113"/>
    <w:rsid w:val="627D641C"/>
    <w:rsid w:val="628434A2"/>
    <w:rsid w:val="628C20A7"/>
    <w:rsid w:val="62AA3B6D"/>
    <w:rsid w:val="62FF66F4"/>
    <w:rsid w:val="63130519"/>
    <w:rsid w:val="63163A3E"/>
    <w:rsid w:val="632825CA"/>
    <w:rsid w:val="632F31AE"/>
    <w:rsid w:val="634079E1"/>
    <w:rsid w:val="63476EE7"/>
    <w:rsid w:val="63863FE0"/>
    <w:rsid w:val="638D094B"/>
    <w:rsid w:val="6394356A"/>
    <w:rsid w:val="639F57E1"/>
    <w:rsid w:val="63C17E4E"/>
    <w:rsid w:val="63C61B2C"/>
    <w:rsid w:val="63D40BE9"/>
    <w:rsid w:val="63D649C8"/>
    <w:rsid w:val="63D7676F"/>
    <w:rsid w:val="63E36016"/>
    <w:rsid w:val="63F55D49"/>
    <w:rsid w:val="63FF7F6A"/>
    <w:rsid w:val="64041AE8"/>
    <w:rsid w:val="64102431"/>
    <w:rsid w:val="64322308"/>
    <w:rsid w:val="6453582C"/>
    <w:rsid w:val="645C63B9"/>
    <w:rsid w:val="64746C6E"/>
    <w:rsid w:val="6478192D"/>
    <w:rsid w:val="647E1453"/>
    <w:rsid w:val="64A5243A"/>
    <w:rsid w:val="64B915E8"/>
    <w:rsid w:val="64F531DE"/>
    <w:rsid w:val="64F769C8"/>
    <w:rsid w:val="6533485D"/>
    <w:rsid w:val="65373578"/>
    <w:rsid w:val="658553F3"/>
    <w:rsid w:val="65884A43"/>
    <w:rsid w:val="6589070A"/>
    <w:rsid w:val="658B6ABD"/>
    <w:rsid w:val="65AC50F2"/>
    <w:rsid w:val="65B75510"/>
    <w:rsid w:val="6645313D"/>
    <w:rsid w:val="66941658"/>
    <w:rsid w:val="6699011F"/>
    <w:rsid w:val="669B2068"/>
    <w:rsid w:val="669B4986"/>
    <w:rsid w:val="66F6227E"/>
    <w:rsid w:val="66FD6F82"/>
    <w:rsid w:val="66FF5252"/>
    <w:rsid w:val="6710765D"/>
    <w:rsid w:val="671F124A"/>
    <w:rsid w:val="672F1572"/>
    <w:rsid w:val="673F6B7A"/>
    <w:rsid w:val="674E0021"/>
    <w:rsid w:val="67591C8C"/>
    <w:rsid w:val="677A33C6"/>
    <w:rsid w:val="679606EA"/>
    <w:rsid w:val="67AA2DF4"/>
    <w:rsid w:val="67C021CA"/>
    <w:rsid w:val="67DD0FCE"/>
    <w:rsid w:val="67DE2E6A"/>
    <w:rsid w:val="67E367F6"/>
    <w:rsid w:val="67E759A9"/>
    <w:rsid w:val="67E77C6A"/>
    <w:rsid w:val="68014CBD"/>
    <w:rsid w:val="680F6A33"/>
    <w:rsid w:val="68185FC2"/>
    <w:rsid w:val="681F6961"/>
    <w:rsid w:val="682E35D8"/>
    <w:rsid w:val="684210DB"/>
    <w:rsid w:val="685E7D99"/>
    <w:rsid w:val="68610A2F"/>
    <w:rsid w:val="68621F74"/>
    <w:rsid w:val="686E6FDE"/>
    <w:rsid w:val="686F082A"/>
    <w:rsid w:val="687234C5"/>
    <w:rsid w:val="68805514"/>
    <w:rsid w:val="68944149"/>
    <w:rsid w:val="68AE5B0F"/>
    <w:rsid w:val="68BB30BE"/>
    <w:rsid w:val="68D30F7C"/>
    <w:rsid w:val="68D35D6F"/>
    <w:rsid w:val="68D77D6C"/>
    <w:rsid w:val="690A6977"/>
    <w:rsid w:val="69316E2F"/>
    <w:rsid w:val="69353FC0"/>
    <w:rsid w:val="694B2CD1"/>
    <w:rsid w:val="694E2071"/>
    <w:rsid w:val="6954609D"/>
    <w:rsid w:val="696053E5"/>
    <w:rsid w:val="696306A1"/>
    <w:rsid w:val="69674FF3"/>
    <w:rsid w:val="69733998"/>
    <w:rsid w:val="69766163"/>
    <w:rsid w:val="697A3B33"/>
    <w:rsid w:val="698F255B"/>
    <w:rsid w:val="69BA598F"/>
    <w:rsid w:val="69BB70ED"/>
    <w:rsid w:val="69CB57DB"/>
    <w:rsid w:val="69D04578"/>
    <w:rsid w:val="69D44760"/>
    <w:rsid w:val="69DA7573"/>
    <w:rsid w:val="69DF102E"/>
    <w:rsid w:val="69E67897"/>
    <w:rsid w:val="69EC57C1"/>
    <w:rsid w:val="69EF4F5D"/>
    <w:rsid w:val="69F94FEA"/>
    <w:rsid w:val="6A02494D"/>
    <w:rsid w:val="6A06480C"/>
    <w:rsid w:val="6A334ED5"/>
    <w:rsid w:val="6A3C5865"/>
    <w:rsid w:val="6A406DBE"/>
    <w:rsid w:val="6A485E2C"/>
    <w:rsid w:val="6A520EC7"/>
    <w:rsid w:val="6A5437CA"/>
    <w:rsid w:val="6A587CAE"/>
    <w:rsid w:val="6A7806BB"/>
    <w:rsid w:val="6A8C7A67"/>
    <w:rsid w:val="6A951F56"/>
    <w:rsid w:val="6A9736B6"/>
    <w:rsid w:val="6AAD2DA9"/>
    <w:rsid w:val="6AAF0A42"/>
    <w:rsid w:val="6AAF2218"/>
    <w:rsid w:val="6AB26742"/>
    <w:rsid w:val="6AB81EDC"/>
    <w:rsid w:val="6ACD0596"/>
    <w:rsid w:val="6AF2089B"/>
    <w:rsid w:val="6AF61C38"/>
    <w:rsid w:val="6AF87E20"/>
    <w:rsid w:val="6B0227AC"/>
    <w:rsid w:val="6B0A185C"/>
    <w:rsid w:val="6B0C5E52"/>
    <w:rsid w:val="6B1D2500"/>
    <w:rsid w:val="6B3050E0"/>
    <w:rsid w:val="6B322639"/>
    <w:rsid w:val="6B537A2E"/>
    <w:rsid w:val="6B6C68A5"/>
    <w:rsid w:val="6B9200AB"/>
    <w:rsid w:val="6BA27CA2"/>
    <w:rsid w:val="6BC97437"/>
    <w:rsid w:val="6BD149A6"/>
    <w:rsid w:val="6BE93A1D"/>
    <w:rsid w:val="6BF54B38"/>
    <w:rsid w:val="6BF9274C"/>
    <w:rsid w:val="6C040F0E"/>
    <w:rsid w:val="6C586513"/>
    <w:rsid w:val="6C613899"/>
    <w:rsid w:val="6C636C38"/>
    <w:rsid w:val="6C964828"/>
    <w:rsid w:val="6CA34594"/>
    <w:rsid w:val="6CAB3449"/>
    <w:rsid w:val="6CB113D2"/>
    <w:rsid w:val="6CB165AA"/>
    <w:rsid w:val="6CC07053"/>
    <w:rsid w:val="6CCB5899"/>
    <w:rsid w:val="6CCC3EB2"/>
    <w:rsid w:val="6CDF4863"/>
    <w:rsid w:val="6CF04016"/>
    <w:rsid w:val="6D100508"/>
    <w:rsid w:val="6D200842"/>
    <w:rsid w:val="6D296B34"/>
    <w:rsid w:val="6D2E0105"/>
    <w:rsid w:val="6D35026D"/>
    <w:rsid w:val="6D457196"/>
    <w:rsid w:val="6D617FAC"/>
    <w:rsid w:val="6D8D7153"/>
    <w:rsid w:val="6D8E1F02"/>
    <w:rsid w:val="6D992AD2"/>
    <w:rsid w:val="6D9D19A6"/>
    <w:rsid w:val="6DB34098"/>
    <w:rsid w:val="6DB545B6"/>
    <w:rsid w:val="6DC61D92"/>
    <w:rsid w:val="6DCE3B12"/>
    <w:rsid w:val="6DD71F00"/>
    <w:rsid w:val="6DE02FB4"/>
    <w:rsid w:val="6DF94135"/>
    <w:rsid w:val="6E0234E8"/>
    <w:rsid w:val="6E470F4F"/>
    <w:rsid w:val="6E4A4683"/>
    <w:rsid w:val="6E514CED"/>
    <w:rsid w:val="6E5208F7"/>
    <w:rsid w:val="6E5A6ED5"/>
    <w:rsid w:val="6E96262F"/>
    <w:rsid w:val="6E995541"/>
    <w:rsid w:val="6E9F3293"/>
    <w:rsid w:val="6EB563D5"/>
    <w:rsid w:val="6ECB3E6A"/>
    <w:rsid w:val="6ED92677"/>
    <w:rsid w:val="6EFD5AB2"/>
    <w:rsid w:val="6F022A3B"/>
    <w:rsid w:val="6F0D7B85"/>
    <w:rsid w:val="6F225983"/>
    <w:rsid w:val="6F473090"/>
    <w:rsid w:val="6F5B49EE"/>
    <w:rsid w:val="6F8320E9"/>
    <w:rsid w:val="6F8A6677"/>
    <w:rsid w:val="6F9A1B99"/>
    <w:rsid w:val="6FA04DBB"/>
    <w:rsid w:val="6FA50623"/>
    <w:rsid w:val="6FB7699D"/>
    <w:rsid w:val="6FDE3B35"/>
    <w:rsid w:val="6FF71827"/>
    <w:rsid w:val="6FFC5590"/>
    <w:rsid w:val="701D6A70"/>
    <w:rsid w:val="702A65E4"/>
    <w:rsid w:val="7036571F"/>
    <w:rsid w:val="703C6F9E"/>
    <w:rsid w:val="705838E8"/>
    <w:rsid w:val="7067390E"/>
    <w:rsid w:val="706D1DD0"/>
    <w:rsid w:val="707C295C"/>
    <w:rsid w:val="70856B87"/>
    <w:rsid w:val="709539BA"/>
    <w:rsid w:val="70A02943"/>
    <w:rsid w:val="70A601C1"/>
    <w:rsid w:val="70B22039"/>
    <w:rsid w:val="70D527EE"/>
    <w:rsid w:val="70DC0075"/>
    <w:rsid w:val="70E81CF8"/>
    <w:rsid w:val="71095F06"/>
    <w:rsid w:val="71150423"/>
    <w:rsid w:val="71184E25"/>
    <w:rsid w:val="711C485E"/>
    <w:rsid w:val="714047F3"/>
    <w:rsid w:val="71405DDA"/>
    <w:rsid w:val="715804B6"/>
    <w:rsid w:val="715B5300"/>
    <w:rsid w:val="715E0EB6"/>
    <w:rsid w:val="717464FF"/>
    <w:rsid w:val="717E2EDA"/>
    <w:rsid w:val="718D5813"/>
    <w:rsid w:val="71B22934"/>
    <w:rsid w:val="71D27F8A"/>
    <w:rsid w:val="71DF6DCC"/>
    <w:rsid w:val="71F36AF6"/>
    <w:rsid w:val="72195DBA"/>
    <w:rsid w:val="721C305D"/>
    <w:rsid w:val="72247BD2"/>
    <w:rsid w:val="722A0217"/>
    <w:rsid w:val="722A12B4"/>
    <w:rsid w:val="724F3E36"/>
    <w:rsid w:val="72553024"/>
    <w:rsid w:val="72564B6D"/>
    <w:rsid w:val="72586B32"/>
    <w:rsid w:val="725A51C7"/>
    <w:rsid w:val="7265502B"/>
    <w:rsid w:val="727D38BC"/>
    <w:rsid w:val="72800ED4"/>
    <w:rsid w:val="728D2BFB"/>
    <w:rsid w:val="72A2028E"/>
    <w:rsid w:val="72AD4E6A"/>
    <w:rsid w:val="72C523E0"/>
    <w:rsid w:val="72D97ED0"/>
    <w:rsid w:val="72ED2345"/>
    <w:rsid w:val="72FF7FA3"/>
    <w:rsid w:val="73122968"/>
    <w:rsid w:val="731F5D5E"/>
    <w:rsid w:val="73227B65"/>
    <w:rsid w:val="732602F1"/>
    <w:rsid w:val="73322971"/>
    <w:rsid w:val="733F6699"/>
    <w:rsid w:val="736345C6"/>
    <w:rsid w:val="73681DAD"/>
    <w:rsid w:val="737D1E17"/>
    <w:rsid w:val="739C152B"/>
    <w:rsid w:val="73C13552"/>
    <w:rsid w:val="73C51AD5"/>
    <w:rsid w:val="73D9089C"/>
    <w:rsid w:val="73F60542"/>
    <w:rsid w:val="740F701F"/>
    <w:rsid w:val="741E6BF6"/>
    <w:rsid w:val="741E793C"/>
    <w:rsid w:val="74205BD2"/>
    <w:rsid w:val="74246144"/>
    <w:rsid w:val="74591FEB"/>
    <w:rsid w:val="745E3944"/>
    <w:rsid w:val="74654825"/>
    <w:rsid w:val="74B530B7"/>
    <w:rsid w:val="74B83564"/>
    <w:rsid w:val="74B87FBF"/>
    <w:rsid w:val="74D03F7B"/>
    <w:rsid w:val="74D50423"/>
    <w:rsid w:val="74E40C42"/>
    <w:rsid w:val="74EE5D46"/>
    <w:rsid w:val="75137293"/>
    <w:rsid w:val="75204CF4"/>
    <w:rsid w:val="7575350F"/>
    <w:rsid w:val="75925086"/>
    <w:rsid w:val="7595129E"/>
    <w:rsid w:val="75A76BEE"/>
    <w:rsid w:val="75B50C6F"/>
    <w:rsid w:val="75B57E2F"/>
    <w:rsid w:val="75D20CCB"/>
    <w:rsid w:val="75D61C88"/>
    <w:rsid w:val="75DB4D9F"/>
    <w:rsid w:val="75FF06AD"/>
    <w:rsid w:val="75FF1AEB"/>
    <w:rsid w:val="761E4193"/>
    <w:rsid w:val="762711CF"/>
    <w:rsid w:val="7635099D"/>
    <w:rsid w:val="763C5112"/>
    <w:rsid w:val="76424E1E"/>
    <w:rsid w:val="765828F0"/>
    <w:rsid w:val="765B5EE0"/>
    <w:rsid w:val="765B7EED"/>
    <w:rsid w:val="76650B0D"/>
    <w:rsid w:val="768323DF"/>
    <w:rsid w:val="768B3874"/>
    <w:rsid w:val="76913A3E"/>
    <w:rsid w:val="76B92C06"/>
    <w:rsid w:val="76D11CFE"/>
    <w:rsid w:val="76D3117F"/>
    <w:rsid w:val="77244524"/>
    <w:rsid w:val="77366005"/>
    <w:rsid w:val="77417E19"/>
    <w:rsid w:val="774236BE"/>
    <w:rsid w:val="774C5DA8"/>
    <w:rsid w:val="775766A7"/>
    <w:rsid w:val="775F41B3"/>
    <w:rsid w:val="77610D5D"/>
    <w:rsid w:val="77613692"/>
    <w:rsid w:val="776420CB"/>
    <w:rsid w:val="77762421"/>
    <w:rsid w:val="7793432C"/>
    <w:rsid w:val="779A1202"/>
    <w:rsid w:val="77B56B1F"/>
    <w:rsid w:val="77B7635C"/>
    <w:rsid w:val="77C31F9D"/>
    <w:rsid w:val="77CA6C82"/>
    <w:rsid w:val="77DE21E8"/>
    <w:rsid w:val="77ED582D"/>
    <w:rsid w:val="780F09F4"/>
    <w:rsid w:val="78280044"/>
    <w:rsid w:val="78390776"/>
    <w:rsid w:val="783D265C"/>
    <w:rsid w:val="785B49AB"/>
    <w:rsid w:val="7864764F"/>
    <w:rsid w:val="786A49E5"/>
    <w:rsid w:val="786A7F59"/>
    <w:rsid w:val="788341B6"/>
    <w:rsid w:val="789936ED"/>
    <w:rsid w:val="78A90480"/>
    <w:rsid w:val="78D128B7"/>
    <w:rsid w:val="79142376"/>
    <w:rsid w:val="791E54AF"/>
    <w:rsid w:val="79200D1B"/>
    <w:rsid w:val="79254583"/>
    <w:rsid w:val="79527E25"/>
    <w:rsid w:val="797208DB"/>
    <w:rsid w:val="79A66E52"/>
    <w:rsid w:val="79C10AE1"/>
    <w:rsid w:val="79E87A8A"/>
    <w:rsid w:val="79F854D1"/>
    <w:rsid w:val="79FC4C5D"/>
    <w:rsid w:val="7A1E318D"/>
    <w:rsid w:val="7A236F90"/>
    <w:rsid w:val="7A2651DF"/>
    <w:rsid w:val="7A2A1DBC"/>
    <w:rsid w:val="7A35236B"/>
    <w:rsid w:val="7A364017"/>
    <w:rsid w:val="7A410309"/>
    <w:rsid w:val="7A55078D"/>
    <w:rsid w:val="7A567172"/>
    <w:rsid w:val="7A6D61E2"/>
    <w:rsid w:val="7A8265E1"/>
    <w:rsid w:val="7AB44EEC"/>
    <w:rsid w:val="7ABA4B5F"/>
    <w:rsid w:val="7AD72977"/>
    <w:rsid w:val="7ADF7479"/>
    <w:rsid w:val="7B093745"/>
    <w:rsid w:val="7B0D4AC5"/>
    <w:rsid w:val="7B1623D5"/>
    <w:rsid w:val="7B3B2DAE"/>
    <w:rsid w:val="7B686D42"/>
    <w:rsid w:val="7B841746"/>
    <w:rsid w:val="7B8732D3"/>
    <w:rsid w:val="7B8F0A21"/>
    <w:rsid w:val="7B953560"/>
    <w:rsid w:val="7BB67F28"/>
    <w:rsid w:val="7BD03249"/>
    <w:rsid w:val="7BE32FF5"/>
    <w:rsid w:val="7BE50146"/>
    <w:rsid w:val="7BF3747E"/>
    <w:rsid w:val="7C0538C8"/>
    <w:rsid w:val="7C3F23D4"/>
    <w:rsid w:val="7C6C5AC7"/>
    <w:rsid w:val="7C7B2E38"/>
    <w:rsid w:val="7C9F332F"/>
    <w:rsid w:val="7CC6544B"/>
    <w:rsid w:val="7CCE2032"/>
    <w:rsid w:val="7CE80124"/>
    <w:rsid w:val="7CFC55FB"/>
    <w:rsid w:val="7D0239FF"/>
    <w:rsid w:val="7D264ADC"/>
    <w:rsid w:val="7D376FB6"/>
    <w:rsid w:val="7D3B7FB6"/>
    <w:rsid w:val="7D3D00ED"/>
    <w:rsid w:val="7D5E40CD"/>
    <w:rsid w:val="7D7622A4"/>
    <w:rsid w:val="7D7E7C7B"/>
    <w:rsid w:val="7D822D00"/>
    <w:rsid w:val="7D830C26"/>
    <w:rsid w:val="7D862954"/>
    <w:rsid w:val="7D8E030E"/>
    <w:rsid w:val="7DB06B11"/>
    <w:rsid w:val="7DB53A76"/>
    <w:rsid w:val="7DC462C6"/>
    <w:rsid w:val="7DC55C7D"/>
    <w:rsid w:val="7DCB34A4"/>
    <w:rsid w:val="7DCD56F2"/>
    <w:rsid w:val="7DE06CCB"/>
    <w:rsid w:val="7DE55C12"/>
    <w:rsid w:val="7E0E7FF5"/>
    <w:rsid w:val="7E1B7075"/>
    <w:rsid w:val="7E287585"/>
    <w:rsid w:val="7E350D0A"/>
    <w:rsid w:val="7E3625D4"/>
    <w:rsid w:val="7E3D015B"/>
    <w:rsid w:val="7E4E51CF"/>
    <w:rsid w:val="7E562B98"/>
    <w:rsid w:val="7E5C0C5B"/>
    <w:rsid w:val="7E6E6F6B"/>
    <w:rsid w:val="7E753435"/>
    <w:rsid w:val="7E80648F"/>
    <w:rsid w:val="7E8925F6"/>
    <w:rsid w:val="7E9A5C70"/>
    <w:rsid w:val="7ECC0F00"/>
    <w:rsid w:val="7ED04692"/>
    <w:rsid w:val="7EE22502"/>
    <w:rsid w:val="7EF5722F"/>
    <w:rsid w:val="7F001CE7"/>
    <w:rsid w:val="7F0A2251"/>
    <w:rsid w:val="7F163066"/>
    <w:rsid w:val="7F390D88"/>
    <w:rsid w:val="7F4D3B20"/>
    <w:rsid w:val="7F5071C2"/>
    <w:rsid w:val="7F696B67"/>
    <w:rsid w:val="7F8330A6"/>
    <w:rsid w:val="7F944707"/>
    <w:rsid w:val="7F9C3DFC"/>
    <w:rsid w:val="7FE47E50"/>
    <w:rsid w:val="7FE56CF7"/>
    <w:rsid w:val="7FF07699"/>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9"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autoRedefine/>
    <w:qFormat/>
    <w:locked/>
    <w:uiPriority w:val="0"/>
    <w:pPr>
      <w:spacing w:before="100" w:beforeAutospacing="1" w:after="100" w:afterAutospacing="1"/>
      <w:jc w:val="left"/>
      <w:outlineLvl w:val="2"/>
    </w:pPr>
    <w:rPr>
      <w:rFonts w:hint="eastAsia"/>
      <w:b/>
      <w:kern w:val="0"/>
      <w:sz w:val="27"/>
      <w:szCs w:val="27"/>
    </w:rPr>
  </w:style>
  <w:style w:type="paragraph" w:styleId="5">
    <w:name w:val="heading 4"/>
    <w:basedOn w:val="1"/>
    <w:next w:val="1"/>
    <w:autoRedefine/>
    <w:semiHidden/>
    <w:unhideWhenUsed/>
    <w:qFormat/>
    <w:locked/>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qFormat/>
    <w:locked/>
    <w:uiPriority w:val="1"/>
    <w:pPr>
      <w:ind w:left="732"/>
      <w:outlineLvl w:val="4"/>
    </w:pPr>
    <w:rPr>
      <w:rFonts w:ascii="微软雅黑" w:hAnsi="微软雅黑" w:eastAsia="微软雅黑" w:cs="微软雅黑"/>
      <w:b/>
      <w:bCs/>
      <w:sz w:val="24"/>
      <w:lang w:val="zh-CN" w:bidi="zh-CN"/>
    </w:rPr>
  </w:style>
  <w:style w:type="character" w:default="1" w:styleId="28">
    <w:name w:val="Default Paragraph Font"/>
    <w:autoRedefine/>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link w:val="52"/>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7">
    <w:name w:val="table of authorities"/>
    <w:basedOn w:val="1"/>
    <w:next w:val="1"/>
    <w:autoRedefine/>
    <w:unhideWhenUsed/>
    <w:qFormat/>
    <w:locked/>
    <w:uiPriority w:val="0"/>
    <w:pPr>
      <w:ind w:left="420" w:leftChars="200"/>
    </w:pPr>
  </w:style>
  <w:style w:type="paragraph" w:styleId="8">
    <w:name w:val="Normal Indent"/>
    <w:basedOn w:val="1"/>
    <w:next w:val="1"/>
    <w:autoRedefine/>
    <w:qFormat/>
    <w:locked/>
    <w:uiPriority w:val="0"/>
    <w:pPr>
      <w:ind w:firstLine="420"/>
    </w:pPr>
    <w:rPr>
      <w:kern w:val="0"/>
      <w:sz w:val="20"/>
    </w:rPr>
  </w:style>
  <w:style w:type="paragraph" w:styleId="9">
    <w:name w:val="caption"/>
    <w:basedOn w:val="1"/>
    <w:next w:val="1"/>
    <w:autoRedefine/>
    <w:qFormat/>
    <w:locked/>
    <w:uiPriority w:val="0"/>
    <w:rPr>
      <w:rFonts w:ascii="Cambria" w:hAnsi="Cambria" w:eastAsia="黑体"/>
      <w:sz w:val="20"/>
      <w:szCs w:val="20"/>
    </w:rPr>
  </w:style>
  <w:style w:type="paragraph" w:styleId="10">
    <w:name w:val="annotation text"/>
    <w:basedOn w:val="1"/>
    <w:link w:val="46"/>
    <w:autoRedefine/>
    <w:semiHidden/>
    <w:qFormat/>
    <w:uiPriority w:val="0"/>
    <w:pPr>
      <w:jc w:val="left"/>
    </w:pPr>
    <w:rPr>
      <w:kern w:val="0"/>
      <w:sz w:val="24"/>
      <w:szCs w:val="20"/>
    </w:rPr>
  </w:style>
  <w:style w:type="paragraph" w:styleId="11">
    <w:name w:val="Salutation"/>
    <w:basedOn w:val="1"/>
    <w:next w:val="1"/>
    <w:qFormat/>
    <w:locked/>
    <w:uiPriority w:val="0"/>
    <w:pPr>
      <w:spacing w:line="240" w:lineRule="auto"/>
    </w:pPr>
    <w:rPr>
      <w:b/>
      <w:bCs/>
    </w:rPr>
  </w:style>
  <w:style w:type="paragraph" w:styleId="12">
    <w:name w:val="Body Text 3"/>
    <w:basedOn w:val="1"/>
    <w:qFormat/>
    <w:locked/>
    <w:uiPriority w:val="0"/>
    <w:pPr>
      <w:jc w:val="center"/>
    </w:pPr>
    <w:rPr>
      <w:rFonts w:ascii="Times New Roman" w:hAnsi="Times New Roman" w:eastAsia="宋体" w:cs="Times New Roman"/>
      <w:sz w:val="18"/>
      <w:szCs w:val="24"/>
    </w:rPr>
  </w:style>
  <w:style w:type="paragraph" w:styleId="13">
    <w:name w:val="Body Text"/>
    <w:basedOn w:val="1"/>
    <w:next w:val="1"/>
    <w:link w:val="45"/>
    <w:autoRedefine/>
    <w:qFormat/>
    <w:uiPriority w:val="0"/>
    <w:pPr>
      <w:widowControl/>
      <w:snapToGrid w:val="0"/>
      <w:spacing w:before="60" w:after="160" w:line="259" w:lineRule="auto"/>
      <w:ind w:right="113"/>
    </w:pPr>
    <w:rPr>
      <w:kern w:val="0"/>
      <w:sz w:val="18"/>
      <w:szCs w:val="20"/>
    </w:rPr>
  </w:style>
  <w:style w:type="paragraph" w:styleId="14">
    <w:name w:val="Body Text Indent"/>
    <w:basedOn w:val="1"/>
    <w:link w:val="54"/>
    <w:autoRedefine/>
    <w:qFormat/>
    <w:uiPriority w:val="0"/>
    <w:pPr>
      <w:spacing w:after="120"/>
      <w:ind w:left="420" w:leftChars="200"/>
    </w:pPr>
    <w:rPr>
      <w:kern w:val="0"/>
      <w:sz w:val="24"/>
      <w:szCs w:val="20"/>
    </w:rPr>
  </w:style>
  <w:style w:type="paragraph" w:styleId="15">
    <w:name w:val="Plain Text"/>
    <w:basedOn w:val="1"/>
    <w:next w:val="11"/>
    <w:autoRedefine/>
    <w:unhideWhenUsed/>
    <w:qFormat/>
    <w:locked/>
    <w:uiPriority w:val="99"/>
    <w:rPr>
      <w:rFonts w:hint="eastAsia" w:ascii="宋体" w:hAnsi="Courier New"/>
    </w:rPr>
  </w:style>
  <w:style w:type="paragraph" w:styleId="16">
    <w:name w:val="Date"/>
    <w:basedOn w:val="1"/>
    <w:next w:val="1"/>
    <w:link w:val="41"/>
    <w:autoRedefine/>
    <w:qFormat/>
    <w:uiPriority w:val="0"/>
    <w:pPr>
      <w:ind w:left="100" w:leftChars="2500"/>
    </w:pPr>
    <w:rPr>
      <w:kern w:val="0"/>
      <w:sz w:val="24"/>
      <w:szCs w:val="20"/>
    </w:rPr>
  </w:style>
  <w:style w:type="paragraph" w:styleId="17">
    <w:name w:val="Balloon Text"/>
    <w:basedOn w:val="1"/>
    <w:link w:val="50"/>
    <w:autoRedefine/>
    <w:semiHidden/>
    <w:qFormat/>
    <w:uiPriority w:val="0"/>
    <w:rPr>
      <w:kern w:val="0"/>
      <w:sz w:val="18"/>
      <w:szCs w:val="20"/>
    </w:rPr>
  </w:style>
  <w:style w:type="paragraph" w:styleId="18">
    <w:name w:val="footer"/>
    <w:basedOn w:val="1"/>
    <w:link w:val="40"/>
    <w:autoRedefine/>
    <w:qFormat/>
    <w:uiPriority w:val="99"/>
    <w:pPr>
      <w:tabs>
        <w:tab w:val="center" w:pos="4153"/>
        <w:tab w:val="right" w:pos="8306"/>
      </w:tabs>
      <w:snapToGrid w:val="0"/>
      <w:jc w:val="left"/>
    </w:pPr>
    <w:rPr>
      <w:kern w:val="0"/>
      <w:sz w:val="18"/>
      <w:szCs w:val="20"/>
    </w:rPr>
  </w:style>
  <w:style w:type="paragraph" w:styleId="19">
    <w:name w:val="index heading"/>
    <w:basedOn w:val="1"/>
    <w:next w:val="20"/>
    <w:autoRedefine/>
    <w:qFormat/>
    <w:locked/>
    <w:uiPriority w:val="0"/>
    <w:rPr>
      <w:szCs w:val="20"/>
    </w:rPr>
  </w:style>
  <w:style w:type="paragraph" w:styleId="20">
    <w:name w:val="index 1"/>
    <w:basedOn w:val="1"/>
    <w:next w:val="1"/>
    <w:autoRedefine/>
    <w:qFormat/>
    <w:locked/>
    <w:uiPriority w:val="0"/>
  </w:style>
  <w:style w:type="paragraph" w:styleId="21">
    <w:name w:val="Body Text Indent 3"/>
    <w:basedOn w:val="1"/>
    <w:autoRedefine/>
    <w:qFormat/>
    <w:locked/>
    <w:uiPriority w:val="0"/>
    <w:pPr>
      <w:spacing w:after="120"/>
      <w:ind w:left="420" w:leftChars="200"/>
    </w:pPr>
    <w:rPr>
      <w:sz w:val="16"/>
      <w:szCs w:val="16"/>
    </w:rPr>
  </w:style>
  <w:style w:type="paragraph" w:styleId="22">
    <w:name w:val="Normal (Web)"/>
    <w:basedOn w:val="1"/>
    <w:link w:val="43"/>
    <w:autoRedefine/>
    <w:qFormat/>
    <w:uiPriority w:val="0"/>
    <w:pPr>
      <w:widowControl/>
      <w:spacing w:before="100" w:beforeAutospacing="1" w:after="100" w:afterAutospacing="1"/>
      <w:jc w:val="left"/>
    </w:pPr>
    <w:rPr>
      <w:rFonts w:ascii="宋体" w:hAnsi="宋体"/>
      <w:kern w:val="0"/>
      <w:sz w:val="24"/>
      <w:szCs w:val="20"/>
    </w:rPr>
  </w:style>
  <w:style w:type="paragraph" w:styleId="23">
    <w:name w:val="annotation subject"/>
    <w:basedOn w:val="10"/>
    <w:next w:val="10"/>
    <w:link w:val="51"/>
    <w:autoRedefine/>
    <w:semiHidden/>
    <w:qFormat/>
    <w:uiPriority w:val="0"/>
    <w:rPr>
      <w:b/>
      <w:kern w:val="2"/>
    </w:rPr>
  </w:style>
  <w:style w:type="paragraph" w:styleId="24">
    <w:name w:val="Body Text First Indent"/>
    <w:basedOn w:val="13"/>
    <w:next w:val="1"/>
    <w:link w:val="57"/>
    <w:autoRedefine/>
    <w:qFormat/>
    <w:locked/>
    <w:uiPriority w:val="0"/>
    <w:pPr>
      <w:widowControl w:val="0"/>
      <w:snapToGrid/>
      <w:spacing w:before="0" w:after="120" w:line="240" w:lineRule="auto"/>
      <w:ind w:right="0" w:firstLine="420" w:firstLineChars="100"/>
    </w:pPr>
    <w:rPr>
      <w:kern w:val="2"/>
      <w:sz w:val="21"/>
      <w:szCs w:val="24"/>
    </w:rPr>
  </w:style>
  <w:style w:type="paragraph" w:styleId="25">
    <w:name w:val="Body Text First Indent 2"/>
    <w:basedOn w:val="14"/>
    <w:next w:val="24"/>
    <w:link w:val="58"/>
    <w:autoRedefine/>
    <w:qFormat/>
    <w:locked/>
    <w:uiPriority w:val="0"/>
    <w:pPr>
      <w:ind w:firstLine="420" w:firstLineChars="200"/>
    </w:p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locked/>
    <w:uiPriority w:val="0"/>
    <w:rPr>
      <w:b/>
    </w:rPr>
  </w:style>
  <w:style w:type="character" w:styleId="30">
    <w:name w:val="page number"/>
    <w:basedOn w:val="28"/>
    <w:autoRedefine/>
    <w:qFormat/>
    <w:locked/>
    <w:uiPriority w:val="0"/>
  </w:style>
  <w:style w:type="character" w:styleId="31">
    <w:name w:val="Hyperlink"/>
    <w:basedOn w:val="28"/>
    <w:autoRedefine/>
    <w:qFormat/>
    <w:locked/>
    <w:uiPriority w:val="0"/>
    <w:rPr>
      <w:color w:val="0000FF"/>
      <w:u w:val="single"/>
    </w:rPr>
  </w:style>
  <w:style w:type="character" w:styleId="32">
    <w:name w:val="annotation reference"/>
    <w:basedOn w:val="28"/>
    <w:autoRedefine/>
    <w:semiHidden/>
    <w:qFormat/>
    <w:uiPriority w:val="0"/>
    <w:rPr>
      <w:sz w:val="21"/>
    </w:rPr>
  </w:style>
  <w:style w:type="paragraph" w:customStyle="1" w:styleId="33">
    <w:name w:val="Default"/>
    <w:basedOn w:val="34"/>
    <w:autoRedefine/>
    <w:qFormat/>
    <w:uiPriority w:val="0"/>
    <w:pPr>
      <w:autoSpaceDE w:val="0"/>
      <w:autoSpaceDN w:val="0"/>
    </w:pPr>
    <w:rPr>
      <w:rFonts w:hAnsi="Times New Roman" w:cs="宋体"/>
      <w:color w:val="000000"/>
      <w:sz w:val="24"/>
      <w:szCs w:val="24"/>
    </w:rPr>
  </w:style>
  <w:style w:type="paragraph" w:customStyle="1" w:styleId="34">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5">
    <w:name w:val="明显引用1"/>
    <w:next w:val="1"/>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customStyle="1" w:styleId="36">
    <w:name w:val="样式 正文文本缩进 + 行距: 1.5 倍行距"/>
    <w:basedOn w:val="14"/>
    <w:autoRedefine/>
    <w:qFormat/>
    <w:uiPriority w:val="0"/>
    <w:pPr>
      <w:spacing w:line="360" w:lineRule="auto"/>
      <w:ind w:left="0" w:leftChars="0" w:firstLine="560" w:firstLineChars="200"/>
    </w:pPr>
    <w:rPr>
      <w:b/>
      <w:bCs/>
      <w:sz w:val="28"/>
    </w:rPr>
  </w:style>
  <w:style w:type="paragraph" w:customStyle="1" w:styleId="37">
    <w:name w:val="表格文字"/>
    <w:basedOn w:val="38"/>
    <w:next w:val="1"/>
    <w:autoRedefine/>
    <w:qFormat/>
    <w:uiPriority w:val="0"/>
    <w:pPr>
      <w:jc w:val="center"/>
    </w:pPr>
    <w:rPr>
      <w:kern w:val="0"/>
    </w:rPr>
  </w:style>
  <w:style w:type="paragraph" w:customStyle="1" w:styleId="38">
    <w:name w:val="样式1"/>
    <w:basedOn w:val="7"/>
    <w:autoRedefine/>
    <w:qFormat/>
    <w:uiPriority w:val="0"/>
    <w:pPr>
      <w:ind w:firstLine="510"/>
    </w:pPr>
    <w:rPr>
      <w:szCs w:val="20"/>
    </w:rPr>
  </w:style>
  <w:style w:type="paragraph" w:customStyle="1" w:styleId="39">
    <w:name w:val="纯文本1"/>
    <w:basedOn w:val="1"/>
    <w:autoRedefine/>
    <w:qFormat/>
    <w:uiPriority w:val="0"/>
    <w:pPr>
      <w:adjustRightInd w:val="0"/>
    </w:pPr>
    <w:rPr>
      <w:rFonts w:ascii="宋体" w:hAnsi="Courier New"/>
      <w:szCs w:val="20"/>
    </w:rPr>
  </w:style>
  <w:style w:type="character" w:customStyle="1" w:styleId="40">
    <w:name w:val="页脚 字符1"/>
    <w:link w:val="18"/>
    <w:autoRedefine/>
    <w:qFormat/>
    <w:locked/>
    <w:uiPriority w:val="99"/>
    <w:rPr>
      <w:sz w:val="18"/>
    </w:rPr>
  </w:style>
  <w:style w:type="character" w:customStyle="1" w:styleId="41">
    <w:name w:val="日期 字符1"/>
    <w:link w:val="16"/>
    <w:autoRedefine/>
    <w:qFormat/>
    <w:locked/>
    <w:uiPriority w:val="0"/>
    <w:rPr>
      <w:rFonts w:ascii="Times New Roman" w:hAnsi="Times New Roman" w:eastAsia="宋体"/>
      <w:sz w:val="24"/>
    </w:rPr>
  </w:style>
  <w:style w:type="character" w:customStyle="1" w:styleId="42">
    <w:name w:val="页脚 字符"/>
    <w:basedOn w:val="28"/>
    <w:autoRedefine/>
    <w:qFormat/>
    <w:uiPriority w:val="99"/>
  </w:style>
  <w:style w:type="character" w:customStyle="1" w:styleId="43">
    <w:name w:val="普通(网站) 字符"/>
    <w:link w:val="22"/>
    <w:autoRedefine/>
    <w:qFormat/>
    <w:locked/>
    <w:uiPriority w:val="0"/>
    <w:rPr>
      <w:rFonts w:ascii="宋体" w:hAnsi="宋体" w:eastAsia="宋体"/>
      <w:sz w:val="24"/>
    </w:rPr>
  </w:style>
  <w:style w:type="character" w:customStyle="1" w:styleId="44">
    <w:name w:val="正文文本 字符1"/>
    <w:autoRedefine/>
    <w:semiHidden/>
    <w:qFormat/>
    <w:uiPriority w:val="0"/>
    <w:rPr>
      <w:rFonts w:ascii="Times New Roman" w:hAnsi="Times New Roman" w:eastAsia="宋体"/>
      <w:sz w:val="24"/>
    </w:rPr>
  </w:style>
  <w:style w:type="character" w:customStyle="1" w:styleId="45">
    <w:name w:val="正文文本 字符"/>
    <w:link w:val="13"/>
    <w:autoRedefine/>
    <w:qFormat/>
    <w:locked/>
    <w:uiPriority w:val="0"/>
    <w:rPr>
      <w:sz w:val="18"/>
    </w:rPr>
  </w:style>
  <w:style w:type="character" w:customStyle="1" w:styleId="46">
    <w:name w:val="批注文字 字符"/>
    <w:link w:val="10"/>
    <w:autoRedefine/>
    <w:qFormat/>
    <w:locked/>
    <w:uiPriority w:val="0"/>
    <w:rPr>
      <w:rFonts w:ascii="Times New Roman" w:hAnsi="Times New Roman" w:eastAsia="宋体"/>
      <w:sz w:val="24"/>
    </w:rPr>
  </w:style>
  <w:style w:type="character" w:customStyle="1" w:styleId="47">
    <w:name w:val="表格 Char"/>
    <w:link w:val="48"/>
    <w:autoRedefine/>
    <w:qFormat/>
    <w:locked/>
    <w:uiPriority w:val="0"/>
    <w:rPr>
      <w:rFonts w:ascii="宋体"/>
      <w:sz w:val="21"/>
    </w:rPr>
  </w:style>
  <w:style w:type="paragraph" w:customStyle="1" w:styleId="48">
    <w:name w:val="表格"/>
    <w:basedOn w:val="8"/>
    <w:next w:val="1"/>
    <w:link w:val="47"/>
    <w:autoRedefine/>
    <w:qFormat/>
    <w:uiPriority w:val="0"/>
    <w:pPr>
      <w:adjustRightInd w:val="0"/>
      <w:snapToGrid w:val="0"/>
      <w:spacing w:beforeLines="10" w:afterLines="10" w:line="259" w:lineRule="auto"/>
      <w:jc w:val="center"/>
    </w:pPr>
    <w:rPr>
      <w:rFonts w:ascii="宋体"/>
      <w:kern w:val="0"/>
      <w:szCs w:val="20"/>
    </w:rPr>
  </w:style>
  <w:style w:type="character" w:customStyle="1" w:styleId="49">
    <w:name w:val="日期 字符"/>
    <w:autoRedefine/>
    <w:semiHidden/>
    <w:qFormat/>
    <w:uiPriority w:val="0"/>
    <w:rPr>
      <w:rFonts w:ascii="Times New Roman" w:hAnsi="Times New Roman" w:eastAsia="宋体"/>
      <w:sz w:val="24"/>
    </w:rPr>
  </w:style>
  <w:style w:type="character" w:customStyle="1" w:styleId="50">
    <w:name w:val="批注框文本 字符"/>
    <w:link w:val="17"/>
    <w:autoRedefine/>
    <w:semiHidden/>
    <w:qFormat/>
    <w:locked/>
    <w:uiPriority w:val="0"/>
    <w:rPr>
      <w:rFonts w:ascii="Times New Roman" w:hAnsi="Times New Roman" w:eastAsia="宋体"/>
      <w:sz w:val="18"/>
    </w:rPr>
  </w:style>
  <w:style w:type="character" w:customStyle="1" w:styleId="51">
    <w:name w:val="批注主题 字符"/>
    <w:link w:val="23"/>
    <w:autoRedefine/>
    <w:semiHidden/>
    <w:qFormat/>
    <w:locked/>
    <w:uiPriority w:val="0"/>
    <w:rPr>
      <w:rFonts w:ascii="Times New Roman" w:hAnsi="Times New Roman" w:eastAsia="宋体"/>
      <w:b/>
      <w:kern w:val="2"/>
      <w:sz w:val="24"/>
    </w:rPr>
  </w:style>
  <w:style w:type="character" w:customStyle="1" w:styleId="52">
    <w:name w:val="页眉 字符"/>
    <w:link w:val="2"/>
    <w:autoRedefine/>
    <w:qFormat/>
    <w:locked/>
    <w:uiPriority w:val="0"/>
    <w:rPr>
      <w:sz w:val="18"/>
    </w:rPr>
  </w:style>
  <w:style w:type="character" w:customStyle="1" w:styleId="53">
    <w:name w:val="批注文字 字符1"/>
    <w:autoRedefine/>
    <w:semiHidden/>
    <w:qFormat/>
    <w:uiPriority w:val="0"/>
    <w:rPr>
      <w:rFonts w:ascii="Times New Roman" w:hAnsi="Times New Roman" w:eastAsia="宋体"/>
      <w:sz w:val="24"/>
    </w:rPr>
  </w:style>
  <w:style w:type="character" w:customStyle="1" w:styleId="54">
    <w:name w:val="正文文本缩进 字符"/>
    <w:link w:val="14"/>
    <w:autoRedefine/>
    <w:semiHidden/>
    <w:qFormat/>
    <w:locked/>
    <w:uiPriority w:val="0"/>
    <w:rPr>
      <w:rFonts w:ascii="Times New Roman" w:hAnsi="Times New Roman" w:eastAsia="宋体"/>
      <w:sz w:val="24"/>
    </w:rPr>
  </w:style>
  <w:style w:type="paragraph" w:customStyle="1" w:styleId="5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57">
    <w:name w:val="正文文本首行缩进 字符"/>
    <w:basedOn w:val="45"/>
    <w:link w:val="24"/>
    <w:autoRedefine/>
    <w:qFormat/>
    <w:uiPriority w:val="0"/>
    <w:rPr>
      <w:kern w:val="2"/>
      <w:sz w:val="21"/>
      <w:szCs w:val="24"/>
    </w:rPr>
  </w:style>
  <w:style w:type="character" w:customStyle="1" w:styleId="58">
    <w:name w:val="正文文本首行缩进 2 字符"/>
    <w:basedOn w:val="54"/>
    <w:link w:val="25"/>
    <w:autoRedefine/>
    <w:qFormat/>
    <w:uiPriority w:val="0"/>
    <w:rPr>
      <w:rFonts w:ascii="Times New Roman" w:hAnsi="Times New Roman" w:eastAsia="宋体"/>
      <w:kern w:val="2"/>
      <w:sz w:val="21"/>
      <w:szCs w:val="24"/>
    </w:rPr>
  </w:style>
  <w:style w:type="paragraph" w:customStyle="1" w:styleId="59">
    <w:name w:val="Table Paragraph"/>
    <w:basedOn w:val="1"/>
    <w:autoRedefine/>
    <w:qFormat/>
    <w:uiPriority w:val="1"/>
    <w:rPr>
      <w:rFonts w:ascii="宋体" w:hAnsi="宋体" w:cs="宋体"/>
      <w:lang w:val="zh-CN" w:bidi="zh-CN"/>
    </w:rPr>
  </w:style>
  <w:style w:type="paragraph" w:customStyle="1" w:styleId="60">
    <w:name w:val="正文加粗"/>
    <w:basedOn w:val="1"/>
    <w:autoRedefine/>
    <w:qFormat/>
    <w:uiPriority w:val="0"/>
    <w:pPr>
      <w:spacing w:line="360" w:lineRule="auto"/>
      <w:ind w:firstLine="200" w:firstLineChars="200"/>
    </w:pPr>
    <w:rPr>
      <w:b/>
    </w:rPr>
  </w:style>
  <w:style w:type="paragraph" w:customStyle="1" w:styleId="61">
    <w:name w:val="正文文本缩进 21"/>
    <w:basedOn w:val="1"/>
    <w:autoRedefine/>
    <w:qFormat/>
    <w:uiPriority w:val="0"/>
    <w:pPr>
      <w:adjustRightInd w:val="0"/>
      <w:spacing w:line="460" w:lineRule="exact"/>
      <w:ind w:firstLine="480"/>
      <w:textAlignment w:val="baseline"/>
    </w:pPr>
    <w:rPr>
      <w:sz w:val="24"/>
      <w:szCs w:val="20"/>
    </w:rPr>
  </w:style>
  <w:style w:type="paragraph" w:customStyle="1" w:styleId="62">
    <w:name w:val="表格内容"/>
    <w:basedOn w:val="63"/>
    <w:next w:val="1"/>
    <w:autoRedefine/>
    <w:qFormat/>
    <w:uiPriority w:val="0"/>
    <w:pPr>
      <w:keepLines/>
      <w:suppressAutoHyphens/>
      <w:adjustRightInd w:val="0"/>
      <w:snapToGrid w:val="0"/>
      <w:spacing w:line="240" w:lineRule="atLeast"/>
      <w:jc w:val="center"/>
    </w:pPr>
    <w:rPr>
      <w:rFonts w:ascii="Calibri" w:hAnsi="Calibri"/>
      <w:kern w:val="0"/>
      <w:szCs w:val="18"/>
    </w:rPr>
  </w:style>
  <w:style w:type="paragraph" w:customStyle="1" w:styleId="63">
    <w:name w:val="表格标题"/>
    <w:basedOn w:val="64"/>
    <w:autoRedefine/>
    <w:qFormat/>
    <w:uiPriority w:val="0"/>
    <w:pPr>
      <w:jc w:val="center"/>
    </w:pPr>
    <w:rPr>
      <w:b/>
    </w:rPr>
  </w:style>
  <w:style w:type="paragraph" w:customStyle="1" w:styleId="64">
    <w:name w:val="方案正文"/>
    <w:basedOn w:val="1"/>
    <w:qFormat/>
    <w:uiPriority w:val="0"/>
    <w:pPr>
      <w:spacing w:before="156" w:beforeLines="50" w:after="156" w:afterLines="50"/>
    </w:pPr>
    <w:rPr>
      <w:spacing w:val="14"/>
      <w:kern w:val="0"/>
      <w:szCs w:val="24"/>
    </w:rPr>
  </w:style>
  <w:style w:type="paragraph" w:customStyle="1" w:styleId="65">
    <w:name w:val="表标题"/>
    <w:basedOn w:val="1"/>
    <w:next w:val="1"/>
    <w:autoRedefine/>
    <w:qFormat/>
    <w:uiPriority w:val="0"/>
    <w:pPr>
      <w:adjustRightInd w:val="0"/>
      <w:snapToGrid w:val="0"/>
      <w:spacing w:line="360" w:lineRule="auto"/>
      <w:jc w:val="center"/>
      <w:textAlignment w:val="baseline"/>
    </w:pPr>
    <w:rPr>
      <w:b/>
      <w:bCs/>
      <w:kern w:val="0"/>
    </w:rPr>
  </w:style>
  <w:style w:type="character" w:customStyle="1" w:styleId="66">
    <w:name w:val="表格 Char1"/>
    <w:autoRedefine/>
    <w:qFormat/>
    <w:uiPriority w:val="0"/>
    <w:rPr>
      <w:kern w:val="2"/>
      <w:sz w:val="21"/>
      <w:szCs w:val="24"/>
    </w:rPr>
  </w:style>
  <w:style w:type="paragraph" w:customStyle="1" w:styleId="67">
    <w:name w:val="表图"/>
    <w:basedOn w:val="1"/>
    <w:autoRedefine/>
    <w:qFormat/>
    <w:uiPriority w:val="0"/>
    <w:pPr>
      <w:spacing w:line="320" w:lineRule="exact"/>
      <w:jc w:val="center"/>
    </w:pPr>
    <w:rPr>
      <w:rFonts w:ascii="Calibri" w:hAnsi="Calibri" w:cs="黑体"/>
      <w:szCs w:val="20"/>
    </w:rPr>
  </w:style>
  <w:style w:type="paragraph" w:styleId="68">
    <w:name w:val="List Paragraph"/>
    <w:basedOn w:val="1"/>
    <w:autoRedefine/>
    <w:qFormat/>
    <w:uiPriority w:val="0"/>
    <w:pPr>
      <w:ind w:firstLine="420" w:firstLineChars="200"/>
    </w:pPr>
  </w:style>
  <w:style w:type="character" w:styleId="69">
    <w:name w:val="Placeholder Text"/>
    <w:basedOn w:val="28"/>
    <w:autoRedefine/>
    <w:semiHidden/>
    <w:qFormat/>
    <w:uiPriority w:val="99"/>
    <w:rPr>
      <w:color w:val="80808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character" w:customStyle="1" w:styleId="71">
    <w:name w:val="font31"/>
    <w:basedOn w:val="28"/>
    <w:autoRedefine/>
    <w:qFormat/>
    <w:uiPriority w:val="0"/>
    <w:rPr>
      <w:rFonts w:hint="eastAsia" w:ascii="宋体" w:hAnsi="宋体" w:eastAsia="宋体" w:cs="宋体"/>
      <w:color w:val="000000"/>
      <w:sz w:val="24"/>
      <w:szCs w:val="24"/>
      <w:u w:val="none"/>
    </w:rPr>
  </w:style>
  <w:style w:type="character" w:customStyle="1" w:styleId="72">
    <w:name w:val="font21"/>
    <w:basedOn w:val="28"/>
    <w:autoRedefine/>
    <w:qFormat/>
    <w:uiPriority w:val="0"/>
    <w:rPr>
      <w:rFonts w:hint="eastAsia" w:ascii="宋体" w:hAnsi="宋体" w:eastAsia="宋体" w:cs="宋体"/>
      <w:color w:val="000000"/>
      <w:sz w:val="24"/>
      <w:szCs w:val="24"/>
      <w:u w:val="none"/>
    </w:rPr>
  </w:style>
  <w:style w:type="paragraph" w:customStyle="1" w:styleId="73">
    <w:name w:val="报告表正文"/>
    <w:basedOn w:val="1"/>
    <w:autoRedefine/>
    <w:qFormat/>
    <w:uiPriority w:val="0"/>
    <w:pPr>
      <w:widowControl/>
      <w:adjustRightInd w:val="0"/>
      <w:spacing w:line="312" w:lineRule="auto"/>
      <w:ind w:left="113" w:right="113" w:firstLine="482"/>
      <w:jc w:val="left"/>
    </w:pPr>
    <w:rPr>
      <w:rFonts w:ascii="宋体" w:hAnsi="宋体" w:cs="宋体"/>
      <w:kern w:val="0"/>
      <w:sz w:val="24"/>
      <w:szCs w:val="20"/>
    </w:rPr>
  </w:style>
  <w:style w:type="paragraph" w:customStyle="1" w:styleId="74">
    <w:name w:val="Char Char Char Char Char Char Char"/>
    <w:basedOn w:val="1"/>
    <w:autoRedefine/>
    <w:qFormat/>
    <w:uiPriority w:val="0"/>
  </w:style>
  <w:style w:type="character" w:customStyle="1" w:styleId="75">
    <w:name w:val="正文（首行缩进两字） Char"/>
    <w:autoRedefine/>
    <w:qFormat/>
    <w:uiPriority w:val="0"/>
    <w:rPr>
      <w:rFonts w:eastAsia="宋体"/>
      <w:kern w:val="2"/>
      <w:sz w:val="24"/>
      <w:lang w:val="en-US" w:eastAsia="zh-CN"/>
    </w:rPr>
  </w:style>
  <w:style w:type="paragraph" w:customStyle="1" w:styleId="76">
    <w:name w:val="正文(首行缩进)"/>
    <w:basedOn w:val="1"/>
    <w:autoRedefine/>
    <w:qFormat/>
    <w:uiPriority w:val="0"/>
    <w:pPr>
      <w:spacing w:line="360" w:lineRule="auto"/>
      <w:ind w:firstLine="480" w:firstLineChars="200"/>
    </w:pPr>
    <w:rPr>
      <w:rFonts w:ascii="宋体" w:hAnsi="宋体"/>
      <w:kern w:val="24"/>
      <w:sz w:val="24"/>
      <w:szCs w:val="20"/>
    </w:rPr>
  </w:style>
  <w:style w:type="paragraph" w:customStyle="1" w:styleId="77">
    <w:name w:val="报告"/>
    <w:basedOn w:val="1"/>
    <w:autoRedefine/>
    <w:qFormat/>
    <w:uiPriority w:val="0"/>
    <w:pPr>
      <w:adjustRightInd w:val="0"/>
      <w:spacing w:line="360" w:lineRule="auto"/>
      <w:ind w:firstLine="505"/>
      <w:jc w:val="left"/>
      <w:textAlignment w:val="baseline"/>
    </w:pPr>
    <w:rPr>
      <w:kern w:val="0"/>
      <w:sz w:val="24"/>
    </w:rPr>
  </w:style>
  <w:style w:type="paragraph" w:customStyle="1" w:styleId="78">
    <w:name w:val="样式 正文首行缩进正文首行缩进 Char + 段前: 0.5 行"/>
    <w:basedOn w:val="24"/>
    <w:autoRedefine/>
    <w:qFormat/>
    <w:uiPriority w:val="0"/>
    <w:pPr>
      <w:spacing w:before="156" w:beforeLines="50" w:after="0" w:line="360" w:lineRule="auto"/>
      <w:ind w:firstLine="567" w:firstLineChars="0"/>
    </w:pPr>
    <w:rPr>
      <w:sz w:val="28"/>
      <w:szCs w:val="20"/>
    </w:rPr>
  </w:style>
  <w:style w:type="paragraph" w:customStyle="1" w:styleId="79">
    <w:name w:val="正文文本缩进 22"/>
    <w:basedOn w:val="1"/>
    <w:autoRedefine/>
    <w:qFormat/>
    <w:uiPriority w:val="0"/>
    <w:pPr>
      <w:adjustRightInd w:val="0"/>
      <w:spacing w:line="460" w:lineRule="exact"/>
      <w:ind w:firstLine="480"/>
      <w:textAlignment w:val="baseline"/>
    </w:pPr>
    <w:rPr>
      <w:sz w:val="24"/>
      <w:szCs w:val="20"/>
    </w:rPr>
  </w:style>
  <w:style w:type="paragraph" w:customStyle="1" w:styleId="80">
    <w:name w:val="1正文"/>
    <w:basedOn w:val="1"/>
    <w:autoRedefine/>
    <w:qFormat/>
    <w:uiPriority w:val="0"/>
    <w:pPr>
      <w:spacing w:line="360" w:lineRule="auto"/>
      <w:ind w:firstLine="200" w:firstLineChars="200"/>
    </w:pPr>
    <w:rPr>
      <w:sz w:val="24"/>
    </w:rPr>
  </w:style>
  <w:style w:type="paragraph" w:customStyle="1" w:styleId="81">
    <w:name w:val="表头"/>
    <w:basedOn w:val="37"/>
    <w:autoRedefine/>
    <w:qFormat/>
    <w:uiPriority w:val="0"/>
    <w:pPr>
      <w:spacing w:before="0" w:beforeAutospacing="0" w:after="50" w:afterLines="50" w:afterAutospacing="0"/>
      <w:jc w:val="center"/>
      <w:outlineLvl w:val="9"/>
    </w:pPr>
    <w:rPr>
      <w:rFonts w:ascii="黑体" w:hAnsi="黑体" w:eastAsia="黑体" w:cs="黑体"/>
      <w:bCs/>
      <w:spacing w:val="4"/>
      <w:sz w:val="24"/>
      <w:szCs w:val="24"/>
    </w:rPr>
  </w:style>
  <w:style w:type="paragraph" w:customStyle="1" w:styleId="82">
    <w:name w:val="表内容"/>
    <w:basedOn w:val="1"/>
    <w:autoRedefine/>
    <w:qFormat/>
    <w:uiPriority w:val="0"/>
    <w:pPr>
      <w:widowControl/>
      <w:tabs>
        <w:tab w:val="left" w:pos="-2400"/>
        <w:tab w:val="left" w:pos="1320"/>
        <w:tab w:val="left" w:pos="3878"/>
        <w:tab w:val="left" w:pos="6080"/>
        <w:tab w:val="left" w:pos="6580"/>
        <w:tab w:val="left" w:pos="8137"/>
      </w:tabs>
      <w:jc w:val="center"/>
      <w:textAlignment w:val="center"/>
    </w:pPr>
    <w:rPr>
      <w:snapToGrid w:val="0"/>
      <w:kern w:val="0"/>
      <w:szCs w:val="21"/>
      <w:lang w:val="zh-CN"/>
    </w:rPr>
  </w:style>
  <w:style w:type="paragraph" w:customStyle="1" w:styleId="83">
    <w:name w:val="表格文字-hao-居中"/>
    <w:autoRedefine/>
    <w:qFormat/>
    <w:uiPriority w:val="0"/>
    <w:pPr>
      <w:adjustRightInd w:val="0"/>
      <w:snapToGrid w:val="0"/>
      <w:jc w:val="center"/>
      <w:textAlignment w:val="center"/>
    </w:pPr>
    <w:rPr>
      <w:rFonts w:ascii="Times New Roman" w:hAnsi="Times New Roman" w:eastAsia="宋体" w:cs="Times New Roman"/>
      <w:sz w:val="21"/>
      <w:szCs w:val="24"/>
      <w:lang w:val="en-US" w:eastAsia="zh-CN" w:bidi="ar-SA"/>
    </w:rPr>
  </w:style>
  <w:style w:type="paragraph" w:customStyle="1" w:styleId="84">
    <w:name w:val="封面正文"/>
    <w:autoRedefine/>
    <w:qFormat/>
    <w:uiPriority w:val="0"/>
    <w:pPr>
      <w:jc w:val="both"/>
    </w:pPr>
    <w:rPr>
      <w:rFonts w:ascii="Times New Roman" w:hAnsi="Times New Roman" w:eastAsia="宋体" w:cs="Times New Roman"/>
      <w:lang w:val="en-US" w:eastAsia="zh-CN" w:bidi="ar-SA"/>
    </w:rPr>
  </w:style>
  <w:style w:type="paragraph" w:customStyle="1" w:styleId="85">
    <w:name w:val="填表5中"/>
    <w:basedOn w:val="1"/>
    <w:next w:val="1"/>
    <w:autoRedefine/>
    <w:qFormat/>
    <w:uiPriority w:val="0"/>
    <w:pPr>
      <w:snapToGrid w:val="0"/>
      <w:jc w:val="center"/>
    </w:pPr>
    <w:rPr>
      <w:rFonts w:ascii="宋体"/>
      <w:szCs w:val="21"/>
    </w:rPr>
  </w:style>
  <w:style w:type="paragraph" w:customStyle="1" w:styleId="86">
    <w:name w:val="正文文本 21"/>
    <w:basedOn w:val="1"/>
    <w:autoRedefine/>
    <w:qFormat/>
    <w:uiPriority w:val="0"/>
    <w:pPr>
      <w:adjustRightInd w:val="0"/>
      <w:spacing w:line="440" w:lineRule="exact"/>
      <w:ind w:firstLine="480"/>
      <w:textAlignment w:val="baseline"/>
    </w:pPr>
    <w:rPr>
      <w:rFonts w:ascii="Arial" w:hAnsi="Arial"/>
    </w:rPr>
  </w:style>
  <w:style w:type="paragraph" w:customStyle="1" w:styleId="87">
    <w:name w:val="正文表头"/>
    <w:basedOn w:val="1"/>
    <w:autoRedefine/>
    <w:qFormat/>
    <w:uiPriority w:val="0"/>
    <w:pPr>
      <w:autoSpaceDE w:val="0"/>
      <w:autoSpaceDN w:val="0"/>
      <w:adjustRightInd w:val="0"/>
      <w:spacing w:line="360" w:lineRule="auto"/>
      <w:jc w:val="center"/>
    </w:pPr>
    <w:rPr>
      <w:b/>
      <w:color w:val="000000"/>
      <w:kern w:val="0"/>
      <w:sz w:val="24"/>
    </w:rPr>
  </w:style>
  <w:style w:type="paragraph" w:customStyle="1" w:styleId="88">
    <w:name w:val="正文表格"/>
    <w:basedOn w:val="89"/>
    <w:autoRedefine/>
    <w:qFormat/>
    <w:uiPriority w:val="0"/>
    <w:pPr>
      <w:adjustRightInd/>
      <w:snapToGrid/>
      <w:spacing w:beforeLines="0" w:afterLines="0"/>
    </w:pPr>
  </w:style>
  <w:style w:type="paragraph" w:customStyle="1" w:styleId="89">
    <w:name w:val="表格A"/>
    <w:basedOn w:val="1"/>
    <w:autoRedefine/>
    <w:qFormat/>
    <w:uiPriority w:val="0"/>
    <w:pPr>
      <w:adjustRightInd w:val="0"/>
      <w:snapToGrid w:val="0"/>
      <w:spacing w:beforeLines="30" w:afterLines="30"/>
      <w:jc w:val="center"/>
    </w:pPr>
    <w:rPr>
      <w:szCs w:val="21"/>
    </w:rPr>
  </w:style>
  <w:style w:type="paragraph" w:customStyle="1" w:styleId="90">
    <w:name w:val="正文（首行缩进两字）m"/>
    <w:basedOn w:val="8"/>
    <w:autoRedefine/>
    <w:qFormat/>
    <w:uiPriority w:val="0"/>
    <w:pPr>
      <w:tabs>
        <w:tab w:val="left" w:pos="1848"/>
        <w:tab w:val="left" w:pos="6061"/>
        <w:tab w:val="left" w:pos="8665"/>
      </w:tabs>
      <w:adjustRightInd w:val="0"/>
      <w:snapToGrid w:val="0"/>
      <w:spacing w:before="156" w:beforeLines="50" w:line="460" w:lineRule="exact"/>
      <w:ind w:firstLine="480"/>
    </w:pPr>
    <w:rPr>
      <w:color w:val="339966"/>
      <w:sz w:val="24"/>
      <w:szCs w:val="20"/>
    </w:rPr>
  </w:style>
  <w:style w:type="character" w:customStyle="1" w:styleId="91">
    <w:name w:val="ggzbt011"/>
    <w:basedOn w:val="28"/>
    <w:autoRedefine/>
    <w:qFormat/>
    <w:uiPriority w:val="0"/>
  </w:style>
  <w:style w:type="paragraph" w:customStyle="1" w:styleId="92">
    <w:name w:val="WPSOffice手动目录 1"/>
    <w:autoRedefine/>
    <w:qFormat/>
    <w:uiPriority w:val="0"/>
    <w:rPr>
      <w:rFonts w:ascii="Times New Roman" w:hAnsi="Times New Roman" w:eastAsia="宋体" w:cs="Times New Roman"/>
      <w:lang w:val="en-US" w:eastAsia="zh-CN" w:bidi="ar-SA"/>
    </w:rPr>
  </w:style>
  <w:style w:type="character" w:customStyle="1" w:styleId="93">
    <w:name w:val="标题12"/>
    <w:autoRedefine/>
    <w:qFormat/>
    <w:uiPriority w:val="0"/>
    <w:rPr>
      <w:bCs/>
      <w:sz w:val="24"/>
      <w:szCs w:val="20"/>
    </w:rPr>
  </w:style>
  <w:style w:type="paragraph" w:customStyle="1" w:styleId="94">
    <w:name w:val="Normal Indent1"/>
    <w:basedOn w:val="1"/>
    <w:autoRedefine/>
    <w:qFormat/>
    <w:uiPriority w:val="0"/>
    <w:pPr>
      <w:ind w:firstLine="420" w:firstLineChars="200"/>
    </w:pPr>
  </w:style>
  <w:style w:type="paragraph" w:customStyle="1" w:styleId="95">
    <w:name w:val="正本"/>
    <w:basedOn w:val="1"/>
    <w:autoRedefine/>
    <w:qFormat/>
    <w:uiPriority w:val="0"/>
    <w:pPr>
      <w:adjustRightInd w:val="0"/>
      <w:snapToGrid w:val="0"/>
      <w:spacing w:line="360" w:lineRule="auto"/>
      <w:ind w:firstLine="200" w:firstLineChars="200"/>
    </w:pPr>
    <w:rPr>
      <w:rFonts w:ascii="宋体"/>
      <w:sz w:val="24"/>
    </w:rPr>
  </w:style>
  <w:style w:type="paragraph" w:customStyle="1" w:styleId="96">
    <w:name w:val="文本正文"/>
    <w:basedOn w:val="1"/>
    <w:autoRedefine/>
    <w:qFormat/>
    <w:uiPriority w:val="0"/>
    <w:pPr>
      <w:snapToGrid w:val="0"/>
      <w:spacing w:line="360" w:lineRule="auto"/>
      <w:ind w:firstLine="510"/>
      <w:jc w:val="left"/>
    </w:pPr>
    <w:rPr>
      <w:spacing w:val="4"/>
      <w:kern w:val="24"/>
      <w:lang w:val="zh-CN"/>
    </w:rPr>
  </w:style>
  <w:style w:type="paragraph" w:customStyle="1" w:styleId="97">
    <w:name w:val="样式 标题 1 + 四号 段前: 0 磅 段后: 0 磅 行距: 1.5 倍行距"/>
    <w:basedOn w:val="73"/>
    <w:next w:val="96"/>
    <w:autoRedefine/>
    <w:qFormat/>
    <w:uiPriority w:val="0"/>
    <w:pPr>
      <w:spacing w:line="360" w:lineRule="auto"/>
      <w:jc w:val="center"/>
    </w:pPr>
  </w:style>
  <w:style w:type="paragraph" w:customStyle="1" w:styleId="98">
    <w:name w:val="表格正文"/>
    <w:basedOn w:val="1"/>
    <w:next w:val="1"/>
    <w:autoRedefine/>
    <w:qFormat/>
    <w:uiPriority w:val="0"/>
    <w:pPr>
      <w:jc w:val="center"/>
    </w:pPr>
  </w:style>
  <w:style w:type="paragraph" w:customStyle="1" w:styleId="99">
    <w:name w:val="宋体正文"/>
    <w:basedOn w:val="1"/>
    <w:autoRedefine/>
    <w:qFormat/>
    <w:uiPriority w:val="0"/>
    <w:pPr>
      <w:spacing w:line="360" w:lineRule="auto"/>
    </w:pPr>
    <w:rPr>
      <w:sz w:val="24"/>
    </w:rPr>
  </w:style>
  <w:style w:type="paragraph" w:customStyle="1" w:styleId="100">
    <w:name w:val="宋体正文1"/>
    <w:basedOn w:val="1"/>
    <w:autoRedefine/>
    <w:qFormat/>
    <w:uiPriority w:val="0"/>
    <w:pPr>
      <w:spacing w:line="360" w:lineRule="auto"/>
    </w:pPr>
    <w:rPr>
      <w:sz w:val="28"/>
    </w:rPr>
  </w:style>
  <w:style w:type="paragraph" w:customStyle="1" w:styleId="101">
    <w:name w:val="chart内容"/>
    <w:basedOn w:val="1"/>
    <w:autoRedefine/>
    <w:qFormat/>
    <w:uiPriority w:val="0"/>
    <w:pPr>
      <w:jc w:val="center"/>
    </w:pPr>
    <w:rPr>
      <w:bCs/>
      <w:color w:val="000000"/>
      <w:kern w:val="0"/>
      <w:szCs w:val="21"/>
      <w:lang w:eastAsia="en-US"/>
    </w:rPr>
  </w:style>
  <w:style w:type="paragraph" w:customStyle="1" w:styleId="102">
    <w:name w:val="表文字"/>
    <w:basedOn w:val="1"/>
    <w:autoRedefine/>
    <w:qFormat/>
    <w:uiPriority w:val="0"/>
    <w:pPr>
      <w:jc w:val="center"/>
    </w:pPr>
    <w:rPr>
      <w:szCs w:val="20"/>
    </w:rPr>
  </w:style>
  <w:style w:type="paragraph" w:customStyle="1" w:styleId="103">
    <w:name w:val="表头1"/>
    <w:basedOn w:val="1"/>
    <w:next w:val="1"/>
    <w:autoRedefine/>
    <w:qFormat/>
    <w:uiPriority w:val="0"/>
    <w:pPr>
      <w:jc w:val="center"/>
    </w:pPr>
    <w:rPr>
      <w:b/>
      <w:color w:val="000000"/>
      <w:szCs w:val="20"/>
    </w:rPr>
  </w:style>
  <w:style w:type="paragraph" w:customStyle="1" w:styleId="104">
    <w:name w:val="正文1"/>
    <w:next w:val="1"/>
    <w:autoRedefine/>
    <w:qFormat/>
    <w:uiPriority w:val="0"/>
    <w:rPr>
      <w:rFonts w:ascii="Times New Roman" w:hAnsi="Times New Roman" w:eastAsia="宋体" w:cs="Times New Roman"/>
      <w:lang w:val="en-US" w:eastAsia="zh-CN" w:bidi="ar-SA"/>
    </w:rPr>
  </w:style>
  <w:style w:type="paragraph" w:customStyle="1" w:styleId="10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1、正文文本"/>
    <w:next w:val="1"/>
    <w:qFormat/>
    <w:uiPriority w:val="0"/>
    <w:pPr>
      <w:adjustRightInd w:val="0"/>
      <w:snapToGrid w:val="0"/>
      <w:spacing w:line="360" w:lineRule="auto"/>
      <w:ind w:firstLine="200" w:firstLineChars="200"/>
    </w:pPr>
    <w:rPr>
      <w:rFonts w:ascii="Times New Roman" w:hAnsi="Times New Roman" w:eastAsia="宋体" w:cs="宋体"/>
      <w:kern w:val="2"/>
      <w:sz w:val="24"/>
      <w:lang w:val="en-US" w:eastAsia="zh-CN" w:bidi="ar-SA"/>
    </w:rPr>
  </w:style>
  <w:style w:type="paragraph" w:customStyle="1" w:styleId="107">
    <w:name w:val="表标题4"/>
    <w:basedOn w:val="108"/>
    <w:next w:val="82"/>
    <w:unhideWhenUsed/>
    <w:qFormat/>
    <w:uiPriority w:val="0"/>
    <w:pPr>
      <w:numPr>
        <w:numId w:val="1"/>
      </w:numPr>
      <w:tabs>
        <w:tab w:val="left" w:pos="0"/>
      </w:tabs>
    </w:pPr>
    <w:rPr>
      <w:rFonts w:hint="eastAsia"/>
    </w:rPr>
  </w:style>
  <w:style w:type="paragraph" w:customStyle="1" w:styleId="108">
    <w:name w:val="表标题1"/>
    <w:next w:val="82"/>
    <w:qFormat/>
    <w:uiPriority w:val="99"/>
    <w:pPr>
      <w:widowControl w:val="0"/>
      <w:numPr>
        <w:ilvl w:val="0"/>
        <w:numId w:val="2"/>
      </w:numPr>
      <w:autoSpaceDE w:val="0"/>
      <w:autoSpaceDN w:val="0"/>
      <w:adjustRightInd w:val="0"/>
      <w:snapToGrid w:val="0"/>
      <w:jc w:val="center"/>
    </w:pPr>
    <w:rPr>
      <w:rFonts w:ascii="Times New Roman" w:hAnsi="Times New Roman" w:eastAsia="宋体" w:cs="Times New Roman"/>
      <w:b/>
      <w:color w:val="000000"/>
      <w:sz w:val="21"/>
      <w:szCs w:val="24"/>
      <w:lang w:val="en-US" w:eastAsia="zh-CN" w:bidi="ar-SA"/>
    </w:rPr>
  </w:style>
  <w:style w:type="paragraph" w:customStyle="1" w:styleId="109">
    <w:name w:val="表头文字"/>
    <w:basedOn w:val="102"/>
    <w:qFormat/>
    <w:uiPriority w:val="0"/>
    <w:rPr>
      <w:b/>
    </w:rPr>
  </w:style>
  <w:style w:type="character" w:customStyle="1" w:styleId="110">
    <w:name w:val="表格文字 Char"/>
    <w:qFormat/>
    <w:locked/>
    <w:uiPriority w:val="99"/>
    <w:rPr>
      <w:sz w:val="21"/>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C1EBE-BE2B-4D01-A96B-024DB41BC9A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613</Words>
  <Characters>639</Characters>
  <Lines>484</Lines>
  <Paragraphs>136</Paragraphs>
  <TotalTime>25</TotalTime>
  <ScaleCrop>false</ScaleCrop>
  <LinksUpToDate>false</LinksUpToDate>
  <CharactersWithSpaces>692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2021-04-06T02:19:00Z</dcterms:created>
  <dc:creator>WX</dc:creator>
  <cp:lastModifiedBy>王老五</cp:lastModifiedBy>
  <cp:lastPrinted>2024-02-27T03:51:00Z</cp:lastPrinted>
  <dcterms:modified xsi:type="dcterms:W3CDTF">2025-12-12T07:40:48Z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9802AE59EB3B4B63B55690DA716ED66B_13</vt:lpwstr>
  </property>
  <property fmtid="{D5CDD505-2E9C-101B-9397-08002B2CF9AE}" pid="4" name="KSOTemplateDocerSaveRecord">
    <vt:lpwstr>eyJoZGlkIjoiOTJhZDYzNWYyY2NkZWM2N2Y0YmRlOGY0Y2Y3MzlhNjgifQ==</vt:lpwstr>
  </property>
</Properties>
</file>