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1EDE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14:paraId="352CDFC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考核流程</w:t>
      </w:r>
    </w:p>
    <w:p w14:paraId="7881E58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方正仿宋_GBK" w:eastAsia="仿宋_GB2312" w:cs="方正仿宋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机构完善信息</w:t>
      </w:r>
      <w:r>
        <w:rPr>
          <w:rFonts w:hint="eastAsia" w:ascii="楷体" w:hAnsi="楷体" w:eastAsia="楷体" w:cs="楷体"/>
          <w:sz w:val="32"/>
          <w:szCs w:val="32"/>
          <w:lang w:eastAsia="zh-CN"/>
        </w:rPr>
        <w:t>。</w:t>
      </w:r>
      <w:r>
        <w:rPr>
          <w:rFonts w:hint="eastAsia" w:ascii="仿宋_GB2312" w:hAnsi="方正仿宋_GBK" w:eastAsia="仿宋_GB2312" w:cs="方正仿宋_GBK"/>
          <w:sz w:val="32"/>
          <w:szCs w:val="32"/>
        </w:rPr>
        <w:t>各级卫生健康行政部门、医疗卫生机构、考核机构及时完善本机构信息，其中，医疗卫生机构还需重点完善本机构科室信息及正确填写医疗机构等级等。</w:t>
      </w:r>
    </w:p>
    <w:p w14:paraId="498F6B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方正仿宋_GBK" w:eastAsia="仿宋_GB2312" w:cs="方正仿宋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确定考核医师名单</w:t>
      </w:r>
      <w:r>
        <w:rPr>
          <w:rFonts w:hint="eastAsia" w:ascii="楷体" w:hAnsi="楷体" w:eastAsia="楷体" w:cs="楷体"/>
          <w:sz w:val="32"/>
          <w:szCs w:val="32"/>
          <w:lang w:eastAsia="zh-CN"/>
        </w:rPr>
        <w:t>。</w:t>
      </w:r>
      <w:r>
        <w:rPr>
          <w:rFonts w:hint="eastAsia" w:ascii="仿宋_GB2312" w:hAnsi="方正仿宋_GBK" w:eastAsia="仿宋_GB2312" w:cs="方正仿宋_GBK"/>
          <w:sz w:val="32"/>
          <w:szCs w:val="32"/>
        </w:rPr>
        <w:t>各医疗卫生机构登录“定考系统”，按照考核对象，确定本机构应参加考核的医师名单，并通知医师。</w:t>
      </w:r>
    </w:p>
    <w:p w14:paraId="0877C74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方正仿宋_GBK" w:eastAsia="仿宋_GB2312" w:cs="方正仿宋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医师报名</w:t>
      </w:r>
      <w:r>
        <w:rPr>
          <w:rFonts w:hint="eastAsia" w:ascii="楷体" w:hAnsi="楷体" w:eastAsia="楷体" w:cs="楷体"/>
          <w:sz w:val="32"/>
          <w:szCs w:val="32"/>
          <w:lang w:eastAsia="zh-CN"/>
        </w:rPr>
        <w:t>。</w:t>
      </w:r>
      <w:r>
        <w:rPr>
          <w:rFonts w:hint="eastAsia" w:ascii="仿宋_GB2312" w:hAnsi="方正仿宋_GBK" w:eastAsia="仿宋_GB2312" w:cs="方正仿宋_GBK"/>
          <w:sz w:val="32"/>
          <w:szCs w:val="32"/>
        </w:rPr>
        <w:t>医师可在规定的时间内，登录“定考系统”进行确认报名，填报完善个人信息，进行工作业绩、职业道德自评，并根据规定选择考核程序，完成后提交信息等待审核。</w:t>
      </w:r>
    </w:p>
    <w:p w14:paraId="67F921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方正仿宋_GBK" w:eastAsia="仿宋_GB2312" w:cs="方正仿宋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机构审核</w:t>
      </w:r>
      <w:r>
        <w:rPr>
          <w:rFonts w:hint="eastAsia" w:ascii="楷体" w:hAnsi="楷体" w:eastAsia="楷体" w:cs="楷体"/>
          <w:sz w:val="32"/>
          <w:szCs w:val="32"/>
          <w:lang w:eastAsia="zh-CN"/>
        </w:rPr>
        <w:t>。</w:t>
      </w:r>
      <w:r>
        <w:rPr>
          <w:rFonts w:hint="eastAsia" w:ascii="仿宋_GB2312" w:hAnsi="方正仿宋_GBK" w:eastAsia="仿宋_GB2312" w:cs="方正仿宋_GBK"/>
          <w:sz w:val="32"/>
          <w:szCs w:val="32"/>
        </w:rPr>
        <w:t>医疗卫生机构对医师提交的相关信息（个人信息、自评及考核程序）进行审核，审核通过后，提交考核机构复核</w:t>
      </w:r>
      <w:r>
        <w:rPr>
          <w:rFonts w:hint="eastAsia" w:ascii="仿宋_GB2312" w:hAnsi="方正仿宋_GBK" w:eastAsia="仿宋_GB2312" w:cs="方正仿宋_GBK"/>
          <w:sz w:val="32"/>
          <w:szCs w:val="32"/>
          <w:lang w:eastAsia="zh-CN"/>
        </w:rPr>
        <w:t>，复核通过后医师即可进行在线学习和业务水平测评。</w:t>
      </w:r>
    </w:p>
    <w:p w14:paraId="511BBD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方正仿宋_GBK" w:eastAsia="仿宋_GB2312" w:cs="方正仿宋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医师在线学习</w:t>
      </w:r>
      <w:r>
        <w:rPr>
          <w:rFonts w:hint="eastAsia" w:ascii="楷体" w:hAnsi="楷体" w:eastAsia="楷体" w:cs="楷体"/>
          <w:sz w:val="32"/>
          <w:szCs w:val="32"/>
          <w:lang w:eastAsia="zh-CN"/>
        </w:rPr>
        <w:t>。</w:t>
      </w:r>
      <w:r>
        <w:rPr>
          <w:rFonts w:hint="eastAsia" w:ascii="仿宋_GB2312" w:hAnsi="方正仿宋_GBK" w:eastAsia="仿宋_GB2312" w:cs="方正仿宋_GBK"/>
          <w:sz w:val="32"/>
          <w:szCs w:val="32"/>
        </w:rPr>
        <w:t>需参加业务水平测评的医师可在规定时间内，登录“定考系统”进行免费在线学习和模拟考试。</w:t>
      </w:r>
    </w:p>
    <w:p w14:paraId="48153DF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业务水平测评及成绩认定</w:t>
      </w:r>
    </w:p>
    <w:p w14:paraId="25B69AC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1.审核通过后的一般程序医师在规定时间登录“定考系统”完成业务水平测评。</w:t>
      </w:r>
    </w:p>
    <w:p w14:paraId="100EA2F3">
      <w:pPr>
        <w:keepNext w:val="0"/>
        <w:keepLines w:val="0"/>
        <w:pageBreakBefore w:val="0"/>
        <w:widowControl w:val="0"/>
        <w:kinsoku/>
        <w:wordWrap/>
        <w:overflowPunct/>
        <w:topLinePunct w:val="0"/>
        <w:autoSpaceDE/>
        <w:autoSpaceDN/>
        <w:bidi w:val="0"/>
        <w:adjustRightInd/>
        <w:snapToGrid/>
        <w:spacing w:line="500" w:lineRule="exact"/>
        <w:ind w:left="640"/>
        <w:textAlignment w:val="auto"/>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2.各州市定考办在测评期间完成线上监考、成绩认定。</w:t>
      </w:r>
    </w:p>
    <w:p w14:paraId="1F0277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查看考核结果</w:t>
      </w:r>
    </w:p>
    <w:p w14:paraId="712F3D91">
      <w:pPr>
        <w:keepNext w:val="0"/>
        <w:keepLines w:val="0"/>
        <w:pageBreakBefore w:val="0"/>
        <w:widowControl w:val="0"/>
        <w:kinsoku/>
        <w:wordWrap/>
        <w:overflowPunct/>
        <w:topLinePunct w:val="0"/>
        <w:autoSpaceDE/>
        <w:autoSpaceDN/>
        <w:bidi w:val="0"/>
        <w:adjustRightInd/>
        <w:snapToGrid/>
        <w:spacing w:line="500" w:lineRule="exact"/>
        <w:ind w:firstLine="640"/>
        <w:textAlignment w:val="auto"/>
      </w:pPr>
      <w:r>
        <w:rPr>
          <w:rFonts w:hint="eastAsia" w:ascii="仿宋_GB2312" w:hAnsi="方正仿宋_GBK" w:eastAsia="仿宋_GB2312" w:cs="方正仿宋_GBK"/>
          <w:sz w:val="32"/>
          <w:szCs w:val="32"/>
        </w:rPr>
        <w:t>医师在规定时间内登录“定考系统”，点击“考核结果”，可查看自己本周期的考核结果。考核结果分为合格和不合格。医师具有《医师定期考核管理办法》中第二十七条规定的情形，直接认定本周期考核不合格。</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0185F"/>
    <w:rsid w:val="60C70A20"/>
    <w:rsid w:val="6F2F3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MAC</dc:creator>
  <cp:lastModifiedBy>Administrator</cp:lastModifiedBy>
  <dcterms:modified xsi:type="dcterms:W3CDTF">2025-12-01T01:29:08Z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1E25AAF355BA4907A6FA4EFF3149D9CA_12</vt:lpwstr>
  </property>
</Properties>
</file>