
<file path=[Content_Types].xml><?xml version="1.0" encoding="utf-8"?>
<Types xmlns="http://schemas.openxmlformats.org/package/2006/content-types">
  <Default Extension="xml" ContentType="application/xml"/>
  <Default Extension="png" ContentType="image/png"/>
  <Default Extension="wdp" ContentType="image/vnd.ms-photo"/>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E690F">
      <w:pPr>
        <w:jc w:val="center"/>
        <w:rPr>
          <w:rFonts w:hint="eastAsia" w:eastAsia="宋体"/>
          <w:lang w:eastAsia="zh-CN"/>
        </w:rPr>
      </w:pPr>
      <w:bookmarkStart w:id="0" w:name="_Hlk175134434"/>
      <w:r>
        <w:rPr>
          <w:rFonts w:hint="eastAsia" w:eastAsia="宋体"/>
          <w:lang w:eastAsia="zh-CN"/>
        </w:rPr>
        <w:drawing>
          <wp:anchor distT="0" distB="0" distL="114300" distR="114300" simplePos="0" relativeHeight="251661312" behindDoc="1" locked="0" layoutInCell="1" allowOverlap="1">
            <wp:simplePos x="0" y="0"/>
            <wp:positionH relativeFrom="column">
              <wp:posOffset>-934085</wp:posOffset>
            </wp:positionH>
            <wp:positionV relativeFrom="paragraph">
              <wp:posOffset>-724535</wp:posOffset>
            </wp:positionV>
            <wp:extent cx="7566660" cy="10702925"/>
            <wp:effectExtent l="0" t="0" r="15240" b="3175"/>
            <wp:wrapNone/>
            <wp:docPr id="8" name="图片 8"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未标题-1"/>
                    <pic:cNvPicPr>
                      <a:picLocks noChangeAspect="1"/>
                    </pic:cNvPicPr>
                  </pic:nvPicPr>
                  <pic:blipFill>
                    <a:blip r:embed="rId7"/>
                    <a:stretch>
                      <a:fillRect/>
                    </a:stretch>
                  </pic:blipFill>
                  <pic:spPr>
                    <a:xfrm>
                      <a:off x="0" y="0"/>
                      <a:ext cx="7566660" cy="10702925"/>
                    </a:xfrm>
                    <a:prstGeom prst="rect">
                      <a:avLst/>
                    </a:prstGeom>
                  </pic:spPr>
                </pic:pic>
              </a:graphicData>
            </a:graphic>
          </wp:anchor>
        </w:drawing>
      </w:r>
    </w:p>
    <w:p w14:paraId="7189D8DE">
      <w:pPr>
        <w:jc w:val="center"/>
      </w:pPr>
    </w:p>
    <w:p w14:paraId="7C22341D">
      <w:pPr>
        <w:jc w:val="center"/>
      </w:pPr>
    </w:p>
    <w:p w14:paraId="796A1C71">
      <w:pPr>
        <w:jc w:val="center"/>
      </w:pPr>
    </w:p>
    <w:p w14:paraId="1653FB25">
      <w:pPr>
        <w:jc w:val="center"/>
      </w:pPr>
      <w:r>
        <mc:AlternateContent>
          <mc:Choice Requires="wps">
            <w:drawing>
              <wp:anchor distT="0" distB="0" distL="114300" distR="114300" simplePos="0" relativeHeight="251662336" behindDoc="0" locked="0" layoutInCell="1" allowOverlap="1">
                <wp:simplePos x="0" y="0"/>
                <wp:positionH relativeFrom="column">
                  <wp:posOffset>-935355</wp:posOffset>
                </wp:positionH>
                <wp:positionV relativeFrom="paragraph">
                  <wp:posOffset>138430</wp:posOffset>
                </wp:positionV>
                <wp:extent cx="7561580" cy="1957070"/>
                <wp:effectExtent l="0" t="0" r="0" b="0"/>
                <wp:wrapNone/>
                <wp:docPr id="4" name="文本框 3"/>
                <wp:cNvGraphicFramePr/>
                <a:graphic xmlns:a="http://schemas.openxmlformats.org/drawingml/2006/main">
                  <a:graphicData uri="http://schemas.microsoft.com/office/word/2010/wordprocessingShape">
                    <wps:wsp>
                      <wps:cNvSpPr txBox="1"/>
                      <wps:spPr>
                        <a:xfrm>
                          <a:off x="0" y="0"/>
                          <a:ext cx="7561580" cy="1957070"/>
                        </a:xfrm>
                        <a:prstGeom prst="rect">
                          <a:avLst/>
                        </a:prstGeom>
                        <a:noFill/>
                      </wps:spPr>
                      <wps:txbx>
                        <w:txbxContent>
                          <w:p w14:paraId="6544C923">
                            <w:pPr>
                              <w:pStyle w:val="18"/>
                              <w:spacing w:line="760" w:lineRule="exact"/>
                              <w:ind w:left="0"/>
                              <w:jc w:val="center"/>
                              <w:rPr>
                                <w:rFonts w:hint="eastAsia" w:ascii="方正小标宋_GBK" w:hAnsi="方正小标宋_GBK" w:eastAsia="方正小标宋_GBK" w:cs="方正小标宋_GBK"/>
                                <w:b/>
                                <w:bCs/>
                                <w:color w:val="254DA0"/>
                                <w:spacing w:val="20"/>
                                <w:sz w:val="52"/>
                                <w:szCs w:val="52"/>
                              </w:rPr>
                            </w:pPr>
                            <w:r>
                              <w:rPr>
                                <w:rFonts w:hint="eastAsia" w:ascii="方正小标宋_GBK" w:hAnsi="方正小标宋_GBK" w:eastAsia="方正小标宋_GBK" w:cs="方正小标宋_GBK"/>
                                <w:b/>
                                <w:bCs/>
                                <w:color w:val="254DA0"/>
                                <w:spacing w:val="20"/>
                                <w:sz w:val="52"/>
                                <w:szCs w:val="52"/>
                              </w:rPr>
                              <w:t>玉溪市气象探测环境保护专项规划</w:t>
                            </w:r>
                          </w:p>
                          <w:p w14:paraId="2B41856C">
                            <w:pPr>
                              <w:pStyle w:val="18"/>
                              <w:spacing w:line="760" w:lineRule="exact"/>
                              <w:ind w:left="0"/>
                              <w:jc w:val="center"/>
                              <w:rPr>
                                <w:rFonts w:ascii="方正小标宋_GBK" w:hAnsi="方正小标宋_GBK" w:eastAsia="方正小标宋_GBK" w:cs="方正小标宋_GBK"/>
                                <w:color w:val="254DA0"/>
                                <w:spacing w:val="20"/>
                                <w:sz w:val="52"/>
                                <w:szCs w:val="52"/>
                              </w:rPr>
                            </w:pPr>
                            <w:r>
                              <w:rPr>
                                <w:rFonts w:hint="eastAsia" w:ascii="方正小标宋_GBK" w:hAnsi="方正小标宋_GBK" w:eastAsia="方正小标宋_GBK" w:cs="方正小标宋_GBK"/>
                                <w:b/>
                                <w:bCs/>
                                <w:color w:val="254DA0"/>
                                <w:spacing w:val="20"/>
                                <w:sz w:val="52"/>
                                <w:szCs w:val="52"/>
                              </w:rPr>
                              <w:t>（2025-2035年）</w:t>
                            </w:r>
                          </w:p>
                          <w:p w14:paraId="7B480891">
                            <w:pPr>
                              <w:jc w:val="center"/>
                            </w:pPr>
                          </w:p>
                        </w:txbxContent>
                      </wps:txbx>
                      <wps:bodyPr wrap="square" rtlCol="0">
                        <a:spAutoFit/>
                      </wps:bodyPr>
                    </wps:wsp>
                  </a:graphicData>
                </a:graphic>
              </wp:anchor>
            </w:drawing>
          </mc:Choice>
          <mc:Fallback>
            <w:pict>
              <v:shape id="文本框 3" o:spid="_x0000_s1026" o:spt="202" type="#_x0000_t202" style="position:absolute;left:0pt;margin-left:-73.65pt;margin-top:10.9pt;height:154.1pt;width:595.4pt;z-index:251662336;mso-width-relative:page;mso-height-relative:page;" filled="f" stroked="f" coordsize="21600,21600" o:gfxdata="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xfK1K9kAAAAMAQAADwAAAAAAAAABACAAAAAiAAAAZHJzL2Rvd25yZXYueG1sUEsB&#10;AhQAFAAAAAgAh07iQOcrMJ67AQAAXgMAAA4AAAAAAAAAAQAgAAAAKAEAAGRycy9lMm9Eb2MueG1s&#10;UEsFBgAAAAAGAAYAWQEAAFUFAAAAAA==&#10;">
                <v:fill on="f" focussize="0,0"/>
                <v:stroke on="f"/>
                <v:imagedata o:title=""/>
                <o:lock v:ext="edit" aspectratio="f"/>
                <v:textbox style="mso-fit-shape-to-text:t;">
                  <w:txbxContent>
                    <w:p w14:paraId="6544C923">
                      <w:pPr>
                        <w:pStyle w:val="18"/>
                        <w:spacing w:line="760" w:lineRule="exact"/>
                        <w:ind w:left="0"/>
                        <w:jc w:val="center"/>
                        <w:rPr>
                          <w:rFonts w:hint="eastAsia" w:ascii="方正小标宋_GBK" w:hAnsi="方正小标宋_GBK" w:eastAsia="方正小标宋_GBK" w:cs="方正小标宋_GBK"/>
                          <w:b/>
                          <w:bCs/>
                          <w:color w:val="254DA0"/>
                          <w:spacing w:val="20"/>
                          <w:sz w:val="52"/>
                          <w:szCs w:val="52"/>
                        </w:rPr>
                      </w:pPr>
                      <w:r>
                        <w:rPr>
                          <w:rFonts w:hint="eastAsia" w:ascii="方正小标宋_GBK" w:hAnsi="方正小标宋_GBK" w:eastAsia="方正小标宋_GBK" w:cs="方正小标宋_GBK"/>
                          <w:b/>
                          <w:bCs/>
                          <w:color w:val="254DA0"/>
                          <w:spacing w:val="20"/>
                          <w:sz w:val="52"/>
                          <w:szCs w:val="52"/>
                        </w:rPr>
                        <w:t>玉溪市气象探测环境保护专项规划</w:t>
                      </w:r>
                    </w:p>
                    <w:p w14:paraId="2B41856C">
                      <w:pPr>
                        <w:pStyle w:val="18"/>
                        <w:spacing w:line="760" w:lineRule="exact"/>
                        <w:ind w:left="0"/>
                        <w:jc w:val="center"/>
                        <w:rPr>
                          <w:rFonts w:ascii="方正小标宋_GBK" w:hAnsi="方正小标宋_GBK" w:eastAsia="方正小标宋_GBK" w:cs="方正小标宋_GBK"/>
                          <w:color w:val="254DA0"/>
                          <w:spacing w:val="20"/>
                          <w:sz w:val="52"/>
                          <w:szCs w:val="52"/>
                        </w:rPr>
                      </w:pPr>
                      <w:r>
                        <w:rPr>
                          <w:rFonts w:hint="eastAsia" w:ascii="方正小标宋_GBK" w:hAnsi="方正小标宋_GBK" w:eastAsia="方正小标宋_GBK" w:cs="方正小标宋_GBK"/>
                          <w:b/>
                          <w:bCs/>
                          <w:color w:val="254DA0"/>
                          <w:spacing w:val="20"/>
                          <w:sz w:val="52"/>
                          <w:szCs w:val="52"/>
                        </w:rPr>
                        <w:t>（2025-2035年）</w:t>
                      </w:r>
                    </w:p>
                    <w:p w14:paraId="7B480891">
                      <w:pPr>
                        <w:jc w:val="center"/>
                      </w:pPr>
                    </w:p>
                  </w:txbxContent>
                </v:textbox>
              </v:shape>
            </w:pict>
          </mc:Fallback>
        </mc:AlternateContent>
      </w:r>
    </w:p>
    <w:p w14:paraId="555CF046"/>
    <w:p w14:paraId="36E55DE1">
      <w:pPr>
        <w:pStyle w:val="18"/>
        <w:spacing w:line="760" w:lineRule="exact"/>
        <w:ind w:left="0"/>
        <w:jc w:val="center"/>
        <w:rPr>
          <w:rFonts w:ascii="方正小标宋_GBK" w:hAnsi="方正小标宋_GBK" w:eastAsia="方正小标宋_GBK" w:cs="方正小标宋_GBK"/>
          <w:sz w:val="44"/>
          <w:szCs w:val="44"/>
        </w:rPr>
      </w:pPr>
    </w:p>
    <w:p w14:paraId="6B476225">
      <w:pPr>
        <w:pStyle w:val="18"/>
        <w:spacing w:line="760" w:lineRule="exact"/>
        <w:ind w:left="0"/>
        <w:jc w:val="center"/>
        <w:rPr>
          <w:rFonts w:ascii="方正小标宋_GBK" w:hAnsi="方正小标宋_GBK" w:eastAsia="方正小标宋_GBK" w:cs="方正小标宋_GBK"/>
          <w:sz w:val="44"/>
          <w:szCs w:val="44"/>
        </w:rPr>
      </w:pPr>
      <w:r>
        <mc:AlternateContent>
          <mc:Choice Requires="wps">
            <w:drawing>
              <wp:anchor distT="0" distB="0" distL="114300" distR="114300" simplePos="0" relativeHeight="251663360" behindDoc="0" locked="0" layoutInCell="1" allowOverlap="1">
                <wp:simplePos x="0" y="0"/>
                <wp:positionH relativeFrom="column">
                  <wp:posOffset>-944245</wp:posOffset>
                </wp:positionH>
                <wp:positionV relativeFrom="paragraph">
                  <wp:posOffset>260350</wp:posOffset>
                </wp:positionV>
                <wp:extent cx="7562215" cy="1024255"/>
                <wp:effectExtent l="0" t="0" r="0" b="0"/>
                <wp:wrapNone/>
                <wp:docPr id="13" name="文本框 4"/>
                <wp:cNvGraphicFramePr/>
                <a:graphic xmlns:a="http://schemas.openxmlformats.org/drawingml/2006/main">
                  <a:graphicData uri="http://schemas.microsoft.com/office/word/2010/wordprocessingShape">
                    <wps:wsp>
                      <wps:cNvSpPr txBox="1"/>
                      <wps:spPr>
                        <a:xfrm>
                          <a:off x="0" y="0"/>
                          <a:ext cx="7562215" cy="1024255"/>
                        </a:xfrm>
                        <a:prstGeom prst="rect">
                          <a:avLst/>
                        </a:prstGeom>
                        <a:noFill/>
                      </wps:spPr>
                      <wps:txbx>
                        <w:txbxContent>
                          <w:p w14:paraId="6644CCF7">
                            <w:pPr>
                              <w:pStyle w:val="34"/>
                              <w:widowControl w:val="0"/>
                              <w:spacing w:line="168" w:lineRule="auto"/>
                              <w:jc w:val="center"/>
                              <w:rPr>
                                <w:rFonts w:ascii="方正小标宋_GBK" w:hAnsi="方正小标宋_GBK" w:eastAsia="方正小标宋_GBK" w:cs="方正小标宋_GBK"/>
                                <w:b/>
                                <w:bCs/>
                                <w:color w:val="709F6D"/>
                                <w:spacing w:val="20"/>
                                <w:kern w:val="2"/>
                                <w:sz w:val="44"/>
                                <w:szCs w:val="44"/>
                              </w:rPr>
                            </w:pPr>
                            <w:r>
                              <w:rPr>
                                <w:rFonts w:hint="eastAsia" w:ascii="方正小标宋_GBK" w:hAnsi="方正小标宋_GBK" w:eastAsia="方正小标宋_GBK" w:cs="方正小标宋_GBK"/>
                                <w:b/>
                                <w:bCs/>
                                <w:color w:val="709F6D"/>
                                <w:spacing w:val="20"/>
                                <w:kern w:val="2"/>
                                <w:sz w:val="44"/>
                                <w:szCs w:val="44"/>
                              </w:rPr>
                              <w:t>【</w:t>
                            </w:r>
                            <w:r>
                              <w:rPr>
                                <w:rFonts w:hint="eastAsia" w:ascii="方正小标宋_GBK" w:hAnsi="方正小标宋_GBK" w:eastAsia="方正小标宋_GBK" w:cs="方正小标宋_GBK"/>
                                <w:b/>
                                <w:bCs/>
                                <w:color w:val="709F6D"/>
                                <w:spacing w:val="20"/>
                                <w:kern w:val="2"/>
                                <w:sz w:val="44"/>
                                <w:szCs w:val="44"/>
                                <w:lang w:val="en-US" w:eastAsia="zh-CN"/>
                              </w:rPr>
                              <w:t>公示</w:t>
                            </w:r>
                            <w:r>
                              <w:rPr>
                                <w:rFonts w:hint="eastAsia" w:ascii="方正小标宋_GBK" w:hAnsi="方正小标宋_GBK" w:eastAsia="方正小标宋_GBK" w:cs="方正小标宋_GBK"/>
                                <w:b/>
                                <w:bCs/>
                                <w:color w:val="709F6D"/>
                                <w:spacing w:val="20"/>
                                <w:kern w:val="2"/>
                                <w:sz w:val="44"/>
                                <w:szCs w:val="44"/>
                              </w:rPr>
                              <w:t>稿】</w:t>
                            </w:r>
                          </w:p>
                        </w:txbxContent>
                      </wps:txbx>
                      <wps:bodyPr wrap="square" rtlCol="0">
                        <a:spAutoFit/>
                      </wps:bodyPr>
                    </wps:wsp>
                  </a:graphicData>
                </a:graphic>
              </wp:anchor>
            </w:drawing>
          </mc:Choice>
          <mc:Fallback>
            <w:pict>
              <v:shape id="文本框 4" o:spid="_x0000_s1026" o:spt="202" type="#_x0000_t202" style="position:absolute;left:0pt;margin-left:-74.35pt;margin-top:20.5pt;height:80.65pt;width:595.45pt;z-index:251663360;mso-width-relative:page;mso-height-relative:page;" filled="f" stroked="f" coordsize="21600,21600" o:gfxdata="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71xut9gAAAAMAQAADwAAAAAAAAABACAAAAAiAAAAZHJzL2Rvd25yZXYueG1sUEsB&#10;AhQAFAAAAAgAh07iQKSQgsy8AQAAXwMAAA4AAAAAAAAAAQAgAAAAJwEAAGRycy9lMm9Eb2MueG1s&#10;UEsFBgAAAAAGAAYAWQEAAFUFAAAAAA==&#10;">
                <v:fill on="f" focussize="0,0"/>
                <v:stroke on="f"/>
                <v:imagedata o:title=""/>
                <o:lock v:ext="edit" aspectratio="f"/>
                <v:textbox style="mso-fit-shape-to-text:t;">
                  <w:txbxContent>
                    <w:p w14:paraId="6644CCF7">
                      <w:pPr>
                        <w:pStyle w:val="34"/>
                        <w:widowControl w:val="0"/>
                        <w:spacing w:line="168" w:lineRule="auto"/>
                        <w:jc w:val="center"/>
                        <w:rPr>
                          <w:rFonts w:ascii="方正小标宋_GBK" w:hAnsi="方正小标宋_GBK" w:eastAsia="方正小标宋_GBK" w:cs="方正小标宋_GBK"/>
                          <w:b/>
                          <w:bCs/>
                          <w:color w:val="709F6D"/>
                          <w:spacing w:val="20"/>
                          <w:kern w:val="2"/>
                          <w:sz w:val="44"/>
                          <w:szCs w:val="44"/>
                        </w:rPr>
                      </w:pPr>
                      <w:r>
                        <w:rPr>
                          <w:rFonts w:hint="eastAsia" w:ascii="方正小标宋_GBK" w:hAnsi="方正小标宋_GBK" w:eastAsia="方正小标宋_GBK" w:cs="方正小标宋_GBK"/>
                          <w:b/>
                          <w:bCs/>
                          <w:color w:val="709F6D"/>
                          <w:spacing w:val="20"/>
                          <w:kern w:val="2"/>
                          <w:sz w:val="44"/>
                          <w:szCs w:val="44"/>
                        </w:rPr>
                        <w:t>【</w:t>
                      </w:r>
                      <w:r>
                        <w:rPr>
                          <w:rFonts w:hint="eastAsia" w:ascii="方正小标宋_GBK" w:hAnsi="方正小标宋_GBK" w:eastAsia="方正小标宋_GBK" w:cs="方正小标宋_GBK"/>
                          <w:b/>
                          <w:bCs/>
                          <w:color w:val="709F6D"/>
                          <w:spacing w:val="20"/>
                          <w:kern w:val="2"/>
                          <w:sz w:val="44"/>
                          <w:szCs w:val="44"/>
                          <w:lang w:val="en-US" w:eastAsia="zh-CN"/>
                        </w:rPr>
                        <w:t>公示</w:t>
                      </w:r>
                      <w:r>
                        <w:rPr>
                          <w:rFonts w:hint="eastAsia" w:ascii="方正小标宋_GBK" w:hAnsi="方正小标宋_GBK" w:eastAsia="方正小标宋_GBK" w:cs="方正小标宋_GBK"/>
                          <w:b/>
                          <w:bCs/>
                          <w:color w:val="709F6D"/>
                          <w:spacing w:val="20"/>
                          <w:kern w:val="2"/>
                          <w:sz w:val="44"/>
                          <w:szCs w:val="44"/>
                        </w:rPr>
                        <w:t>稿】</w:t>
                      </w:r>
                    </w:p>
                  </w:txbxContent>
                </v:textbox>
              </v:shape>
            </w:pict>
          </mc:Fallback>
        </mc:AlternateContent>
      </w:r>
    </w:p>
    <w:p w14:paraId="5D1F21E1">
      <w:pPr>
        <w:jc w:val="center"/>
      </w:pPr>
    </w:p>
    <w:p w14:paraId="3B35AE62">
      <w:pPr>
        <w:jc w:val="center"/>
      </w:pPr>
    </w:p>
    <w:p w14:paraId="50F03A14">
      <w:pPr>
        <w:jc w:val="center"/>
      </w:pPr>
    </w:p>
    <w:p w14:paraId="7B6379CA">
      <w:pPr>
        <w:jc w:val="center"/>
      </w:pPr>
    </w:p>
    <w:p w14:paraId="7DDD086F">
      <w:pPr>
        <w:jc w:val="center"/>
      </w:pPr>
    </w:p>
    <w:p w14:paraId="609DC28E">
      <w:pPr>
        <w:jc w:val="center"/>
      </w:pPr>
    </w:p>
    <w:p w14:paraId="504B5953">
      <w:pPr>
        <w:jc w:val="center"/>
      </w:pPr>
    </w:p>
    <w:p w14:paraId="19C10C7B">
      <w:pPr>
        <w:jc w:val="center"/>
      </w:pPr>
    </w:p>
    <w:p w14:paraId="22E2B64F">
      <w:pPr>
        <w:jc w:val="center"/>
      </w:pPr>
    </w:p>
    <w:p w14:paraId="150B00B1">
      <w:pPr>
        <w:jc w:val="center"/>
      </w:pPr>
    </w:p>
    <w:p w14:paraId="2CC18A31">
      <w:pPr>
        <w:jc w:val="center"/>
      </w:pPr>
    </w:p>
    <w:p w14:paraId="207AAEA4">
      <w:pPr>
        <w:jc w:val="center"/>
      </w:pPr>
    </w:p>
    <w:p w14:paraId="32DE9D36">
      <w:pPr>
        <w:jc w:val="center"/>
      </w:pPr>
    </w:p>
    <w:p w14:paraId="772AE1C6"/>
    <w:p w14:paraId="63BCDDB0"/>
    <w:p w14:paraId="1D67657D">
      <w:pPr>
        <w:jc w:val="center"/>
      </w:pPr>
    </w:p>
    <w:p w14:paraId="0D8495F1">
      <w:pPr>
        <w:jc w:val="center"/>
      </w:pPr>
    </w:p>
    <w:p w14:paraId="3EEC685F">
      <w:pPr>
        <w:jc w:val="center"/>
      </w:pPr>
    </w:p>
    <w:p w14:paraId="7B4A7DA2">
      <w:pPr>
        <w:jc w:val="center"/>
      </w:pPr>
    </w:p>
    <w:p w14:paraId="3D2B6DB8">
      <w:pPr>
        <w:jc w:val="center"/>
      </w:pPr>
    </w:p>
    <w:p w14:paraId="4796E0DC">
      <w:pPr>
        <w:spacing w:line="760" w:lineRule="exact"/>
        <w:ind w:left="0" w:leftChars="0"/>
        <w:jc w:val="center"/>
        <w:rPr>
          <w:rFonts w:ascii="方正小标宋_GBK" w:hAnsi="方正小标宋_GBK" w:eastAsia="方正小标宋_GBK" w:cs="方正小标宋_GBK"/>
          <w:color w:val="auto"/>
          <w:sz w:val="32"/>
          <w:szCs w:val="32"/>
        </w:rPr>
      </w:pPr>
      <w:r>
        <w:rPr>
          <w:rFonts w:hint="eastAsia" w:ascii="方正小标宋_GBK" w:hAnsi="方正小标宋_GBK" w:eastAsia="方正小标宋_GBK" w:cs="方正小标宋_GBK"/>
          <w:color w:val="auto"/>
          <w:sz w:val="32"/>
          <w:szCs w:val="32"/>
        </w:rPr>
        <w:t>玉溪市气象局</w:t>
      </w:r>
    </w:p>
    <w:p w14:paraId="59F560C0">
      <w:pPr>
        <w:spacing w:line="760" w:lineRule="exact"/>
        <w:ind w:left="1470" w:leftChars="0"/>
        <w:jc w:val="center"/>
        <w:rPr>
          <w:rFonts w:ascii="方正小标宋_GBK" w:hAnsi="方正小标宋_GBK" w:eastAsia="方正小标宋_GBK" w:cs="方正小标宋_GBK"/>
          <w:color w:val="auto"/>
          <w:sz w:val="32"/>
          <w:szCs w:val="32"/>
        </w:rPr>
      </w:pPr>
      <w:r>
        <w:rPr>
          <w:rFonts w:hint="eastAsia" w:ascii="方正小标宋_GBK" w:hAnsi="方正小标宋_GBK" w:eastAsia="方正小标宋_GBK" w:cs="方正小标宋_GBK"/>
          <w:color w:val="auto"/>
          <w:sz w:val="32"/>
          <w:szCs w:val="32"/>
        </w:rPr>
        <w:t>二〇二五年</w:t>
      </w:r>
      <w:r>
        <w:rPr>
          <w:rFonts w:hint="eastAsia" w:ascii="方正小标宋_GBK" w:hAnsi="方正小标宋_GBK" w:eastAsia="方正小标宋_GBK" w:cs="方正小标宋_GBK"/>
          <w:color w:val="auto"/>
          <w:sz w:val="32"/>
          <w:szCs w:val="32"/>
          <w:lang w:val="en-US" w:eastAsia="zh-CN"/>
        </w:rPr>
        <w:t>十一</w:t>
      </w:r>
      <w:r>
        <w:rPr>
          <w:rFonts w:hint="eastAsia" w:ascii="方正小标宋_GBK" w:hAnsi="方正小标宋_GBK" w:eastAsia="方正小标宋_GBK" w:cs="方正小标宋_GBK"/>
          <w:color w:val="auto"/>
          <w:sz w:val="32"/>
          <w:szCs w:val="32"/>
        </w:rPr>
        <w:t>月</w:t>
      </w:r>
    </w:p>
    <w:p w14:paraId="0D71C44C">
      <w:pPr>
        <w:ind w:firstLine="643" w:firstLineChars="200"/>
        <w:jc w:val="center"/>
        <w:rPr>
          <w:rFonts w:asciiTheme="minorEastAsia" w:hAnsiTheme="minorEastAsia" w:eastAsiaTheme="minorEastAsia"/>
          <w:b/>
          <w:color w:val="808080" w:themeColor="text1" w:themeTint="80"/>
          <w:kern w:val="0"/>
          <w:sz w:val="32"/>
          <w:szCs w:val="32"/>
          <w14:textFill>
            <w14:solidFill>
              <w14:schemeClr w14:val="tx1">
                <w14:lumMod w14:val="50000"/>
                <w14:lumOff w14:val="50000"/>
              </w14:schemeClr>
            </w14:solidFill>
          </w14:textFill>
        </w:rPr>
      </w:pPr>
    </w:p>
    <w:bookmarkEnd w:id="0"/>
    <w:p w14:paraId="6A02C147">
      <w:pPr>
        <w:widowControl/>
        <w:jc w:val="center"/>
        <w:rPr>
          <w:rFonts w:asciiTheme="minorEastAsia" w:hAnsiTheme="minorEastAsia" w:eastAsiaTheme="minorEastAsia"/>
          <w:b/>
          <w:kern w:val="0"/>
          <w:sz w:val="32"/>
          <w:szCs w:val="32"/>
        </w:rPr>
      </w:pPr>
      <w:r>
        <w:rPr>
          <w:rFonts w:hint="eastAsia" w:asciiTheme="minorEastAsia" w:hAnsiTheme="minorEastAsia" w:eastAsiaTheme="minorEastAsia"/>
          <w:b/>
          <w:kern w:val="0"/>
          <w:sz w:val="32"/>
          <w:szCs w:val="32"/>
        </w:rPr>
        <w:br w:type="page"/>
      </w:r>
    </w:p>
    <w:p w14:paraId="77C4A8A8">
      <w:pPr>
        <w:pageBreakBefore/>
        <w:jc w:val="center"/>
        <w:rPr>
          <w:rFonts w:asciiTheme="minorEastAsia" w:hAnsiTheme="minorEastAsia" w:eastAsiaTheme="minorEastAsia"/>
          <w:b/>
          <w:kern w:val="0"/>
          <w:sz w:val="32"/>
          <w:szCs w:val="32"/>
        </w:rPr>
      </w:pPr>
      <w:r>
        <w:rPr>
          <w:rFonts w:hint="eastAsia" w:asciiTheme="minorEastAsia" w:hAnsiTheme="minorEastAsia" w:eastAsiaTheme="minorEastAsia"/>
          <w:b/>
          <w:kern w:val="0"/>
          <w:sz w:val="32"/>
          <w:szCs w:val="32"/>
        </w:rPr>
        <w:t>目录</w:t>
      </w:r>
    </w:p>
    <w:p w14:paraId="03040FD5">
      <w:pPr>
        <w:pStyle w:val="26"/>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TOC \o "1-2" \h \z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_Toc516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第一章 </w:t>
      </w:r>
      <w:r>
        <w:rPr>
          <w:rFonts w:hint="eastAsia" w:asciiTheme="minorEastAsia" w:hAnsiTheme="minorEastAsia" w:eastAsiaTheme="minorEastAsia"/>
          <w:sz w:val="24"/>
          <w:szCs w:val="24"/>
        </w:rPr>
        <w:t>总则</w:t>
      </w:r>
      <w:r>
        <w:rPr>
          <w:sz w:val="24"/>
          <w:szCs w:val="24"/>
        </w:rPr>
        <w:tab/>
      </w:r>
      <w:r>
        <w:rPr>
          <w:sz w:val="24"/>
          <w:szCs w:val="24"/>
        </w:rPr>
        <w:fldChar w:fldCharType="begin"/>
      </w:r>
      <w:r>
        <w:rPr>
          <w:sz w:val="24"/>
          <w:szCs w:val="24"/>
        </w:rPr>
        <w:instrText xml:space="preserve"> PAGEREF _Toc516 \h </w:instrText>
      </w:r>
      <w:r>
        <w:rPr>
          <w:sz w:val="24"/>
          <w:szCs w:val="24"/>
        </w:rPr>
        <w:fldChar w:fldCharType="separate"/>
      </w:r>
      <w:r>
        <w:rPr>
          <w:sz w:val="24"/>
          <w:szCs w:val="24"/>
        </w:rPr>
        <w:t>- 2 -</w:t>
      </w:r>
      <w:r>
        <w:rPr>
          <w:sz w:val="24"/>
          <w:szCs w:val="24"/>
        </w:rPr>
        <w:fldChar w:fldCharType="end"/>
      </w:r>
      <w:r>
        <w:rPr>
          <w:rFonts w:hint="eastAsia" w:asciiTheme="minorEastAsia" w:hAnsiTheme="minorEastAsia" w:eastAsiaTheme="minorEastAsia" w:cstheme="minorEastAsia"/>
          <w:sz w:val="24"/>
          <w:szCs w:val="24"/>
        </w:rPr>
        <w:fldChar w:fldCharType="end"/>
      </w:r>
    </w:p>
    <w:p w14:paraId="280B4801">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_Toc31775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第一条 </w:t>
      </w:r>
      <w:r>
        <w:rPr>
          <w:rFonts w:hint="eastAsia"/>
          <w:sz w:val="24"/>
          <w:szCs w:val="24"/>
        </w:rPr>
        <w:t>规划背景</w:t>
      </w:r>
      <w:r>
        <w:rPr>
          <w:sz w:val="24"/>
          <w:szCs w:val="24"/>
        </w:rPr>
        <w:tab/>
      </w:r>
      <w:r>
        <w:rPr>
          <w:sz w:val="24"/>
          <w:szCs w:val="24"/>
        </w:rPr>
        <w:fldChar w:fldCharType="begin"/>
      </w:r>
      <w:r>
        <w:rPr>
          <w:sz w:val="24"/>
          <w:szCs w:val="24"/>
        </w:rPr>
        <w:instrText xml:space="preserve"> PAGEREF _Toc31775 \h </w:instrText>
      </w:r>
      <w:r>
        <w:rPr>
          <w:sz w:val="24"/>
          <w:szCs w:val="24"/>
        </w:rPr>
        <w:fldChar w:fldCharType="separate"/>
      </w:r>
      <w:r>
        <w:rPr>
          <w:sz w:val="24"/>
          <w:szCs w:val="24"/>
        </w:rPr>
        <w:t>- 2 -</w:t>
      </w:r>
      <w:r>
        <w:rPr>
          <w:sz w:val="24"/>
          <w:szCs w:val="24"/>
        </w:rPr>
        <w:fldChar w:fldCharType="end"/>
      </w:r>
      <w:r>
        <w:rPr>
          <w:rFonts w:hint="eastAsia" w:asciiTheme="minorEastAsia" w:hAnsiTheme="minorEastAsia" w:eastAsiaTheme="minorEastAsia" w:cstheme="minorEastAsia"/>
          <w:sz w:val="24"/>
          <w:szCs w:val="24"/>
        </w:rPr>
        <w:fldChar w:fldCharType="end"/>
      </w:r>
    </w:p>
    <w:p w14:paraId="7DDB71C2">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_Toc20105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第二条 </w:t>
      </w:r>
      <w:r>
        <w:rPr>
          <w:rFonts w:hint="eastAsia"/>
          <w:sz w:val="24"/>
          <w:szCs w:val="24"/>
        </w:rPr>
        <w:t>指导思想</w:t>
      </w:r>
      <w:r>
        <w:rPr>
          <w:sz w:val="24"/>
          <w:szCs w:val="24"/>
        </w:rPr>
        <w:tab/>
      </w:r>
      <w:r>
        <w:rPr>
          <w:sz w:val="24"/>
          <w:szCs w:val="24"/>
        </w:rPr>
        <w:fldChar w:fldCharType="begin"/>
      </w:r>
      <w:r>
        <w:rPr>
          <w:sz w:val="24"/>
          <w:szCs w:val="24"/>
        </w:rPr>
        <w:instrText xml:space="preserve"> PAGEREF _Toc20105 \h </w:instrText>
      </w:r>
      <w:r>
        <w:rPr>
          <w:sz w:val="24"/>
          <w:szCs w:val="24"/>
        </w:rPr>
        <w:fldChar w:fldCharType="separate"/>
      </w:r>
      <w:r>
        <w:rPr>
          <w:sz w:val="24"/>
          <w:szCs w:val="24"/>
        </w:rPr>
        <w:t>- 2 -</w:t>
      </w:r>
      <w:r>
        <w:rPr>
          <w:sz w:val="24"/>
          <w:szCs w:val="24"/>
        </w:rPr>
        <w:fldChar w:fldCharType="end"/>
      </w:r>
      <w:r>
        <w:rPr>
          <w:rFonts w:hint="eastAsia" w:asciiTheme="minorEastAsia" w:hAnsiTheme="minorEastAsia" w:eastAsiaTheme="minorEastAsia" w:cstheme="minorEastAsia"/>
          <w:sz w:val="24"/>
          <w:szCs w:val="24"/>
        </w:rPr>
        <w:fldChar w:fldCharType="end"/>
      </w:r>
    </w:p>
    <w:p w14:paraId="6B078A32">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_Toc21969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第三条 </w:t>
      </w:r>
      <w:r>
        <w:rPr>
          <w:sz w:val="24"/>
          <w:szCs w:val="24"/>
        </w:rPr>
        <w:t>规划</w:t>
      </w:r>
      <w:r>
        <w:rPr>
          <w:rFonts w:hint="eastAsia"/>
          <w:sz w:val="24"/>
          <w:szCs w:val="24"/>
        </w:rPr>
        <w:t>依据</w:t>
      </w:r>
      <w:r>
        <w:rPr>
          <w:sz w:val="24"/>
          <w:szCs w:val="24"/>
        </w:rPr>
        <w:tab/>
      </w:r>
      <w:r>
        <w:rPr>
          <w:sz w:val="24"/>
          <w:szCs w:val="24"/>
        </w:rPr>
        <w:fldChar w:fldCharType="begin"/>
      </w:r>
      <w:r>
        <w:rPr>
          <w:sz w:val="24"/>
          <w:szCs w:val="24"/>
        </w:rPr>
        <w:instrText xml:space="preserve"> PAGEREF _Toc21969 \h </w:instrText>
      </w:r>
      <w:r>
        <w:rPr>
          <w:sz w:val="24"/>
          <w:szCs w:val="24"/>
        </w:rPr>
        <w:fldChar w:fldCharType="separate"/>
      </w:r>
      <w:r>
        <w:rPr>
          <w:sz w:val="24"/>
          <w:szCs w:val="24"/>
        </w:rPr>
        <w:t>- 3 -</w:t>
      </w:r>
      <w:r>
        <w:rPr>
          <w:sz w:val="24"/>
          <w:szCs w:val="24"/>
        </w:rPr>
        <w:fldChar w:fldCharType="end"/>
      </w:r>
      <w:r>
        <w:rPr>
          <w:rFonts w:hint="eastAsia" w:asciiTheme="minorEastAsia" w:hAnsiTheme="minorEastAsia" w:eastAsiaTheme="minorEastAsia" w:cstheme="minorEastAsia"/>
          <w:sz w:val="24"/>
          <w:szCs w:val="24"/>
        </w:rPr>
        <w:fldChar w:fldCharType="end"/>
      </w:r>
    </w:p>
    <w:p w14:paraId="046BABCB">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_Toc16980 </w:instrText>
      </w:r>
      <w:r>
        <w:rPr>
          <w:rFonts w:hint="eastAsia" w:asciiTheme="minorEastAsia" w:hAnsiTheme="minorEastAsia" w:eastAsiaTheme="minorEastAsia" w:cstheme="minorEastAsia"/>
          <w:sz w:val="24"/>
          <w:szCs w:val="24"/>
        </w:rPr>
        <w:fldChar w:fldCharType="separate"/>
      </w:r>
      <w:r>
        <w:rPr>
          <w:rFonts w:hint="default"/>
          <w:sz w:val="24"/>
          <w:szCs w:val="24"/>
          <w:lang w:val="en-US" w:eastAsia="zh-CN"/>
        </w:rPr>
        <w:t xml:space="preserve">第四条 </w:t>
      </w:r>
      <w:r>
        <w:rPr>
          <w:rFonts w:hint="eastAsia"/>
          <w:sz w:val="24"/>
          <w:szCs w:val="24"/>
          <w:lang w:val="en-US" w:eastAsia="zh-CN"/>
        </w:rPr>
        <w:t>规划原则</w:t>
      </w:r>
      <w:r>
        <w:rPr>
          <w:sz w:val="24"/>
          <w:szCs w:val="24"/>
        </w:rPr>
        <w:tab/>
      </w:r>
      <w:r>
        <w:rPr>
          <w:sz w:val="24"/>
          <w:szCs w:val="24"/>
        </w:rPr>
        <w:fldChar w:fldCharType="begin"/>
      </w:r>
      <w:r>
        <w:rPr>
          <w:sz w:val="24"/>
          <w:szCs w:val="24"/>
        </w:rPr>
        <w:instrText xml:space="preserve"> PAGEREF _Toc16980 \h </w:instrText>
      </w:r>
      <w:r>
        <w:rPr>
          <w:sz w:val="24"/>
          <w:szCs w:val="24"/>
        </w:rPr>
        <w:fldChar w:fldCharType="separate"/>
      </w:r>
      <w:r>
        <w:rPr>
          <w:sz w:val="24"/>
          <w:szCs w:val="24"/>
        </w:rPr>
        <w:t>- 4 -</w:t>
      </w:r>
      <w:r>
        <w:rPr>
          <w:sz w:val="24"/>
          <w:szCs w:val="24"/>
        </w:rPr>
        <w:fldChar w:fldCharType="end"/>
      </w:r>
      <w:r>
        <w:rPr>
          <w:rFonts w:hint="eastAsia" w:asciiTheme="minorEastAsia" w:hAnsiTheme="minorEastAsia" w:eastAsiaTheme="minorEastAsia" w:cstheme="minorEastAsia"/>
          <w:sz w:val="24"/>
          <w:szCs w:val="24"/>
        </w:rPr>
        <w:fldChar w:fldCharType="end"/>
      </w:r>
    </w:p>
    <w:p w14:paraId="5605E0C7">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_Toc15337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第五条 </w:t>
      </w:r>
      <w:r>
        <w:rPr>
          <w:rFonts w:hint="eastAsia"/>
          <w:sz w:val="24"/>
          <w:szCs w:val="24"/>
        </w:rPr>
        <w:t>规划年限及保护期限</w:t>
      </w:r>
      <w:r>
        <w:rPr>
          <w:sz w:val="24"/>
          <w:szCs w:val="24"/>
        </w:rPr>
        <w:tab/>
      </w:r>
      <w:r>
        <w:rPr>
          <w:sz w:val="24"/>
          <w:szCs w:val="24"/>
        </w:rPr>
        <w:fldChar w:fldCharType="begin"/>
      </w:r>
      <w:r>
        <w:rPr>
          <w:sz w:val="24"/>
          <w:szCs w:val="24"/>
        </w:rPr>
        <w:instrText xml:space="preserve"> PAGEREF _Toc15337 \h </w:instrText>
      </w:r>
      <w:r>
        <w:rPr>
          <w:sz w:val="24"/>
          <w:szCs w:val="24"/>
        </w:rPr>
        <w:fldChar w:fldCharType="separate"/>
      </w:r>
      <w:r>
        <w:rPr>
          <w:sz w:val="24"/>
          <w:szCs w:val="24"/>
        </w:rPr>
        <w:t>- 5 -</w:t>
      </w:r>
      <w:r>
        <w:rPr>
          <w:sz w:val="24"/>
          <w:szCs w:val="24"/>
        </w:rPr>
        <w:fldChar w:fldCharType="end"/>
      </w:r>
      <w:r>
        <w:rPr>
          <w:rFonts w:hint="eastAsia" w:asciiTheme="minorEastAsia" w:hAnsiTheme="minorEastAsia" w:eastAsiaTheme="minorEastAsia" w:cstheme="minorEastAsia"/>
          <w:sz w:val="24"/>
          <w:szCs w:val="24"/>
        </w:rPr>
        <w:fldChar w:fldCharType="end"/>
      </w:r>
    </w:p>
    <w:p w14:paraId="1D3F1FDC">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_Toc32580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第六条 </w:t>
      </w:r>
      <w:r>
        <w:rPr>
          <w:rFonts w:hint="eastAsia"/>
          <w:sz w:val="24"/>
          <w:szCs w:val="24"/>
        </w:rPr>
        <w:t>规划范围</w:t>
      </w:r>
      <w:r>
        <w:rPr>
          <w:sz w:val="24"/>
          <w:szCs w:val="24"/>
        </w:rPr>
        <w:tab/>
      </w:r>
      <w:r>
        <w:rPr>
          <w:sz w:val="24"/>
          <w:szCs w:val="24"/>
        </w:rPr>
        <w:fldChar w:fldCharType="begin"/>
      </w:r>
      <w:r>
        <w:rPr>
          <w:sz w:val="24"/>
          <w:szCs w:val="24"/>
        </w:rPr>
        <w:instrText xml:space="preserve"> PAGEREF _Toc32580 \h </w:instrText>
      </w:r>
      <w:r>
        <w:rPr>
          <w:sz w:val="24"/>
          <w:szCs w:val="24"/>
        </w:rPr>
        <w:fldChar w:fldCharType="separate"/>
      </w:r>
      <w:r>
        <w:rPr>
          <w:sz w:val="24"/>
          <w:szCs w:val="24"/>
        </w:rPr>
        <w:t>- 5 -</w:t>
      </w:r>
      <w:r>
        <w:rPr>
          <w:sz w:val="24"/>
          <w:szCs w:val="24"/>
        </w:rPr>
        <w:fldChar w:fldCharType="end"/>
      </w:r>
      <w:r>
        <w:rPr>
          <w:rFonts w:hint="eastAsia" w:asciiTheme="minorEastAsia" w:hAnsiTheme="minorEastAsia" w:eastAsiaTheme="minorEastAsia" w:cstheme="minorEastAsia"/>
          <w:sz w:val="24"/>
          <w:szCs w:val="24"/>
        </w:rPr>
        <w:fldChar w:fldCharType="end"/>
      </w:r>
    </w:p>
    <w:p w14:paraId="75B7A1BD">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_Toc7316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第七条 </w:t>
      </w:r>
      <w:r>
        <w:rPr>
          <w:rFonts w:hint="eastAsia"/>
          <w:sz w:val="24"/>
          <w:szCs w:val="24"/>
        </w:rPr>
        <w:t>适用范围</w:t>
      </w:r>
      <w:r>
        <w:rPr>
          <w:sz w:val="24"/>
          <w:szCs w:val="24"/>
        </w:rPr>
        <w:tab/>
      </w:r>
      <w:r>
        <w:rPr>
          <w:sz w:val="24"/>
          <w:szCs w:val="24"/>
        </w:rPr>
        <w:fldChar w:fldCharType="begin"/>
      </w:r>
      <w:r>
        <w:rPr>
          <w:sz w:val="24"/>
          <w:szCs w:val="24"/>
        </w:rPr>
        <w:instrText xml:space="preserve"> PAGEREF _Toc7316 \h </w:instrText>
      </w:r>
      <w:r>
        <w:rPr>
          <w:sz w:val="24"/>
          <w:szCs w:val="24"/>
        </w:rPr>
        <w:fldChar w:fldCharType="separate"/>
      </w:r>
      <w:r>
        <w:rPr>
          <w:sz w:val="24"/>
          <w:szCs w:val="24"/>
        </w:rPr>
        <w:t>- 6 -</w:t>
      </w:r>
      <w:r>
        <w:rPr>
          <w:sz w:val="24"/>
          <w:szCs w:val="24"/>
        </w:rPr>
        <w:fldChar w:fldCharType="end"/>
      </w:r>
      <w:r>
        <w:rPr>
          <w:rFonts w:hint="eastAsia" w:asciiTheme="minorEastAsia" w:hAnsiTheme="minorEastAsia" w:eastAsiaTheme="minorEastAsia" w:cstheme="minorEastAsia"/>
          <w:sz w:val="24"/>
          <w:szCs w:val="24"/>
        </w:rPr>
        <w:fldChar w:fldCharType="end"/>
      </w:r>
    </w:p>
    <w:p w14:paraId="679E535A">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_Toc26479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第八条 </w:t>
      </w:r>
      <w:r>
        <w:rPr>
          <w:rFonts w:hint="eastAsia"/>
          <w:sz w:val="24"/>
          <w:szCs w:val="24"/>
        </w:rPr>
        <w:t>主要任务</w:t>
      </w:r>
      <w:r>
        <w:rPr>
          <w:sz w:val="24"/>
          <w:szCs w:val="24"/>
        </w:rPr>
        <w:tab/>
      </w:r>
      <w:r>
        <w:rPr>
          <w:sz w:val="24"/>
          <w:szCs w:val="24"/>
        </w:rPr>
        <w:fldChar w:fldCharType="begin"/>
      </w:r>
      <w:r>
        <w:rPr>
          <w:sz w:val="24"/>
          <w:szCs w:val="24"/>
        </w:rPr>
        <w:instrText xml:space="preserve"> PAGEREF _Toc26479 \h </w:instrText>
      </w:r>
      <w:r>
        <w:rPr>
          <w:sz w:val="24"/>
          <w:szCs w:val="24"/>
        </w:rPr>
        <w:fldChar w:fldCharType="separate"/>
      </w:r>
      <w:r>
        <w:rPr>
          <w:sz w:val="24"/>
          <w:szCs w:val="24"/>
        </w:rPr>
        <w:t>- 6 -</w:t>
      </w:r>
      <w:r>
        <w:rPr>
          <w:sz w:val="24"/>
          <w:szCs w:val="24"/>
        </w:rPr>
        <w:fldChar w:fldCharType="end"/>
      </w:r>
      <w:r>
        <w:rPr>
          <w:rFonts w:hint="eastAsia" w:asciiTheme="minorEastAsia" w:hAnsiTheme="minorEastAsia" w:eastAsiaTheme="minorEastAsia" w:cstheme="minorEastAsia"/>
          <w:sz w:val="24"/>
          <w:szCs w:val="24"/>
        </w:rPr>
        <w:fldChar w:fldCharType="end"/>
      </w:r>
    </w:p>
    <w:p w14:paraId="2120DE7F">
      <w:pPr>
        <w:pStyle w:val="26"/>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_Toc21420 </w:instrText>
      </w:r>
      <w:r>
        <w:rPr>
          <w:rFonts w:hint="eastAsia" w:asciiTheme="minorEastAsia" w:hAnsiTheme="minorEastAsia" w:eastAsiaTheme="minorEastAsia" w:cstheme="minorEastAsia"/>
          <w:sz w:val="24"/>
          <w:szCs w:val="24"/>
        </w:rPr>
        <w:fldChar w:fldCharType="separate"/>
      </w:r>
      <w:r>
        <w:rPr>
          <w:rFonts w:hint="default" w:asciiTheme="minorEastAsia" w:hAnsiTheme="minorEastAsia" w:eastAsiaTheme="minorEastAsia"/>
          <w:sz w:val="24"/>
          <w:szCs w:val="24"/>
        </w:rPr>
        <w:t xml:space="preserve">第二章 </w:t>
      </w:r>
      <w:r>
        <w:rPr>
          <w:rFonts w:hint="eastAsia" w:asciiTheme="minorEastAsia" w:hAnsiTheme="minorEastAsia" w:eastAsiaTheme="minorEastAsia"/>
          <w:sz w:val="24"/>
          <w:szCs w:val="24"/>
        </w:rPr>
        <w:t>气象观测站现状</w:t>
      </w:r>
      <w:r>
        <w:rPr>
          <w:sz w:val="24"/>
          <w:szCs w:val="24"/>
        </w:rPr>
        <w:tab/>
      </w:r>
      <w:r>
        <w:rPr>
          <w:sz w:val="24"/>
          <w:szCs w:val="24"/>
        </w:rPr>
        <w:fldChar w:fldCharType="begin"/>
      </w:r>
      <w:r>
        <w:rPr>
          <w:sz w:val="24"/>
          <w:szCs w:val="24"/>
        </w:rPr>
        <w:instrText xml:space="preserve"> PAGEREF _Toc21420 \h </w:instrText>
      </w:r>
      <w:r>
        <w:rPr>
          <w:sz w:val="24"/>
          <w:szCs w:val="24"/>
        </w:rPr>
        <w:fldChar w:fldCharType="separate"/>
      </w:r>
      <w:r>
        <w:rPr>
          <w:sz w:val="24"/>
          <w:szCs w:val="24"/>
        </w:rPr>
        <w:t>- 6 -</w:t>
      </w:r>
      <w:r>
        <w:rPr>
          <w:sz w:val="24"/>
          <w:szCs w:val="24"/>
        </w:rPr>
        <w:fldChar w:fldCharType="end"/>
      </w:r>
      <w:r>
        <w:rPr>
          <w:rFonts w:hint="eastAsia" w:asciiTheme="minorEastAsia" w:hAnsiTheme="minorEastAsia" w:eastAsiaTheme="minorEastAsia" w:cstheme="minorEastAsia"/>
          <w:sz w:val="24"/>
          <w:szCs w:val="24"/>
        </w:rPr>
        <w:fldChar w:fldCharType="end"/>
      </w:r>
    </w:p>
    <w:p w14:paraId="1CBC24FE">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_Toc18684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第九条 </w:t>
      </w:r>
      <w:r>
        <w:rPr>
          <w:rFonts w:hint="eastAsia"/>
          <w:sz w:val="24"/>
          <w:szCs w:val="24"/>
        </w:rPr>
        <w:t>站点分布情况</w:t>
      </w:r>
      <w:r>
        <w:rPr>
          <w:sz w:val="24"/>
          <w:szCs w:val="24"/>
        </w:rPr>
        <w:tab/>
      </w:r>
      <w:r>
        <w:rPr>
          <w:sz w:val="24"/>
          <w:szCs w:val="24"/>
        </w:rPr>
        <w:fldChar w:fldCharType="begin"/>
      </w:r>
      <w:r>
        <w:rPr>
          <w:sz w:val="24"/>
          <w:szCs w:val="24"/>
        </w:rPr>
        <w:instrText xml:space="preserve"> PAGEREF _Toc18684 \h </w:instrText>
      </w:r>
      <w:r>
        <w:rPr>
          <w:sz w:val="24"/>
          <w:szCs w:val="24"/>
        </w:rPr>
        <w:fldChar w:fldCharType="separate"/>
      </w:r>
      <w:r>
        <w:rPr>
          <w:sz w:val="24"/>
          <w:szCs w:val="24"/>
        </w:rPr>
        <w:t>- 6 -</w:t>
      </w:r>
      <w:r>
        <w:rPr>
          <w:sz w:val="24"/>
          <w:szCs w:val="24"/>
        </w:rPr>
        <w:fldChar w:fldCharType="end"/>
      </w:r>
      <w:r>
        <w:rPr>
          <w:rFonts w:hint="eastAsia" w:asciiTheme="minorEastAsia" w:hAnsiTheme="minorEastAsia" w:eastAsiaTheme="minorEastAsia" w:cstheme="minorEastAsia"/>
          <w:sz w:val="24"/>
          <w:szCs w:val="24"/>
        </w:rPr>
        <w:fldChar w:fldCharType="end"/>
      </w:r>
    </w:p>
    <w:p w14:paraId="12155636">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_Toc6563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第十条 </w:t>
      </w:r>
      <w:r>
        <w:rPr>
          <w:rFonts w:hint="eastAsia"/>
          <w:sz w:val="24"/>
          <w:szCs w:val="24"/>
        </w:rPr>
        <w:t>各站点概况</w:t>
      </w:r>
      <w:r>
        <w:rPr>
          <w:sz w:val="24"/>
          <w:szCs w:val="24"/>
        </w:rPr>
        <w:tab/>
      </w:r>
      <w:r>
        <w:rPr>
          <w:sz w:val="24"/>
          <w:szCs w:val="24"/>
        </w:rPr>
        <w:fldChar w:fldCharType="begin"/>
      </w:r>
      <w:r>
        <w:rPr>
          <w:sz w:val="24"/>
          <w:szCs w:val="24"/>
        </w:rPr>
        <w:instrText xml:space="preserve"> PAGEREF _Toc6563 \h </w:instrText>
      </w:r>
      <w:r>
        <w:rPr>
          <w:sz w:val="24"/>
          <w:szCs w:val="24"/>
        </w:rPr>
        <w:fldChar w:fldCharType="separate"/>
      </w:r>
      <w:r>
        <w:rPr>
          <w:sz w:val="24"/>
          <w:szCs w:val="24"/>
        </w:rPr>
        <w:t>- 7 -</w:t>
      </w:r>
      <w:r>
        <w:rPr>
          <w:sz w:val="24"/>
          <w:szCs w:val="24"/>
        </w:rPr>
        <w:fldChar w:fldCharType="end"/>
      </w:r>
      <w:r>
        <w:rPr>
          <w:rFonts w:hint="eastAsia" w:asciiTheme="minorEastAsia" w:hAnsiTheme="minorEastAsia" w:eastAsiaTheme="minorEastAsia" w:cstheme="minorEastAsia"/>
          <w:sz w:val="24"/>
          <w:szCs w:val="24"/>
        </w:rPr>
        <w:fldChar w:fldCharType="end"/>
      </w:r>
    </w:p>
    <w:p w14:paraId="45716E81">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_Toc14806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第十一条 </w:t>
      </w:r>
      <w:r>
        <w:rPr>
          <w:rFonts w:hint="eastAsia"/>
          <w:sz w:val="24"/>
          <w:szCs w:val="24"/>
        </w:rPr>
        <w:t>用地布局的衔接</w:t>
      </w:r>
      <w:r>
        <w:rPr>
          <w:sz w:val="24"/>
          <w:szCs w:val="24"/>
        </w:rPr>
        <w:tab/>
      </w:r>
      <w:r>
        <w:rPr>
          <w:sz w:val="24"/>
          <w:szCs w:val="24"/>
        </w:rPr>
        <w:fldChar w:fldCharType="begin"/>
      </w:r>
      <w:r>
        <w:rPr>
          <w:sz w:val="24"/>
          <w:szCs w:val="24"/>
        </w:rPr>
        <w:instrText xml:space="preserve"> PAGEREF _Toc14806 \h </w:instrText>
      </w:r>
      <w:r>
        <w:rPr>
          <w:sz w:val="24"/>
          <w:szCs w:val="24"/>
        </w:rPr>
        <w:fldChar w:fldCharType="separate"/>
      </w:r>
      <w:r>
        <w:rPr>
          <w:sz w:val="24"/>
          <w:szCs w:val="24"/>
        </w:rPr>
        <w:t>- 11 -</w:t>
      </w:r>
      <w:r>
        <w:rPr>
          <w:sz w:val="24"/>
          <w:szCs w:val="24"/>
        </w:rPr>
        <w:fldChar w:fldCharType="end"/>
      </w:r>
      <w:r>
        <w:rPr>
          <w:rFonts w:hint="eastAsia" w:asciiTheme="minorEastAsia" w:hAnsiTheme="minorEastAsia" w:eastAsiaTheme="minorEastAsia" w:cstheme="minorEastAsia"/>
          <w:sz w:val="24"/>
          <w:szCs w:val="24"/>
        </w:rPr>
        <w:fldChar w:fldCharType="end"/>
      </w:r>
    </w:p>
    <w:p w14:paraId="41A0AE7E">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_Toc30456 </w:instrText>
      </w:r>
      <w:r>
        <w:rPr>
          <w:rFonts w:hint="eastAsia" w:asciiTheme="minorEastAsia" w:hAnsiTheme="minorEastAsia" w:eastAsiaTheme="minorEastAsia" w:cstheme="minorEastAsia"/>
          <w:sz w:val="24"/>
          <w:szCs w:val="24"/>
        </w:rPr>
        <w:fldChar w:fldCharType="separate"/>
      </w:r>
      <w:r>
        <w:rPr>
          <w:rFonts w:hint="default" w:cs="Times New Roman"/>
          <w:sz w:val="24"/>
          <w:szCs w:val="24"/>
          <w:lang w:val="en-US" w:eastAsia="zh-CN"/>
        </w:rPr>
        <w:t xml:space="preserve">第十二条 </w:t>
      </w:r>
      <w:r>
        <w:rPr>
          <w:rFonts w:hint="eastAsia" w:cs="Times New Roman"/>
          <w:sz w:val="24"/>
          <w:szCs w:val="24"/>
          <w:lang w:val="en-US" w:eastAsia="zh-CN"/>
        </w:rPr>
        <w:t>与规划底线衔接</w:t>
      </w:r>
      <w:r>
        <w:rPr>
          <w:sz w:val="24"/>
          <w:szCs w:val="24"/>
        </w:rPr>
        <w:tab/>
      </w:r>
      <w:r>
        <w:rPr>
          <w:sz w:val="24"/>
          <w:szCs w:val="24"/>
        </w:rPr>
        <w:fldChar w:fldCharType="begin"/>
      </w:r>
      <w:r>
        <w:rPr>
          <w:sz w:val="24"/>
          <w:szCs w:val="24"/>
        </w:rPr>
        <w:instrText xml:space="preserve"> PAGEREF _Toc30456 \h </w:instrText>
      </w:r>
      <w:r>
        <w:rPr>
          <w:sz w:val="24"/>
          <w:szCs w:val="24"/>
        </w:rPr>
        <w:fldChar w:fldCharType="separate"/>
      </w:r>
      <w:r>
        <w:rPr>
          <w:sz w:val="24"/>
          <w:szCs w:val="24"/>
        </w:rPr>
        <w:t>- 12 -</w:t>
      </w:r>
      <w:r>
        <w:rPr>
          <w:sz w:val="24"/>
          <w:szCs w:val="24"/>
        </w:rPr>
        <w:fldChar w:fldCharType="end"/>
      </w:r>
      <w:r>
        <w:rPr>
          <w:rFonts w:hint="eastAsia" w:asciiTheme="minorEastAsia" w:hAnsiTheme="minorEastAsia" w:eastAsiaTheme="minorEastAsia" w:cstheme="minorEastAsia"/>
          <w:sz w:val="24"/>
          <w:szCs w:val="24"/>
        </w:rPr>
        <w:fldChar w:fldCharType="end"/>
      </w:r>
    </w:p>
    <w:p w14:paraId="1DBE44A5">
      <w:pPr>
        <w:pStyle w:val="26"/>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_Toc10707 </w:instrText>
      </w:r>
      <w:r>
        <w:rPr>
          <w:rFonts w:hint="eastAsia" w:asciiTheme="minorEastAsia" w:hAnsiTheme="minorEastAsia" w:eastAsiaTheme="minorEastAsia" w:cstheme="minorEastAsia"/>
          <w:sz w:val="24"/>
          <w:szCs w:val="24"/>
        </w:rPr>
        <w:fldChar w:fldCharType="separate"/>
      </w:r>
      <w:r>
        <w:rPr>
          <w:rFonts w:hint="default" w:asciiTheme="minorEastAsia" w:hAnsiTheme="minorEastAsia" w:eastAsiaTheme="minorEastAsia"/>
          <w:sz w:val="24"/>
          <w:szCs w:val="24"/>
        </w:rPr>
        <w:t xml:space="preserve">第三章 </w:t>
      </w:r>
      <w:r>
        <w:rPr>
          <w:rFonts w:hint="eastAsia" w:asciiTheme="minorEastAsia" w:hAnsiTheme="minorEastAsia" w:eastAsiaTheme="minorEastAsia"/>
          <w:sz w:val="24"/>
          <w:szCs w:val="24"/>
        </w:rPr>
        <w:t>气象观测站布局规划</w:t>
      </w:r>
      <w:r>
        <w:rPr>
          <w:sz w:val="24"/>
          <w:szCs w:val="24"/>
        </w:rPr>
        <w:tab/>
      </w:r>
      <w:r>
        <w:rPr>
          <w:sz w:val="24"/>
          <w:szCs w:val="24"/>
        </w:rPr>
        <w:fldChar w:fldCharType="begin"/>
      </w:r>
      <w:r>
        <w:rPr>
          <w:sz w:val="24"/>
          <w:szCs w:val="24"/>
        </w:rPr>
        <w:instrText xml:space="preserve"> PAGEREF _Toc10707 \h </w:instrText>
      </w:r>
      <w:r>
        <w:rPr>
          <w:sz w:val="24"/>
          <w:szCs w:val="24"/>
        </w:rPr>
        <w:fldChar w:fldCharType="separate"/>
      </w:r>
      <w:r>
        <w:rPr>
          <w:sz w:val="24"/>
          <w:szCs w:val="24"/>
        </w:rPr>
        <w:t>- 13 -</w:t>
      </w:r>
      <w:r>
        <w:rPr>
          <w:sz w:val="24"/>
          <w:szCs w:val="24"/>
        </w:rPr>
        <w:fldChar w:fldCharType="end"/>
      </w:r>
      <w:r>
        <w:rPr>
          <w:rFonts w:hint="eastAsia" w:asciiTheme="minorEastAsia" w:hAnsiTheme="minorEastAsia" w:eastAsiaTheme="minorEastAsia" w:cstheme="minorEastAsia"/>
          <w:sz w:val="24"/>
          <w:szCs w:val="24"/>
        </w:rPr>
        <w:fldChar w:fldCharType="end"/>
      </w:r>
    </w:p>
    <w:p w14:paraId="0A2B20DA">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_Toc18478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第十三条 </w:t>
      </w:r>
      <w:r>
        <w:rPr>
          <w:rFonts w:hint="eastAsia"/>
          <w:sz w:val="24"/>
          <w:szCs w:val="24"/>
        </w:rPr>
        <w:t>气象观测站布局规划</w:t>
      </w:r>
      <w:r>
        <w:rPr>
          <w:sz w:val="24"/>
          <w:szCs w:val="24"/>
        </w:rPr>
        <w:tab/>
      </w:r>
      <w:r>
        <w:rPr>
          <w:sz w:val="24"/>
          <w:szCs w:val="24"/>
        </w:rPr>
        <w:fldChar w:fldCharType="begin"/>
      </w:r>
      <w:r>
        <w:rPr>
          <w:sz w:val="24"/>
          <w:szCs w:val="24"/>
        </w:rPr>
        <w:instrText xml:space="preserve"> PAGEREF _Toc18478 \h </w:instrText>
      </w:r>
      <w:r>
        <w:rPr>
          <w:sz w:val="24"/>
          <w:szCs w:val="24"/>
        </w:rPr>
        <w:fldChar w:fldCharType="separate"/>
      </w:r>
      <w:r>
        <w:rPr>
          <w:sz w:val="24"/>
          <w:szCs w:val="24"/>
        </w:rPr>
        <w:t>- 13 -</w:t>
      </w:r>
      <w:r>
        <w:rPr>
          <w:sz w:val="24"/>
          <w:szCs w:val="24"/>
        </w:rPr>
        <w:fldChar w:fldCharType="end"/>
      </w:r>
      <w:r>
        <w:rPr>
          <w:rFonts w:hint="eastAsia" w:asciiTheme="minorEastAsia" w:hAnsiTheme="minorEastAsia" w:eastAsiaTheme="minorEastAsia" w:cstheme="minorEastAsia"/>
          <w:sz w:val="24"/>
          <w:szCs w:val="24"/>
        </w:rPr>
        <w:fldChar w:fldCharType="end"/>
      </w:r>
    </w:p>
    <w:p w14:paraId="4960DACA">
      <w:pPr>
        <w:pStyle w:val="26"/>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_Toc10058 </w:instrText>
      </w:r>
      <w:r>
        <w:rPr>
          <w:rFonts w:hint="eastAsia" w:asciiTheme="minorEastAsia" w:hAnsiTheme="minorEastAsia" w:eastAsiaTheme="minorEastAsia" w:cstheme="minorEastAsia"/>
          <w:sz w:val="24"/>
          <w:szCs w:val="24"/>
        </w:rPr>
        <w:fldChar w:fldCharType="separate"/>
      </w:r>
      <w:r>
        <w:rPr>
          <w:rFonts w:hint="default" w:asciiTheme="minorEastAsia" w:hAnsiTheme="minorEastAsia" w:eastAsiaTheme="minorEastAsia"/>
          <w:sz w:val="24"/>
          <w:szCs w:val="24"/>
        </w:rPr>
        <w:t xml:space="preserve">第四章 </w:t>
      </w:r>
      <w:r>
        <w:rPr>
          <w:rFonts w:hint="eastAsia" w:asciiTheme="minorEastAsia" w:hAnsiTheme="minorEastAsia" w:eastAsiaTheme="minorEastAsia"/>
          <w:sz w:val="24"/>
          <w:szCs w:val="24"/>
        </w:rPr>
        <w:t>气象设施和气象探测环境保护规划</w:t>
      </w:r>
      <w:r>
        <w:rPr>
          <w:sz w:val="24"/>
          <w:szCs w:val="24"/>
        </w:rPr>
        <w:tab/>
      </w:r>
      <w:r>
        <w:rPr>
          <w:sz w:val="24"/>
          <w:szCs w:val="24"/>
        </w:rPr>
        <w:fldChar w:fldCharType="begin"/>
      </w:r>
      <w:r>
        <w:rPr>
          <w:sz w:val="24"/>
          <w:szCs w:val="24"/>
        </w:rPr>
        <w:instrText xml:space="preserve"> PAGEREF _Toc10058 \h </w:instrText>
      </w:r>
      <w:r>
        <w:rPr>
          <w:sz w:val="24"/>
          <w:szCs w:val="24"/>
        </w:rPr>
        <w:fldChar w:fldCharType="separate"/>
      </w:r>
      <w:r>
        <w:rPr>
          <w:sz w:val="24"/>
          <w:szCs w:val="24"/>
        </w:rPr>
        <w:t>- 14 -</w:t>
      </w:r>
      <w:r>
        <w:rPr>
          <w:sz w:val="24"/>
          <w:szCs w:val="24"/>
        </w:rPr>
        <w:fldChar w:fldCharType="end"/>
      </w:r>
      <w:r>
        <w:rPr>
          <w:rFonts w:hint="eastAsia" w:asciiTheme="minorEastAsia" w:hAnsiTheme="minorEastAsia" w:eastAsiaTheme="minorEastAsia" w:cstheme="minorEastAsia"/>
          <w:sz w:val="24"/>
          <w:szCs w:val="24"/>
        </w:rPr>
        <w:fldChar w:fldCharType="end"/>
      </w:r>
    </w:p>
    <w:p w14:paraId="5D010E30">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_Toc32410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第十四条 </w:t>
      </w:r>
      <w:r>
        <w:rPr>
          <w:rFonts w:hint="eastAsia"/>
          <w:sz w:val="24"/>
          <w:szCs w:val="24"/>
        </w:rPr>
        <w:t>总体要求</w:t>
      </w:r>
      <w:r>
        <w:rPr>
          <w:sz w:val="24"/>
          <w:szCs w:val="24"/>
        </w:rPr>
        <w:tab/>
      </w:r>
      <w:r>
        <w:rPr>
          <w:sz w:val="24"/>
          <w:szCs w:val="24"/>
        </w:rPr>
        <w:fldChar w:fldCharType="begin"/>
      </w:r>
      <w:r>
        <w:rPr>
          <w:sz w:val="24"/>
          <w:szCs w:val="24"/>
        </w:rPr>
        <w:instrText xml:space="preserve"> PAGEREF _Toc32410 \h </w:instrText>
      </w:r>
      <w:r>
        <w:rPr>
          <w:sz w:val="24"/>
          <w:szCs w:val="24"/>
        </w:rPr>
        <w:fldChar w:fldCharType="separate"/>
      </w:r>
      <w:r>
        <w:rPr>
          <w:sz w:val="24"/>
          <w:szCs w:val="24"/>
        </w:rPr>
        <w:t>- 14 -</w:t>
      </w:r>
      <w:r>
        <w:rPr>
          <w:sz w:val="24"/>
          <w:szCs w:val="24"/>
        </w:rPr>
        <w:fldChar w:fldCharType="end"/>
      </w:r>
      <w:r>
        <w:rPr>
          <w:rFonts w:hint="eastAsia" w:asciiTheme="minorEastAsia" w:hAnsiTheme="minorEastAsia" w:eastAsiaTheme="minorEastAsia" w:cstheme="minorEastAsia"/>
          <w:sz w:val="24"/>
          <w:szCs w:val="24"/>
        </w:rPr>
        <w:fldChar w:fldCharType="end"/>
      </w:r>
    </w:p>
    <w:p w14:paraId="5F5FD470">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_Toc28978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第十五条 </w:t>
      </w:r>
      <w:r>
        <w:rPr>
          <w:rFonts w:hint="eastAsia"/>
          <w:sz w:val="24"/>
          <w:szCs w:val="24"/>
        </w:rPr>
        <w:t>保护范围</w:t>
      </w:r>
      <w:r>
        <w:rPr>
          <w:sz w:val="24"/>
          <w:szCs w:val="24"/>
        </w:rPr>
        <w:tab/>
      </w:r>
      <w:r>
        <w:rPr>
          <w:sz w:val="24"/>
          <w:szCs w:val="24"/>
        </w:rPr>
        <w:fldChar w:fldCharType="begin"/>
      </w:r>
      <w:r>
        <w:rPr>
          <w:sz w:val="24"/>
          <w:szCs w:val="24"/>
        </w:rPr>
        <w:instrText xml:space="preserve"> PAGEREF _Toc28978 \h </w:instrText>
      </w:r>
      <w:r>
        <w:rPr>
          <w:sz w:val="24"/>
          <w:szCs w:val="24"/>
        </w:rPr>
        <w:fldChar w:fldCharType="separate"/>
      </w:r>
      <w:r>
        <w:rPr>
          <w:sz w:val="24"/>
          <w:szCs w:val="24"/>
        </w:rPr>
        <w:t>- 14 -</w:t>
      </w:r>
      <w:r>
        <w:rPr>
          <w:sz w:val="24"/>
          <w:szCs w:val="24"/>
        </w:rPr>
        <w:fldChar w:fldCharType="end"/>
      </w:r>
      <w:r>
        <w:rPr>
          <w:rFonts w:hint="eastAsia" w:asciiTheme="minorEastAsia" w:hAnsiTheme="minorEastAsia" w:eastAsiaTheme="minorEastAsia" w:cstheme="minorEastAsia"/>
          <w:sz w:val="24"/>
          <w:szCs w:val="24"/>
        </w:rPr>
        <w:fldChar w:fldCharType="end"/>
      </w:r>
    </w:p>
    <w:p w14:paraId="7BDB1E55">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_Toc27779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第十六条 </w:t>
      </w:r>
      <w:r>
        <w:rPr>
          <w:rFonts w:hint="eastAsia"/>
          <w:sz w:val="24"/>
          <w:szCs w:val="24"/>
        </w:rPr>
        <w:t>保护要求</w:t>
      </w:r>
      <w:r>
        <w:rPr>
          <w:sz w:val="24"/>
          <w:szCs w:val="24"/>
        </w:rPr>
        <w:tab/>
      </w:r>
      <w:r>
        <w:rPr>
          <w:sz w:val="24"/>
          <w:szCs w:val="24"/>
        </w:rPr>
        <w:fldChar w:fldCharType="begin"/>
      </w:r>
      <w:r>
        <w:rPr>
          <w:sz w:val="24"/>
          <w:szCs w:val="24"/>
        </w:rPr>
        <w:instrText xml:space="preserve"> PAGEREF _Toc27779 \h </w:instrText>
      </w:r>
      <w:r>
        <w:rPr>
          <w:sz w:val="24"/>
          <w:szCs w:val="24"/>
        </w:rPr>
        <w:fldChar w:fldCharType="separate"/>
      </w:r>
      <w:r>
        <w:rPr>
          <w:sz w:val="24"/>
          <w:szCs w:val="24"/>
        </w:rPr>
        <w:t>- 15 -</w:t>
      </w:r>
      <w:r>
        <w:rPr>
          <w:sz w:val="24"/>
          <w:szCs w:val="24"/>
        </w:rPr>
        <w:fldChar w:fldCharType="end"/>
      </w:r>
      <w:r>
        <w:rPr>
          <w:rFonts w:hint="eastAsia" w:asciiTheme="minorEastAsia" w:hAnsiTheme="minorEastAsia" w:eastAsiaTheme="minorEastAsia" w:cstheme="minorEastAsia"/>
          <w:sz w:val="24"/>
          <w:szCs w:val="24"/>
        </w:rPr>
        <w:fldChar w:fldCharType="end"/>
      </w:r>
    </w:p>
    <w:p w14:paraId="3998C4D2">
      <w:pPr>
        <w:pStyle w:val="26"/>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_Toc2866 </w:instrText>
      </w:r>
      <w:r>
        <w:rPr>
          <w:rFonts w:hint="eastAsia" w:asciiTheme="minorEastAsia" w:hAnsiTheme="minorEastAsia" w:eastAsiaTheme="minorEastAsia" w:cstheme="minorEastAsia"/>
          <w:sz w:val="24"/>
          <w:szCs w:val="24"/>
        </w:rPr>
        <w:fldChar w:fldCharType="separate"/>
      </w:r>
      <w:r>
        <w:rPr>
          <w:rFonts w:hint="default" w:asciiTheme="minorEastAsia" w:hAnsiTheme="minorEastAsia" w:eastAsiaTheme="minorEastAsia"/>
          <w:sz w:val="24"/>
          <w:szCs w:val="24"/>
        </w:rPr>
        <w:t xml:space="preserve">第五章 </w:t>
      </w:r>
      <w:r>
        <w:rPr>
          <w:rFonts w:hint="eastAsia" w:asciiTheme="minorEastAsia" w:hAnsiTheme="minorEastAsia" w:eastAsiaTheme="minorEastAsia"/>
          <w:sz w:val="24"/>
          <w:szCs w:val="24"/>
        </w:rPr>
        <w:t>近期规划</w:t>
      </w:r>
      <w:r>
        <w:rPr>
          <w:rFonts w:hint="eastAsia" w:asciiTheme="minorEastAsia" w:hAnsiTheme="minorEastAsia" w:eastAsiaTheme="minorEastAsia"/>
          <w:sz w:val="24"/>
          <w:szCs w:val="24"/>
          <w:lang w:val="en-US" w:eastAsia="zh-CN"/>
        </w:rPr>
        <w:t>实施</w:t>
      </w:r>
      <w:r>
        <w:rPr>
          <w:sz w:val="24"/>
          <w:szCs w:val="24"/>
        </w:rPr>
        <w:tab/>
      </w:r>
      <w:r>
        <w:rPr>
          <w:sz w:val="24"/>
          <w:szCs w:val="24"/>
        </w:rPr>
        <w:fldChar w:fldCharType="begin"/>
      </w:r>
      <w:r>
        <w:rPr>
          <w:sz w:val="24"/>
          <w:szCs w:val="24"/>
        </w:rPr>
        <w:instrText xml:space="preserve"> PAGEREF _Toc2866 \h </w:instrText>
      </w:r>
      <w:r>
        <w:rPr>
          <w:sz w:val="24"/>
          <w:szCs w:val="24"/>
        </w:rPr>
        <w:fldChar w:fldCharType="separate"/>
      </w:r>
      <w:r>
        <w:rPr>
          <w:sz w:val="24"/>
          <w:szCs w:val="24"/>
        </w:rPr>
        <w:t>- 18 -</w:t>
      </w:r>
      <w:r>
        <w:rPr>
          <w:sz w:val="24"/>
          <w:szCs w:val="24"/>
        </w:rPr>
        <w:fldChar w:fldCharType="end"/>
      </w:r>
      <w:r>
        <w:rPr>
          <w:rFonts w:hint="eastAsia" w:asciiTheme="minorEastAsia" w:hAnsiTheme="minorEastAsia" w:eastAsiaTheme="minorEastAsia" w:cstheme="minorEastAsia"/>
          <w:sz w:val="24"/>
          <w:szCs w:val="24"/>
        </w:rPr>
        <w:fldChar w:fldCharType="end"/>
      </w:r>
    </w:p>
    <w:p w14:paraId="1D361900">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_Toc8045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第十七条 </w:t>
      </w:r>
      <w:r>
        <w:rPr>
          <w:rFonts w:hint="eastAsia"/>
          <w:sz w:val="24"/>
          <w:szCs w:val="24"/>
        </w:rPr>
        <w:t>近期规划年限</w:t>
      </w:r>
      <w:r>
        <w:rPr>
          <w:sz w:val="24"/>
          <w:szCs w:val="24"/>
        </w:rPr>
        <w:tab/>
      </w:r>
      <w:r>
        <w:rPr>
          <w:sz w:val="24"/>
          <w:szCs w:val="24"/>
        </w:rPr>
        <w:fldChar w:fldCharType="begin"/>
      </w:r>
      <w:r>
        <w:rPr>
          <w:sz w:val="24"/>
          <w:szCs w:val="24"/>
        </w:rPr>
        <w:instrText xml:space="preserve"> PAGEREF _Toc8045 \h </w:instrText>
      </w:r>
      <w:r>
        <w:rPr>
          <w:sz w:val="24"/>
          <w:szCs w:val="24"/>
        </w:rPr>
        <w:fldChar w:fldCharType="separate"/>
      </w:r>
      <w:r>
        <w:rPr>
          <w:sz w:val="24"/>
          <w:szCs w:val="24"/>
        </w:rPr>
        <w:t>- 18 -</w:t>
      </w:r>
      <w:r>
        <w:rPr>
          <w:sz w:val="24"/>
          <w:szCs w:val="24"/>
        </w:rPr>
        <w:fldChar w:fldCharType="end"/>
      </w:r>
      <w:r>
        <w:rPr>
          <w:rFonts w:hint="eastAsia" w:asciiTheme="minorEastAsia" w:hAnsiTheme="minorEastAsia" w:eastAsiaTheme="minorEastAsia" w:cstheme="minorEastAsia"/>
          <w:sz w:val="24"/>
          <w:szCs w:val="24"/>
        </w:rPr>
        <w:fldChar w:fldCharType="end"/>
      </w:r>
    </w:p>
    <w:p w14:paraId="5B5EC364">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_Toc27477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第十八条 </w:t>
      </w:r>
      <w:r>
        <w:rPr>
          <w:rFonts w:hint="eastAsia"/>
          <w:sz w:val="24"/>
          <w:szCs w:val="24"/>
          <w:lang w:val="en-US" w:eastAsia="zh-CN"/>
        </w:rPr>
        <w:t>近期</w:t>
      </w:r>
      <w:r>
        <w:rPr>
          <w:rFonts w:hint="eastAsia"/>
          <w:sz w:val="24"/>
          <w:szCs w:val="24"/>
        </w:rPr>
        <w:t>气象探测环境保护规划</w:t>
      </w:r>
      <w:r>
        <w:rPr>
          <w:sz w:val="24"/>
          <w:szCs w:val="24"/>
        </w:rPr>
        <w:tab/>
      </w:r>
      <w:r>
        <w:rPr>
          <w:sz w:val="24"/>
          <w:szCs w:val="24"/>
        </w:rPr>
        <w:fldChar w:fldCharType="begin"/>
      </w:r>
      <w:r>
        <w:rPr>
          <w:sz w:val="24"/>
          <w:szCs w:val="24"/>
        </w:rPr>
        <w:instrText xml:space="preserve"> PAGEREF _Toc27477 \h </w:instrText>
      </w:r>
      <w:r>
        <w:rPr>
          <w:sz w:val="24"/>
          <w:szCs w:val="24"/>
        </w:rPr>
        <w:fldChar w:fldCharType="separate"/>
      </w:r>
      <w:r>
        <w:rPr>
          <w:sz w:val="24"/>
          <w:szCs w:val="24"/>
        </w:rPr>
        <w:t>- 18 -</w:t>
      </w:r>
      <w:r>
        <w:rPr>
          <w:sz w:val="24"/>
          <w:szCs w:val="24"/>
        </w:rPr>
        <w:fldChar w:fldCharType="end"/>
      </w:r>
      <w:r>
        <w:rPr>
          <w:rFonts w:hint="eastAsia" w:asciiTheme="minorEastAsia" w:hAnsiTheme="minorEastAsia" w:eastAsiaTheme="minorEastAsia" w:cstheme="minorEastAsia"/>
          <w:sz w:val="24"/>
          <w:szCs w:val="24"/>
        </w:rPr>
        <w:fldChar w:fldCharType="end"/>
      </w:r>
    </w:p>
    <w:p w14:paraId="048B14B9">
      <w:pPr>
        <w:pStyle w:val="26"/>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_Toc8578 </w:instrText>
      </w:r>
      <w:r>
        <w:rPr>
          <w:rFonts w:hint="eastAsia" w:asciiTheme="minorEastAsia" w:hAnsiTheme="minorEastAsia" w:eastAsiaTheme="minorEastAsia" w:cstheme="minorEastAsia"/>
          <w:sz w:val="24"/>
          <w:szCs w:val="24"/>
        </w:rPr>
        <w:fldChar w:fldCharType="separate"/>
      </w:r>
      <w:r>
        <w:rPr>
          <w:rFonts w:hint="default" w:asciiTheme="minorEastAsia" w:hAnsiTheme="minorEastAsia" w:eastAsiaTheme="minorEastAsia"/>
          <w:sz w:val="24"/>
          <w:szCs w:val="24"/>
        </w:rPr>
        <w:t xml:space="preserve">第六章 </w:t>
      </w:r>
      <w:r>
        <w:rPr>
          <w:rFonts w:hint="eastAsia" w:asciiTheme="minorEastAsia" w:hAnsiTheme="minorEastAsia" w:eastAsiaTheme="minorEastAsia"/>
          <w:sz w:val="24"/>
          <w:szCs w:val="24"/>
        </w:rPr>
        <w:t>实施保障措施</w:t>
      </w:r>
      <w:r>
        <w:rPr>
          <w:sz w:val="24"/>
          <w:szCs w:val="24"/>
        </w:rPr>
        <w:tab/>
      </w:r>
      <w:r>
        <w:rPr>
          <w:sz w:val="24"/>
          <w:szCs w:val="24"/>
        </w:rPr>
        <w:fldChar w:fldCharType="begin"/>
      </w:r>
      <w:r>
        <w:rPr>
          <w:sz w:val="24"/>
          <w:szCs w:val="24"/>
        </w:rPr>
        <w:instrText xml:space="preserve"> PAGEREF _Toc8578 \h </w:instrText>
      </w:r>
      <w:r>
        <w:rPr>
          <w:sz w:val="24"/>
          <w:szCs w:val="24"/>
        </w:rPr>
        <w:fldChar w:fldCharType="separate"/>
      </w:r>
      <w:r>
        <w:rPr>
          <w:sz w:val="24"/>
          <w:szCs w:val="24"/>
        </w:rPr>
        <w:t>- 20 -</w:t>
      </w:r>
      <w:r>
        <w:rPr>
          <w:sz w:val="24"/>
          <w:szCs w:val="24"/>
        </w:rPr>
        <w:fldChar w:fldCharType="end"/>
      </w:r>
      <w:r>
        <w:rPr>
          <w:rFonts w:hint="eastAsia" w:asciiTheme="minorEastAsia" w:hAnsiTheme="minorEastAsia" w:eastAsiaTheme="minorEastAsia" w:cstheme="minorEastAsia"/>
          <w:sz w:val="24"/>
          <w:szCs w:val="24"/>
        </w:rPr>
        <w:fldChar w:fldCharType="end"/>
      </w:r>
    </w:p>
    <w:p w14:paraId="6C367D8F">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_Toc22078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第十九条 </w:t>
      </w:r>
      <w:r>
        <w:rPr>
          <w:rFonts w:hint="eastAsia"/>
          <w:sz w:val="24"/>
          <w:szCs w:val="24"/>
        </w:rPr>
        <w:t>相关部门职责</w:t>
      </w:r>
      <w:r>
        <w:rPr>
          <w:sz w:val="24"/>
          <w:szCs w:val="24"/>
        </w:rPr>
        <w:tab/>
      </w:r>
      <w:r>
        <w:rPr>
          <w:sz w:val="24"/>
          <w:szCs w:val="24"/>
        </w:rPr>
        <w:fldChar w:fldCharType="begin"/>
      </w:r>
      <w:r>
        <w:rPr>
          <w:sz w:val="24"/>
          <w:szCs w:val="24"/>
        </w:rPr>
        <w:instrText xml:space="preserve"> PAGEREF _Toc22078 \h </w:instrText>
      </w:r>
      <w:r>
        <w:rPr>
          <w:sz w:val="24"/>
          <w:szCs w:val="24"/>
        </w:rPr>
        <w:fldChar w:fldCharType="separate"/>
      </w:r>
      <w:r>
        <w:rPr>
          <w:sz w:val="24"/>
          <w:szCs w:val="24"/>
        </w:rPr>
        <w:t>- 20 -</w:t>
      </w:r>
      <w:r>
        <w:rPr>
          <w:sz w:val="24"/>
          <w:szCs w:val="24"/>
        </w:rPr>
        <w:fldChar w:fldCharType="end"/>
      </w:r>
      <w:r>
        <w:rPr>
          <w:rFonts w:hint="eastAsia" w:asciiTheme="minorEastAsia" w:hAnsiTheme="minorEastAsia" w:eastAsiaTheme="minorEastAsia" w:cstheme="minorEastAsia"/>
          <w:sz w:val="24"/>
          <w:szCs w:val="24"/>
        </w:rPr>
        <w:fldChar w:fldCharType="end"/>
      </w:r>
    </w:p>
    <w:p w14:paraId="11CEEE2F">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_Toc883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第二十条 </w:t>
      </w:r>
      <w:r>
        <w:rPr>
          <w:rFonts w:hint="eastAsia"/>
          <w:sz w:val="24"/>
          <w:szCs w:val="24"/>
        </w:rPr>
        <w:t>气象探测环境保护范围内的建设项目审批</w:t>
      </w:r>
      <w:r>
        <w:rPr>
          <w:sz w:val="24"/>
          <w:szCs w:val="24"/>
        </w:rPr>
        <w:tab/>
      </w:r>
      <w:r>
        <w:rPr>
          <w:sz w:val="24"/>
          <w:szCs w:val="24"/>
        </w:rPr>
        <w:fldChar w:fldCharType="begin"/>
      </w:r>
      <w:r>
        <w:rPr>
          <w:sz w:val="24"/>
          <w:szCs w:val="24"/>
        </w:rPr>
        <w:instrText xml:space="preserve"> PAGEREF _Toc883 \h </w:instrText>
      </w:r>
      <w:r>
        <w:rPr>
          <w:sz w:val="24"/>
          <w:szCs w:val="24"/>
        </w:rPr>
        <w:fldChar w:fldCharType="separate"/>
      </w:r>
      <w:r>
        <w:rPr>
          <w:sz w:val="24"/>
          <w:szCs w:val="24"/>
        </w:rPr>
        <w:t>- 21 -</w:t>
      </w:r>
      <w:r>
        <w:rPr>
          <w:sz w:val="24"/>
          <w:szCs w:val="24"/>
        </w:rPr>
        <w:fldChar w:fldCharType="end"/>
      </w:r>
      <w:r>
        <w:rPr>
          <w:rFonts w:hint="eastAsia" w:asciiTheme="minorEastAsia" w:hAnsiTheme="minorEastAsia" w:eastAsiaTheme="minorEastAsia" w:cstheme="minorEastAsia"/>
          <w:sz w:val="24"/>
          <w:szCs w:val="24"/>
        </w:rPr>
        <w:fldChar w:fldCharType="end"/>
      </w:r>
    </w:p>
    <w:p w14:paraId="653ED3ED">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_Toc26122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第二十一条 </w:t>
      </w:r>
      <w:r>
        <w:rPr>
          <w:rFonts w:hint="eastAsia"/>
          <w:sz w:val="24"/>
          <w:szCs w:val="24"/>
        </w:rPr>
        <w:t>气象探测环境保护的法律责任</w:t>
      </w:r>
      <w:r>
        <w:rPr>
          <w:sz w:val="24"/>
          <w:szCs w:val="24"/>
        </w:rPr>
        <w:tab/>
      </w:r>
      <w:r>
        <w:rPr>
          <w:sz w:val="24"/>
          <w:szCs w:val="24"/>
        </w:rPr>
        <w:fldChar w:fldCharType="begin"/>
      </w:r>
      <w:r>
        <w:rPr>
          <w:sz w:val="24"/>
          <w:szCs w:val="24"/>
        </w:rPr>
        <w:instrText xml:space="preserve"> PAGEREF _Toc26122 \h </w:instrText>
      </w:r>
      <w:r>
        <w:rPr>
          <w:sz w:val="24"/>
          <w:szCs w:val="24"/>
        </w:rPr>
        <w:fldChar w:fldCharType="separate"/>
      </w:r>
      <w:r>
        <w:rPr>
          <w:sz w:val="24"/>
          <w:szCs w:val="24"/>
        </w:rPr>
        <w:t>- 22 -</w:t>
      </w:r>
      <w:r>
        <w:rPr>
          <w:sz w:val="24"/>
          <w:szCs w:val="24"/>
        </w:rPr>
        <w:fldChar w:fldCharType="end"/>
      </w:r>
      <w:r>
        <w:rPr>
          <w:rFonts w:hint="eastAsia" w:asciiTheme="minorEastAsia" w:hAnsiTheme="minorEastAsia" w:eastAsiaTheme="minorEastAsia" w:cstheme="minorEastAsia"/>
          <w:sz w:val="24"/>
          <w:szCs w:val="24"/>
        </w:rPr>
        <w:fldChar w:fldCharType="end"/>
      </w:r>
    </w:p>
    <w:p w14:paraId="3990D3E3">
      <w:pPr>
        <w:pStyle w:val="26"/>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_Toc23121 </w:instrText>
      </w:r>
      <w:r>
        <w:rPr>
          <w:rFonts w:hint="eastAsia" w:asciiTheme="minorEastAsia" w:hAnsiTheme="minorEastAsia" w:eastAsiaTheme="minorEastAsia" w:cstheme="minorEastAsia"/>
          <w:sz w:val="24"/>
          <w:szCs w:val="24"/>
        </w:rPr>
        <w:fldChar w:fldCharType="separate"/>
      </w:r>
      <w:r>
        <w:rPr>
          <w:rFonts w:hint="default" w:asciiTheme="minorEastAsia" w:hAnsiTheme="minorEastAsia" w:eastAsiaTheme="minorEastAsia"/>
          <w:sz w:val="24"/>
          <w:szCs w:val="24"/>
        </w:rPr>
        <w:t xml:space="preserve">第七章 </w:t>
      </w:r>
      <w:r>
        <w:rPr>
          <w:rFonts w:hint="eastAsia" w:asciiTheme="minorEastAsia" w:hAnsiTheme="minorEastAsia" w:eastAsiaTheme="minorEastAsia"/>
          <w:sz w:val="24"/>
          <w:szCs w:val="24"/>
        </w:rPr>
        <w:t>附则</w:t>
      </w:r>
      <w:r>
        <w:rPr>
          <w:sz w:val="24"/>
          <w:szCs w:val="24"/>
        </w:rPr>
        <w:tab/>
      </w:r>
      <w:r>
        <w:rPr>
          <w:sz w:val="24"/>
          <w:szCs w:val="24"/>
        </w:rPr>
        <w:fldChar w:fldCharType="begin"/>
      </w:r>
      <w:r>
        <w:rPr>
          <w:sz w:val="24"/>
          <w:szCs w:val="24"/>
        </w:rPr>
        <w:instrText xml:space="preserve"> PAGEREF _Toc23121 \h </w:instrText>
      </w:r>
      <w:r>
        <w:rPr>
          <w:sz w:val="24"/>
          <w:szCs w:val="24"/>
        </w:rPr>
        <w:fldChar w:fldCharType="separate"/>
      </w:r>
      <w:r>
        <w:rPr>
          <w:sz w:val="24"/>
          <w:szCs w:val="24"/>
        </w:rPr>
        <w:t>- 22 -</w:t>
      </w:r>
      <w:r>
        <w:rPr>
          <w:sz w:val="24"/>
          <w:szCs w:val="24"/>
        </w:rPr>
        <w:fldChar w:fldCharType="end"/>
      </w:r>
      <w:r>
        <w:rPr>
          <w:rFonts w:hint="eastAsia" w:asciiTheme="minorEastAsia" w:hAnsiTheme="minorEastAsia" w:eastAsiaTheme="minorEastAsia" w:cstheme="minorEastAsia"/>
          <w:sz w:val="24"/>
          <w:szCs w:val="24"/>
        </w:rPr>
        <w:fldChar w:fldCharType="end"/>
      </w:r>
    </w:p>
    <w:p w14:paraId="7475CE68">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_Toc22858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第二十二条 </w:t>
      </w:r>
      <w:r>
        <w:rPr>
          <w:rFonts w:hint="eastAsia"/>
          <w:sz w:val="24"/>
          <w:szCs w:val="24"/>
        </w:rPr>
        <w:t>规划成果</w:t>
      </w:r>
      <w:r>
        <w:rPr>
          <w:sz w:val="24"/>
          <w:szCs w:val="24"/>
        </w:rPr>
        <w:tab/>
      </w:r>
      <w:r>
        <w:rPr>
          <w:sz w:val="24"/>
          <w:szCs w:val="24"/>
        </w:rPr>
        <w:fldChar w:fldCharType="begin"/>
      </w:r>
      <w:r>
        <w:rPr>
          <w:sz w:val="24"/>
          <w:szCs w:val="24"/>
        </w:rPr>
        <w:instrText xml:space="preserve"> PAGEREF _Toc22858 \h </w:instrText>
      </w:r>
      <w:r>
        <w:rPr>
          <w:sz w:val="24"/>
          <w:szCs w:val="24"/>
        </w:rPr>
        <w:fldChar w:fldCharType="separate"/>
      </w:r>
      <w:r>
        <w:rPr>
          <w:sz w:val="24"/>
          <w:szCs w:val="24"/>
        </w:rPr>
        <w:t>- 22 -</w:t>
      </w:r>
      <w:r>
        <w:rPr>
          <w:sz w:val="24"/>
          <w:szCs w:val="24"/>
        </w:rPr>
        <w:fldChar w:fldCharType="end"/>
      </w:r>
      <w:r>
        <w:rPr>
          <w:rFonts w:hint="eastAsia" w:asciiTheme="minorEastAsia" w:hAnsiTheme="minorEastAsia" w:eastAsiaTheme="minorEastAsia" w:cstheme="minorEastAsia"/>
          <w:sz w:val="24"/>
          <w:szCs w:val="24"/>
        </w:rPr>
        <w:fldChar w:fldCharType="end"/>
      </w:r>
    </w:p>
    <w:p w14:paraId="2F9ADB76">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_Toc31012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第二十三条 </w:t>
      </w:r>
      <w:r>
        <w:rPr>
          <w:rFonts w:hint="eastAsia"/>
          <w:sz w:val="24"/>
          <w:szCs w:val="24"/>
        </w:rPr>
        <w:t>规划解释</w:t>
      </w:r>
      <w:r>
        <w:rPr>
          <w:sz w:val="24"/>
          <w:szCs w:val="24"/>
        </w:rPr>
        <w:tab/>
      </w:r>
      <w:r>
        <w:rPr>
          <w:sz w:val="24"/>
          <w:szCs w:val="24"/>
        </w:rPr>
        <w:fldChar w:fldCharType="begin"/>
      </w:r>
      <w:r>
        <w:rPr>
          <w:sz w:val="24"/>
          <w:szCs w:val="24"/>
        </w:rPr>
        <w:instrText xml:space="preserve"> PAGEREF _Toc31012 \h </w:instrText>
      </w:r>
      <w:r>
        <w:rPr>
          <w:sz w:val="24"/>
          <w:szCs w:val="24"/>
        </w:rPr>
        <w:fldChar w:fldCharType="separate"/>
      </w:r>
      <w:r>
        <w:rPr>
          <w:sz w:val="24"/>
          <w:szCs w:val="24"/>
        </w:rPr>
        <w:t>- 22 -</w:t>
      </w:r>
      <w:r>
        <w:rPr>
          <w:sz w:val="24"/>
          <w:szCs w:val="24"/>
        </w:rPr>
        <w:fldChar w:fldCharType="end"/>
      </w:r>
      <w:r>
        <w:rPr>
          <w:rFonts w:hint="eastAsia" w:asciiTheme="minorEastAsia" w:hAnsiTheme="minorEastAsia" w:eastAsiaTheme="minorEastAsia" w:cstheme="minorEastAsia"/>
          <w:sz w:val="24"/>
          <w:szCs w:val="24"/>
        </w:rPr>
        <w:fldChar w:fldCharType="end"/>
      </w:r>
    </w:p>
    <w:p w14:paraId="4605409D">
      <w:pPr>
        <w:pStyle w:val="31"/>
        <w:keepNext w:val="0"/>
        <w:keepLines w:val="0"/>
        <w:pageBreakBefore w:val="0"/>
        <w:widowControl w:val="0"/>
        <w:tabs>
          <w:tab w:val="right" w:leader="dot" w:pos="8958"/>
        </w:tabs>
        <w:kinsoku/>
        <w:wordWrap/>
        <w:overflowPunct/>
        <w:topLinePunct w:val="0"/>
        <w:autoSpaceDE/>
        <w:autoSpaceDN/>
        <w:bidi w:val="0"/>
        <w:adjustRightInd/>
        <w:snapToGrid/>
        <w:spacing w:line="288" w:lineRule="auto"/>
        <w:textAlignment w:val="auto"/>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_Toc29365 </w:instrText>
      </w:r>
      <w:r>
        <w:rPr>
          <w:rFonts w:hint="eastAsia" w:asciiTheme="minorEastAsia" w:hAnsiTheme="minorEastAsia" w:eastAsiaTheme="minorEastAsia" w:cstheme="minorEastAsia"/>
          <w:sz w:val="24"/>
          <w:szCs w:val="24"/>
        </w:rPr>
        <w:fldChar w:fldCharType="separate"/>
      </w:r>
      <w:r>
        <w:rPr>
          <w:rFonts w:hint="default"/>
          <w:sz w:val="24"/>
          <w:szCs w:val="24"/>
        </w:rPr>
        <w:t xml:space="preserve">第二十四条 </w:t>
      </w:r>
      <w:r>
        <w:rPr>
          <w:rFonts w:hint="eastAsia"/>
          <w:sz w:val="24"/>
          <w:szCs w:val="24"/>
        </w:rPr>
        <w:t>规划效力</w:t>
      </w:r>
      <w:r>
        <w:rPr>
          <w:sz w:val="24"/>
          <w:szCs w:val="24"/>
        </w:rPr>
        <w:tab/>
      </w:r>
      <w:r>
        <w:rPr>
          <w:sz w:val="24"/>
          <w:szCs w:val="24"/>
        </w:rPr>
        <w:fldChar w:fldCharType="begin"/>
      </w:r>
      <w:r>
        <w:rPr>
          <w:sz w:val="24"/>
          <w:szCs w:val="24"/>
        </w:rPr>
        <w:instrText xml:space="preserve"> PAGEREF _Toc29365 \h </w:instrText>
      </w:r>
      <w:r>
        <w:rPr>
          <w:sz w:val="24"/>
          <w:szCs w:val="24"/>
        </w:rPr>
        <w:fldChar w:fldCharType="separate"/>
      </w:r>
      <w:r>
        <w:rPr>
          <w:sz w:val="24"/>
          <w:szCs w:val="24"/>
        </w:rPr>
        <w:t>- 22 -</w:t>
      </w:r>
      <w:r>
        <w:rPr>
          <w:sz w:val="24"/>
          <w:szCs w:val="24"/>
        </w:rPr>
        <w:fldChar w:fldCharType="end"/>
      </w:r>
      <w:r>
        <w:rPr>
          <w:rFonts w:hint="eastAsia" w:asciiTheme="minorEastAsia" w:hAnsiTheme="minorEastAsia" w:eastAsiaTheme="minorEastAsia" w:cstheme="minorEastAsia"/>
          <w:sz w:val="24"/>
          <w:szCs w:val="24"/>
        </w:rPr>
        <w:fldChar w:fldCharType="end"/>
      </w:r>
    </w:p>
    <w:p w14:paraId="053A2631">
      <w:pPr>
        <w:pStyle w:val="2"/>
        <w:keepNext w:val="0"/>
        <w:keepLines w:val="0"/>
        <w:pageBreakBefore/>
        <w:widowControl/>
        <w:numPr>
          <w:ilvl w:val="0"/>
          <w:numId w:val="5"/>
        </w:numPr>
        <w:kinsoku/>
        <w:wordWrap/>
        <w:overflowPunct/>
        <w:topLinePunct w:val="0"/>
        <w:autoSpaceDE/>
        <w:autoSpaceDN/>
        <w:bidi w:val="0"/>
        <w:adjustRightInd/>
        <w:snapToGrid/>
        <w:spacing w:line="312" w:lineRule="auto"/>
        <w:ind w:hanging="442"/>
        <w:jc w:val="center"/>
        <w:textAlignment w:val="auto"/>
      </w:pPr>
      <w:r>
        <w:rPr>
          <w:rFonts w:hint="eastAsia" w:asciiTheme="minorEastAsia" w:hAnsiTheme="minorEastAsia" w:eastAsiaTheme="minorEastAsia" w:cstheme="minorEastAsia"/>
          <w:sz w:val="24"/>
          <w:szCs w:val="24"/>
        </w:rPr>
        <w:fldChar w:fldCharType="end"/>
      </w:r>
      <w:bookmarkStart w:id="1" w:name="_Toc516"/>
      <w:r>
        <w:rPr>
          <w:rFonts w:hint="eastAsia" w:asciiTheme="minorEastAsia" w:hAnsiTheme="minorEastAsia" w:eastAsiaTheme="minorEastAsia"/>
          <w:szCs w:val="32"/>
        </w:rPr>
        <w:t>总则</w:t>
      </w:r>
      <w:bookmarkEnd w:id="1"/>
    </w:p>
    <w:p w14:paraId="504342CF">
      <w:pPr>
        <w:pStyle w:val="3"/>
        <w:spacing w:line="415" w:lineRule="auto"/>
        <w:ind w:left="0" w:firstLine="0"/>
      </w:pPr>
      <w:bookmarkStart w:id="2" w:name="_Toc8228440"/>
      <w:bookmarkStart w:id="3" w:name="_Toc155284120"/>
      <w:bookmarkStart w:id="4" w:name="_Toc31775"/>
      <w:r>
        <w:rPr>
          <w:rFonts w:hint="eastAsia"/>
        </w:rPr>
        <w:t>规划背景</w:t>
      </w:r>
      <w:bookmarkEnd w:id="2"/>
      <w:bookmarkEnd w:id="3"/>
      <w:bookmarkEnd w:id="4"/>
    </w:p>
    <w:p w14:paraId="1AB2E7B7">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气象探测数据是支撑气象预报精准度、保障气候分析科学性、提升气象服务实用性、推动气象科学研究突破的核心基础，其数据质量的准确性与可靠性，完全依赖于气象探测环境的优质稳定。当前，玉溪市正处于城镇化快速推进与产业布局深度调整的重要时期，城市建设空间持续扩张、产业项目陆续落地过程中，部分气象观测站周边已出现建筑物遮挡现象，电磁干扰问题逐步加剧，天气雷达探测空域也面临潜在侵占与干扰风险，直接威胁气象探测数据质量。在此形势下，加强气象探测环境保护，不仅是维护气象数据真实性的必然要求，更是保障全市经济社会高质量发展、筑牢生态安全防线、守护民生安全底线的关键举措，具有重要的现实意义与战略价值。​</w:t>
      </w:r>
    </w:p>
    <w:p w14:paraId="354C5FF1">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从玉溪市气象探测环境保护工作基础来看，元江国家基准气候站及玉溪、澄江、易门、峨山、新平</w:t>
      </w:r>
      <w:r>
        <w:rPr>
          <w:rFonts w:hint="eastAsia" w:asciiTheme="minorEastAsia" w:hAnsiTheme="minorEastAsia" w:eastAsiaTheme="minorEastAsia"/>
          <w:color w:val="auto"/>
          <w:kern w:val="0"/>
          <w:sz w:val="24"/>
          <w:lang w:val="en-US" w:eastAsia="zh-CN"/>
        </w:rPr>
        <w:t>5</w:t>
      </w:r>
      <w:r>
        <w:rPr>
          <w:rFonts w:hint="eastAsia" w:asciiTheme="minorEastAsia" w:hAnsiTheme="minorEastAsia" w:eastAsiaTheme="minorEastAsia"/>
          <w:kern w:val="0"/>
          <w:sz w:val="24"/>
        </w:rPr>
        <w:t>个国家基本气象站，此前已编制气象探测环境保护专项规划，为早期探测环境管控提供了依据。但近年来，多重关键因素叠加，导致原有规划已无法适配当前保护需求：一是观测站等级升级，2023年1月澄江、峨山、华宁、江川、通海、易门、</w:t>
      </w:r>
      <w:r>
        <w:rPr>
          <w:rFonts w:hint="eastAsia" w:asciiTheme="minorEastAsia" w:hAnsiTheme="minorEastAsia" w:eastAsiaTheme="minorEastAsia"/>
          <w:color w:val="auto"/>
          <w:kern w:val="0"/>
          <w:sz w:val="24"/>
        </w:rPr>
        <w:t>新平7个</w:t>
      </w:r>
      <w:r>
        <w:rPr>
          <w:rFonts w:hint="eastAsia" w:asciiTheme="minorEastAsia" w:hAnsiTheme="minorEastAsia" w:eastAsiaTheme="minorEastAsia"/>
          <w:kern w:val="0"/>
          <w:sz w:val="24"/>
        </w:rPr>
        <w:t>国家一般气象站正式升级为国家基本气象站，按照规范要求，其探测环境保护标准与管控强度</w:t>
      </w:r>
      <w:r>
        <w:rPr>
          <w:rFonts w:hint="eastAsia" w:asciiTheme="minorEastAsia" w:hAnsiTheme="minorEastAsia" w:eastAsiaTheme="minorEastAsia"/>
          <w:color w:val="auto"/>
          <w:kern w:val="0"/>
          <w:sz w:val="24"/>
        </w:rPr>
        <w:t>需同步升级</w:t>
      </w:r>
      <w:r>
        <w:rPr>
          <w:rFonts w:hint="eastAsia" w:asciiTheme="minorEastAsia" w:hAnsiTheme="minorEastAsia" w:eastAsiaTheme="minorEastAsia"/>
          <w:kern w:val="0"/>
          <w:sz w:val="24"/>
        </w:rPr>
        <w:t>；二是标准体系更新，新的气象探测环境保护国家标准正式实施，对观测场障碍物高度控制、电磁干扰限值等指标提出更严格、更细化的要求；三是规划体系衔接需求，全国统一的国土空间规划体系逐步建立，气</w:t>
      </w:r>
      <w:bookmarkStart w:id="43" w:name="_GoBack"/>
      <w:bookmarkEnd w:id="43"/>
      <w:r>
        <w:rPr>
          <w:rFonts w:hint="eastAsia" w:asciiTheme="minorEastAsia" w:hAnsiTheme="minorEastAsia" w:eastAsiaTheme="minorEastAsia"/>
          <w:kern w:val="0"/>
          <w:sz w:val="24"/>
        </w:rPr>
        <w:t>象探测环境保护规划需与《玉溪市国土空间总体规划（2021-2035年）》及各类详细规划深度融合，才能实现空间管控协同；四是保护对象缺失，此前规划</w:t>
      </w:r>
      <w:r>
        <w:rPr>
          <w:rFonts w:hint="eastAsia" w:asciiTheme="minorEastAsia" w:hAnsiTheme="minorEastAsia" w:eastAsiaTheme="minorEastAsia"/>
          <w:kern w:val="0"/>
          <w:sz w:val="24"/>
          <w:lang w:val="en-US" w:eastAsia="zh-CN"/>
        </w:rPr>
        <w:t>仅</w:t>
      </w:r>
      <w:r>
        <w:rPr>
          <w:rFonts w:hint="eastAsia" w:asciiTheme="minorEastAsia" w:hAnsiTheme="minorEastAsia" w:eastAsiaTheme="minorEastAsia"/>
          <w:kern w:val="0"/>
          <w:sz w:val="24"/>
        </w:rPr>
        <w:t>覆盖地面气象观测站探测环境保护</w:t>
      </w:r>
      <w:r>
        <w:rPr>
          <w:rFonts w:hint="eastAsia" w:asciiTheme="minorEastAsia" w:hAnsiTheme="minorEastAsia" w:eastAsiaTheme="minorEastAsia"/>
          <w:kern w:val="0"/>
          <w:sz w:val="24"/>
          <w:lang w:val="en-US" w:eastAsia="zh-CN"/>
        </w:rPr>
        <w:t>管控</w:t>
      </w:r>
      <w:r>
        <w:rPr>
          <w:rFonts w:hint="eastAsia" w:asciiTheme="minorEastAsia" w:hAnsiTheme="minorEastAsia" w:eastAsiaTheme="minorEastAsia"/>
          <w:kern w:val="0"/>
          <w:sz w:val="24"/>
        </w:rPr>
        <w:t>，未纳入天气雷达站探测环境保护</w:t>
      </w:r>
      <w:r>
        <w:rPr>
          <w:rFonts w:hint="eastAsia" w:asciiTheme="minorEastAsia" w:hAnsiTheme="minorEastAsia" w:eastAsiaTheme="minorEastAsia"/>
          <w:kern w:val="0"/>
          <w:sz w:val="24"/>
          <w:lang w:val="en-US" w:eastAsia="zh-CN"/>
        </w:rPr>
        <w:t>管控</w:t>
      </w:r>
      <w:r>
        <w:rPr>
          <w:rFonts w:hint="eastAsia" w:asciiTheme="minorEastAsia" w:hAnsiTheme="minorEastAsia" w:eastAsiaTheme="minorEastAsia"/>
          <w:kern w:val="0"/>
          <w:sz w:val="24"/>
        </w:rPr>
        <w:t>内容，而天气雷达作为监测强对流、暴雨等灾害性天气的核心设施，其探测空域安全已成为气象防灾减灾的重要短板。上述变化使得原有规划在保护范围、管控标准、覆盖对象等方面均存在明显局限性，编制新的专项规划已迫在眉睫。</w:t>
      </w:r>
    </w:p>
    <w:p w14:paraId="43714097">
      <w:pPr>
        <w:pStyle w:val="3"/>
        <w:keepNext w:val="0"/>
        <w:keepLines w:val="0"/>
        <w:widowControl/>
        <w:spacing w:line="415" w:lineRule="auto"/>
        <w:ind w:left="0" w:firstLine="0"/>
      </w:pPr>
      <w:bookmarkStart w:id="5" w:name="_Toc20105"/>
      <w:r>
        <w:rPr>
          <w:rFonts w:hint="eastAsia"/>
        </w:rPr>
        <w:t>指导思想</w:t>
      </w:r>
      <w:bookmarkEnd w:id="5"/>
    </w:p>
    <w:p w14:paraId="1FAE5F43">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以习近平新时代中国特色社会主义思想为导向，深入贯彻党的二十大精神，全面落实习近平总书记关于气象工作的重要指示精神以及《气象高质量发展纲要（2022-2035年）》。立足于新发展阶段，秉持新发展理念，遵循“依法保护、科学管控、统筹协调、长效保障”的基本准则，以提高气象探测数据质量为核心，构建“空间管控、设施保护、干扰防治”三位一体的保护机制，达成气象探测环境保护与城市高质量发展、生态安全保障的有机融合。</w:t>
      </w:r>
    </w:p>
    <w:p w14:paraId="1AAAFCF4">
      <w:pPr>
        <w:pStyle w:val="3"/>
        <w:keepNext w:val="0"/>
        <w:keepLines w:val="0"/>
        <w:widowControl/>
        <w:spacing w:line="415" w:lineRule="auto"/>
        <w:ind w:left="0" w:firstLine="0"/>
      </w:pPr>
      <w:bookmarkStart w:id="6" w:name="_Toc21969"/>
      <w:bookmarkStart w:id="7" w:name="_Toc163030667"/>
      <w:r>
        <w:t>规划</w:t>
      </w:r>
      <w:r>
        <w:rPr>
          <w:rFonts w:hint="eastAsia"/>
        </w:rPr>
        <w:t>依据</w:t>
      </w:r>
      <w:bookmarkEnd w:id="6"/>
      <w:bookmarkEnd w:id="7"/>
    </w:p>
    <w:p w14:paraId="2460786B">
      <w:pPr>
        <w:pStyle w:val="4"/>
        <w:numPr>
          <w:ilvl w:val="0"/>
          <w:numId w:val="6"/>
        </w:numPr>
      </w:pPr>
      <w:r>
        <w:rPr>
          <w:rFonts w:hint="eastAsia"/>
        </w:rPr>
        <w:t>法律法规</w:t>
      </w:r>
    </w:p>
    <w:p w14:paraId="67A2D000">
      <w:pPr>
        <w:pStyle w:val="57"/>
        <w:numPr>
          <w:ilvl w:val="0"/>
          <w:numId w:val="7"/>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《中华人民共和国气象法》（2016年修正）</w:t>
      </w:r>
    </w:p>
    <w:p w14:paraId="576EE3DF">
      <w:pPr>
        <w:pStyle w:val="57"/>
        <w:numPr>
          <w:ilvl w:val="0"/>
          <w:numId w:val="7"/>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《中华人民共和国城乡规划法》（2019年修正）</w:t>
      </w:r>
    </w:p>
    <w:p w14:paraId="7770E453">
      <w:pPr>
        <w:pStyle w:val="57"/>
        <w:numPr>
          <w:ilvl w:val="0"/>
          <w:numId w:val="7"/>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《气象设施和气象探测环境保护条例》（国务院令第623号，2016年修订）</w:t>
      </w:r>
    </w:p>
    <w:p w14:paraId="65A58EBB">
      <w:pPr>
        <w:pStyle w:val="57"/>
        <w:numPr>
          <w:ilvl w:val="0"/>
          <w:numId w:val="7"/>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《新建扩建改建建设工程避免危害气象探测环境行政许可管理办法》（2020年修订）；</w:t>
      </w:r>
    </w:p>
    <w:p w14:paraId="42F6E2D4">
      <w:pPr>
        <w:pStyle w:val="57"/>
        <w:numPr>
          <w:ilvl w:val="0"/>
          <w:numId w:val="7"/>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《气象台站迁建行政许可管理办法》（2020年修订）</w:t>
      </w:r>
    </w:p>
    <w:p w14:paraId="51B0EC31">
      <w:pPr>
        <w:pStyle w:val="57"/>
        <w:numPr>
          <w:ilvl w:val="0"/>
          <w:numId w:val="7"/>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《云南省气象条例》（20</w:t>
      </w:r>
      <w:r>
        <w:rPr>
          <w:rFonts w:hint="eastAsia" w:asciiTheme="minorEastAsia" w:hAnsiTheme="minorEastAsia" w:eastAsiaTheme="minorEastAsia"/>
          <w:kern w:val="0"/>
          <w:sz w:val="24"/>
          <w:lang w:val="en-US" w:eastAsia="zh-CN"/>
        </w:rPr>
        <w:t>18</w:t>
      </w:r>
      <w:r>
        <w:rPr>
          <w:rFonts w:hint="eastAsia" w:asciiTheme="minorEastAsia" w:hAnsiTheme="minorEastAsia" w:eastAsiaTheme="minorEastAsia"/>
          <w:kern w:val="0"/>
          <w:sz w:val="24"/>
        </w:rPr>
        <w:t>年修正）</w:t>
      </w:r>
    </w:p>
    <w:p w14:paraId="51C85B43">
      <w:pPr>
        <w:pStyle w:val="57"/>
        <w:numPr>
          <w:ilvl w:val="0"/>
          <w:numId w:val="7"/>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《云南省气象设施和气象探测环境保护办法》（云南省人民政府令第207号，2017年施行）</w:t>
      </w:r>
    </w:p>
    <w:p w14:paraId="2A19E8B4">
      <w:pPr>
        <w:pStyle w:val="57"/>
        <w:numPr>
          <w:ilvl w:val="0"/>
          <w:numId w:val="7"/>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《云南省气象灾害防御条例》（2018年修正）</w:t>
      </w:r>
    </w:p>
    <w:p w14:paraId="4996FB4E">
      <w:pPr>
        <w:pStyle w:val="57"/>
        <w:numPr>
          <w:ilvl w:val="0"/>
          <w:numId w:val="7"/>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其他相关法律规范</w:t>
      </w:r>
    </w:p>
    <w:p w14:paraId="7068F544">
      <w:pPr>
        <w:pStyle w:val="4"/>
        <w:numPr>
          <w:ilvl w:val="0"/>
          <w:numId w:val="6"/>
        </w:numPr>
      </w:pPr>
      <w:r>
        <w:rPr>
          <w:rFonts w:hint="eastAsia"/>
        </w:rPr>
        <w:t>技术标准</w:t>
      </w:r>
    </w:p>
    <w:p w14:paraId="0263A837">
      <w:pPr>
        <w:pStyle w:val="57"/>
        <w:numPr>
          <w:ilvl w:val="0"/>
          <w:numId w:val="8"/>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《气象探测环境保护规范地面气象观测站》（GB31221-2014）</w:t>
      </w:r>
    </w:p>
    <w:p w14:paraId="6CDEBBCE">
      <w:pPr>
        <w:pStyle w:val="57"/>
        <w:numPr>
          <w:ilvl w:val="0"/>
          <w:numId w:val="8"/>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《气象探测环境保护规范天气雷达站》（GB31223-2014）</w:t>
      </w:r>
    </w:p>
    <w:p w14:paraId="7FEF9519">
      <w:pPr>
        <w:pStyle w:val="57"/>
        <w:numPr>
          <w:ilvl w:val="0"/>
          <w:numId w:val="8"/>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《天气雷达选址规定》（GB/T37411-2019）</w:t>
      </w:r>
    </w:p>
    <w:p w14:paraId="1B38FEBD">
      <w:pPr>
        <w:pStyle w:val="57"/>
        <w:numPr>
          <w:ilvl w:val="0"/>
          <w:numId w:val="8"/>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《地面气象观测站气象探测环境调查评估方法》（GB/T35219-2017）</w:t>
      </w:r>
    </w:p>
    <w:p w14:paraId="546C434C">
      <w:pPr>
        <w:pStyle w:val="57"/>
        <w:numPr>
          <w:ilvl w:val="0"/>
          <w:numId w:val="8"/>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《地球站电磁环境保护要求》（GB/T13615-2009）</w:t>
      </w:r>
    </w:p>
    <w:p w14:paraId="3738368C">
      <w:pPr>
        <w:pStyle w:val="57"/>
        <w:numPr>
          <w:ilvl w:val="0"/>
          <w:numId w:val="8"/>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气象观测站分类及命名规则（QX/T485-2019）</w:t>
      </w:r>
    </w:p>
    <w:p w14:paraId="7572342D">
      <w:pPr>
        <w:pStyle w:val="57"/>
        <w:numPr>
          <w:ilvl w:val="0"/>
          <w:numId w:val="8"/>
        </w:numPr>
        <w:spacing w:line="360" w:lineRule="auto"/>
        <w:ind w:firstLineChars="0"/>
        <w:rPr>
          <w:rFonts w:asciiTheme="minorEastAsia" w:hAnsiTheme="minorEastAsia" w:eastAsiaTheme="minorEastAsia"/>
          <w:color w:val="FF0000"/>
          <w:kern w:val="0"/>
          <w:sz w:val="24"/>
        </w:rPr>
      </w:pPr>
      <w:r>
        <w:rPr>
          <w:rFonts w:hint="eastAsia" w:asciiTheme="minorEastAsia" w:hAnsiTheme="minorEastAsia" w:eastAsiaTheme="minorEastAsia"/>
          <w:color w:val="auto"/>
          <w:kern w:val="0"/>
          <w:sz w:val="24"/>
        </w:rPr>
        <w:t>《S波段双线偏振多普勒天气雷达》（QX/T464-2018）</w:t>
      </w:r>
    </w:p>
    <w:p w14:paraId="1CB3354F">
      <w:pPr>
        <w:pStyle w:val="57"/>
        <w:numPr>
          <w:ilvl w:val="0"/>
          <w:numId w:val="8"/>
        </w:numPr>
        <w:spacing w:line="360" w:lineRule="auto"/>
        <w:ind w:firstLineChars="0"/>
        <w:rPr>
          <w:rFonts w:asciiTheme="minorEastAsia" w:hAnsiTheme="minorEastAsia" w:eastAsiaTheme="minorEastAsia"/>
          <w:color w:val="auto"/>
          <w:kern w:val="0"/>
          <w:sz w:val="24"/>
        </w:rPr>
      </w:pPr>
      <w:r>
        <w:rPr>
          <w:rFonts w:hint="eastAsia" w:asciiTheme="minorEastAsia" w:hAnsiTheme="minorEastAsia" w:eastAsiaTheme="minorEastAsia"/>
          <w:color w:val="auto"/>
          <w:kern w:val="0"/>
          <w:sz w:val="24"/>
        </w:rPr>
        <w:t>《国土空间规划“一张图”实施监督管理信息系统技术规范》（GB/T39972-2021）</w:t>
      </w:r>
    </w:p>
    <w:p w14:paraId="216CE675">
      <w:pPr>
        <w:pStyle w:val="57"/>
        <w:numPr>
          <w:ilvl w:val="0"/>
          <w:numId w:val="8"/>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《云南省专项规划入库技术标准（2023版）》</w:t>
      </w:r>
    </w:p>
    <w:p w14:paraId="600E85CA">
      <w:pPr>
        <w:pStyle w:val="57"/>
        <w:numPr>
          <w:ilvl w:val="0"/>
          <w:numId w:val="8"/>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《国土空间调查、规划、用途管制用地用海分类指南》（2023年11月）</w:t>
      </w:r>
    </w:p>
    <w:p w14:paraId="5E1B371C">
      <w:pPr>
        <w:pStyle w:val="57"/>
        <w:numPr>
          <w:ilvl w:val="0"/>
          <w:numId w:val="8"/>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其他相关技术标准</w:t>
      </w:r>
    </w:p>
    <w:p w14:paraId="10BE9FB0">
      <w:pPr>
        <w:pStyle w:val="4"/>
        <w:numPr>
          <w:ilvl w:val="0"/>
          <w:numId w:val="6"/>
        </w:numPr>
      </w:pPr>
      <w:r>
        <w:rPr>
          <w:rFonts w:hint="eastAsia"/>
        </w:rPr>
        <w:t>相关规划</w:t>
      </w:r>
    </w:p>
    <w:p w14:paraId="20CB3522">
      <w:pPr>
        <w:pStyle w:val="57"/>
        <w:numPr>
          <w:ilvl w:val="0"/>
          <w:numId w:val="9"/>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《玉溪市国土空间总体规划（2021-2035年）》</w:t>
      </w:r>
    </w:p>
    <w:p w14:paraId="217D61CF">
      <w:pPr>
        <w:pStyle w:val="57"/>
        <w:numPr>
          <w:ilvl w:val="0"/>
          <w:numId w:val="9"/>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玉溪市各县（区）国土空间总体规划（2021-2035年）</w:t>
      </w:r>
    </w:p>
    <w:p w14:paraId="515F434F">
      <w:pPr>
        <w:pStyle w:val="57"/>
        <w:numPr>
          <w:ilvl w:val="0"/>
          <w:numId w:val="9"/>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《气象高质量发展纲要（</w:t>
      </w:r>
      <w:r>
        <w:rPr>
          <w:rFonts w:asciiTheme="minorEastAsia" w:hAnsiTheme="minorEastAsia" w:eastAsiaTheme="minorEastAsia"/>
          <w:kern w:val="0"/>
          <w:sz w:val="24"/>
        </w:rPr>
        <w:t>2022-2035</w:t>
      </w:r>
      <w:r>
        <w:rPr>
          <w:rFonts w:hint="eastAsia" w:asciiTheme="minorEastAsia" w:hAnsiTheme="minorEastAsia" w:eastAsiaTheme="minorEastAsia"/>
          <w:kern w:val="0"/>
          <w:sz w:val="24"/>
        </w:rPr>
        <w:t>年）》</w:t>
      </w:r>
    </w:p>
    <w:p w14:paraId="6B8182BE">
      <w:pPr>
        <w:pStyle w:val="57"/>
        <w:numPr>
          <w:ilvl w:val="0"/>
          <w:numId w:val="9"/>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《玉溪市“十四五”生态建设和环境保护规划》</w:t>
      </w:r>
    </w:p>
    <w:p w14:paraId="711FFCBF">
      <w:pPr>
        <w:pStyle w:val="57"/>
        <w:numPr>
          <w:ilvl w:val="0"/>
          <w:numId w:val="9"/>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《玉溪市加快推进气象高质量发展的实施方案》（玉政办通〔2022〕31号）</w:t>
      </w:r>
    </w:p>
    <w:p w14:paraId="77F57576">
      <w:pPr>
        <w:pStyle w:val="57"/>
        <w:numPr>
          <w:ilvl w:val="0"/>
          <w:numId w:val="9"/>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《玉溪国家基本气象站气象探测环境保护专项规划》（玉红政办发〔2018〕41号）</w:t>
      </w:r>
    </w:p>
    <w:p w14:paraId="7AC46FD9">
      <w:pPr>
        <w:pStyle w:val="57"/>
        <w:numPr>
          <w:ilvl w:val="0"/>
          <w:numId w:val="9"/>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《X波段双线偏振一维平面相控阵天气雷达系统功能规格需求书（修订）》（2024年12月）</w:t>
      </w:r>
    </w:p>
    <w:p w14:paraId="6846DC80">
      <w:pPr>
        <w:pStyle w:val="57"/>
        <w:numPr>
          <w:ilvl w:val="0"/>
          <w:numId w:val="9"/>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《微小型X波段双线偏振多普勒天气雷达系统功能规格需求书（试行）》</w:t>
      </w:r>
    </w:p>
    <w:p w14:paraId="1ABB39F9">
      <w:pPr>
        <w:pStyle w:val="57"/>
        <w:numPr>
          <w:ilvl w:val="0"/>
          <w:numId w:val="9"/>
        </w:numPr>
        <w:spacing w:line="360" w:lineRule="auto"/>
        <w:ind w:firstLineChars="0"/>
        <w:rPr>
          <w:rFonts w:asciiTheme="minorEastAsia" w:hAnsiTheme="minorEastAsia" w:eastAsiaTheme="minorEastAsia"/>
          <w:color w:val="auto"/>
          <w:kern w:val="0"/>
          <w:sz w:val="24"/>
        </w:rPr>
      </w:pPr>
      <w:r>
        <w:rPr>
          <w:rFonts w:hint="eastAsia" w:asciiTheme="minorEastAsia" w:hAnsiTheme="minorEastAsia" w:eastAsiaTheme="minorEastAsia"/>
          <w:color w:val="auto"/>
          <w:kern w:val="0"/>
          <w:sz w:val="24"/>
        </w:rPr>
        <w:t>CINRAD/SA-D雷达参数</w:t>
      </w:r>
    </w:p>
    <w:p w14:paraId="6721C320">
      <w:pPr>
        <w:pStyle w:val="57"/>
        <w:numPr>
          <w:ilvl w:val="0"/>
          <w:numId w:val="9"/>
        </w:numPr>
        <w:spacing w:line="360" w:lineRule="auto"/>
        <w:ind w:firstLineChars="0"/>
        <w:rPr>
          <w:rFonts w:asciiTheme="minorEastAsia" w:hAnsiTheme="minorEastAsia" w:eastAsiaTheme="minorEastAsia"/>
          <w:kern w:val="0"/>
          <w:sz w:val="24"/>
        </w:rPr>
      </w:pPr>
      <w:r>
        <w:rPr>
          <w:rFonts w:hint="eastAsia" w:asciiTheme="minorEastAsia" w:hAnsiTheme="minorEastAsia" w:eastAsiaTheme="minorEastAsia"/>
          <w:kern w:val="0"/>
          <w:sz w:val="24"/>
        </w:rPr>
        <w:t>其他相关规划及相关基础资料。</w:t>
      </w:r>
    </w:p>
    <w:p w14:paraId="4695DCBB">
      <w:pPr>
        <w:pStyle w:val="3"/>
        <w:keepNext w:val="0"/>
        <w:keepLines w:val="0"/>
        <w:widowControl/>
        <w:spacing w:line="415" w:lineRule="auto"/>
        <w:ind w:left="0" w:firstLine="0"/>
        <w:rPr>
          <w:lang w:val="en-US" w:eastAsia="zh-CN"/>
        </w:rPr>
      </w:pPr>
      <w:bookmarkStart w:id="8" w:name="_Toc4327"/>
      <w:bookmarkStart w:id="9" w:name="_Toc16980"/>
      <w:r>
        <w:rPr>
          <w:rFonts w:hint="eastAsia"/>
          <w:lang w:val="en-US" w:eastAsia="zh-CN"/>
        </w:rPr>
        <w:t>规划原则</w:t>
      </w:r>
      <w:bookmarkEnd w:id="8"/>
      <w:bookmarkEnd w:id="9"/>
    </w:p>
    <w:p w14:paraId="4ABB31E2">
      <w:pPr>
        <w:keepNext w:val="0"/>
        <w:keepLines w:val="0"/>
        <w:pageBreakBefore w:val="0"/>
        <w:widowControl w:val="0"/>
        <w:numPr>
          <w:ilvl w:val="0"/>
          <w:numId w:val="10"/>
        </w:numPr>
        <w:tabs>
          <w:tab w:val="clear" w:pos="0"/>
        </w:tabs>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b/>
          <w:bCs/>
          <w:kern w:val="0"/>
          <w:sz w:val="24"/>
        </w:rPr>
      </w:pPr>
      <w:r>
        <w:rPr>
          <w:rFonts w:hint="eastAsia" w:asciiTheme="minorEastAsia" w:hAnsiTheme="minorEastAsia" w:eastAsiaTheme="minorEastAsia"/>
          <w:b/>
          <w:bCs/>
          <w:kern w:val="0"/>
          <w:sz w:val="24"/>
          <w:lang w:val="en-US" w:eastAsia="zh-CN"/>
        </w:rPr>
        <w:t>统一协调原则​</w:t>
      </w:r>
    </w:p>
    <w:p w14:paraId="24EDAF50">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lang w:val="en-US" w:eastAsia="zh-CN"/>
        </w:rPr>
        <w:t>坚持国土空间规划与气象探测环境保护工作相统筹，以规划协同为核心，推动城市建设与气象雷达站环境保护的深度融合，实现二者相互适配，协调发展。​</w:t>
      </w:r>
    </w:p>
    <w:p w14:paraId="1B3A9CE0">
      <w:pPr>
        <w:keepNext w:val="0"/>
        <w:keepLines w:val="0"/>
        <w:pageBreakBefore w:val="0"/>
        <w:widowControl w:val="0"/>
        <w:numPr>
          <w:ilvl w:val="0"/>
          <w:numId w:val="10"/>
        </w:numPr>
        <w:tabs>
          <w:tab w:val="clear" w:pos="0"/>
        </w:tabs>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b/>
          <w:bCs/>
          <w:kern w:val="0"/>
          <w:sz w:val="24"/>
          <w:lang w:val="en-US" w:eastAsia="zh-CN"/>
        </w:rPr>
      </w:pPr>
      <w:r>
        <w:rPr>
          <w:rFonts w:hint="eastAsia" w:asciiTheme="minorEastAsia" w:hAnsiTheme="minorEastAsia" w:eastAsiaTheme="minorEastAsia"/>
          <w:b/>
          <w:bCs/>
          <w:kern w:val="0"/>
          <w:sz w:val="24"/>
          <w:lang w:val="en-US" w:eastAsia="zh-CN"/>
        </w:rPr>
        <w:t>科学规划原则​</w:t>
      </w:r>
    </w:p>
    <w:p w14:paraId="1C9FE7FF">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lang w:val="en-US" w:eastAsia="zh-CN"/>
        </w:rPr>
        <w:t>严格遵循国家及行业关于气象探测环境保护的各项标准规范，以科学为根本遵循，通过精准测算、合理布局，为气象探测活动营造符合技术要求、保障数据质量的优良环境，确保规划的科学性与可行性。​</w:t>
      </w:r>
    </w:p>
    <w:p w14:paraId="06ED7319">
      <w:pPr>
        <w:keepNext w:val="0"/>
        <w:keepLines w:val="0"/>
        <w:pageBreakBefore w:val="0"/>
        <w:widowControl w:val="0"/>
        <w:numPr>
          <w:ilvl w:val="0"/>
          <w:numId w:val="10"/>
        </w:numPr>
        <w:tabs>
          <w:tab w:val="clear" w:pos="0"/>
        </w:tabs>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b/>
          <w:bCs/>
          <w:kern w:val="0"/>
          <w:sz w:val="24"/>
        </w:rPr>
      </w:pPr>
      <w:r>
        <w:rPr>
          <w:rFonts w:hint="eastAsia" w:asciiTheme="minorEastAsia" w:hAnsiTheme="minorEastAsia" w:eastAsiaTheme="minorEastAsia"/>
          <w:b/>
          <w:bCs/>
          <w:kern w:val="0"/>
          <w:sz w:val="24"/>
          <w:lang w:val="en-US" w:eastAsia="zh-CN"/>
        </w:rPr>
        <w:t>可持续发展原则​</w:t>
      </w:r>
    </w:p>
    <w:p w14:paraId="0C1B316C">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lang w:val="en-US" w:eastAsia="zh-CN"/>
        </w:rPr>
        <w:t>秉持“保护与开发并重”的理念，以气象雷达站环境保护要求为前提，合理规划保护范围内建设用地与生产用地的使用；依托准确的气象数据支撑和良好的生态环境基底，反哺保护区经济高质量发展，构建良性循环，打造可持续发展的气象探测环境保护格局。​</w:t>
      </w:r>
    </w:p>
    <w:p w14:paraId="4AF850BD">
      <w:pPr>
        <w:pStyle w:val="3"/>
        <w:keepNext w:val="0"/>
        <w:keepLines w:val="0"/>
        <w:widowControl/>
        <w:spacing w:line="415" w:lineRule="auto"/>
        <w:ind w:left="0" w:firstLine="0"/>
      </w:pPr>
      <w:bookmarkStart w:id="10" w:name="_Toc15337"/>
      <w:r>
        <w:rPr>
          <w:rFonts w:hint="eastAsia"/>
        </w:rPr>
        <w:t>规划年限及保护期限</w:t>
      </w:r>
      <w:bookmarkEnd w:id="10"/>
    </w:p>
    <w:p w14:paraId="21A94516">
      <w:pPr>
        <w:pStyle w:val="4"/>
        <w:numPr>
          <w:ilvl w:val="0"/>
          <w:numId w:val="11"/>
        </w:numPr>
      </w:pPr>
      <w:r>
        <w:rPr>
          <w:rFonts w:hint="eastAsia"/>
        </w:rPr>
        <w:t>规划年限</w:t>
      </w:r>
    </w:p>
    <w:p w14:paraId="42057144">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rPr>
        <w:t>以2024年为现状数据基准年，规划期限设定为2025-2035年，分近期、远期两阶段推进。</w:t>
      </w:r>
    </w:p>
    <w:p w14:paraId="3A21C6DB">
      <w:pPr>
        <w:spacing w:line="360" w:lineRule="auto"/>
        <w:ind w:firstLine="480" w:firstLineChars="200"/>
        <w:rPr>
          <w:rFonts w:hint="eastAsia" w:asciiTheme="minorEastAsia" w:hAnsiTheme="minorEastAsia" w:eastAsiaTheme="minorEastAsia"/>
          <w:kern w:val="0"/>
          <w:sz w:val="24"/>
          <w:lang w:eastAsia="zh-CN"/>
        </w:rPr>
      </w:pPr>
      <w:r>
        <w:rPr>
          <w:rFonts w:hint="eastAsia" w:asciiTheme="minorEastAsia" w:hAnsiTheme="minorEastAsia" w:eastAsiaTheme="minorEastAsia"/>
          <w:kern w:val="0"/>
          <w:sz w:val="24"/>
          <w:lang w:eastAsia="zh-CN"/>
        </w:rPr>
        <w:t>近期（2025-2030年）需完成现存探测环境问题整改，同时推进新平现状X波段双偏振天气雷达站升级新建为S波段新一代天气雷达站，并新增新建7部不同类型的天气雷达站。</w:t>
      </w:r>
    </w:p>
    <w:p w14:paraId="7DFFB007">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rPr>
        <w:t>远期（2030-2035年）将构建“空天地一体化”智能保护网络，实现气象探测环境达标率100%，支撑玉溪气象高质量发展达到西部一流水平。</w:t>
      </w:r>
    </w:p>
    <w:p w14:paraId="496559ED">
      <w:pPr>
        <w:pStyle w:val="4"/>
        <w:numPr>
          <w:ilvl w:val="0"/>
          <w:numId w:val="11"/>
        </w:numPr>
        <w:rPr>
          <w:rFonts w:hint="eastAsia"/>
        </w:rPr>
      </w:pPr>
      <w:r>
        <w:rPr>
          <w:rFonts w:hint="eastAsia"/>
        </w:rPr>
        <w:t>保护期限</w:t>
      </w:r>
    </w:p>
    <w:p w14:paraId="0B72DCA5">
      <w:pPr>
        <w:spacing w:line="360" w:lineRule="auto"/>
        <w:ind w:firstLine="480" w:firstLineChars="200"/>
        <w:rPr>
          <w:rFonts w:hint="eastAsia" w:asciiTheme="minorEastAsia" w:hAnsiTheme="minorEastAsia" w:eastAsiaTheme="minorEastAsia"/>
          <w:kern w:val="0"/>
          <w:sz w:val="24"/>
          <w:u w:val="single"/>
        </w:rPr>
      </w:pPr>
      <w:r>
        <w:rPr>
          <w:rFonts w:hint="eastAsia" w:asciiTheme="minorEastAsia" w:hAnsiTheme="minorEastAsia" w:eastAsiaTheme="minorEastAsia"/>
          <w:kern w:val="0"/>
          <w:sz w:val="24"/>
          <w:u w:val="single"/>
        </w:rPr>
        <w:t>国家基准气候站（元江站）：站址应至少保持50年稳定不变。</w:t>
      </w:r>
    </w:p>
    <w:p w14:paraId="09CD3B97">
      <w:pPr>
        <w:spacing w:line="360" w:lineRule="auto"/>
        <w:ind w:firstLine="480" w:firstLineChars="200"/>
        <w:rPr>
          <w:rFonts w:hint="eastAsia" w:asciiTheme="minorEastAsia" w:hAnsiTheme="minorEastAsia" w:eastAsiaTheme="minorEastAsia"/>
          <w:kern w:val="0"/>
          <w:sz w:val="24"/>
          <w:u w:val="single"/>
        </w:rPr>
      </w:pPr>
      <w:r>
        <w:rPr>
          <w:rFonts w:hint="eastAsia" w:asciiTheme="minorEastAsia" w:hAnsiTheme="minorEastAsia" w:eastAsiaTheme="minorEastAsia"/>
          <w:kern w:val="0"/>
          <w:sz w:val="24"/>
          <w:u w:val="single"/>
        </w:rPr>
        <w:t>国家基本气象站（玉溪、江川、澄江、通海、华宁、易门、峨山、新平）8个站：站址应至少保持30年稳定不变。</w:t>
      </w:r>
    </w:p>
    <w:p w14:paraId="32A314B8">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rPr>
        <w:t>规划期限作为站点保护期限的关键保障期，通过近期整改隐患、远期建长效机制筑牢站点长期稳定基础，形成短期行动与长期保护深度耦合的闭环。</w:t>
      </w:r>
    </w:p>
    <w:p w14:paraId="2B164933">
      <w:pPr>
        <w:pStyle w:val="3"/>
        <w:keepNext w:val="0"/>
        <w:keepLines w:val="0"/>
        <w:widowControl/>
        <w:spacing w:line="415" w:lineRule="auto"/>
        <w:ind w:left="0" w:firstLine="0"/>
        <w:rPr>
          <w:rFonts w:hint="eastAsia"/>
        </w:rPr>
      </w:pPr>
      <w:bookmarkStart w:id="11" w:name="_Toc32580"/>
      <w:r>
        <w:rPr>
          <w:rFonts w:hint="eastAsia"/>
        </w:rPr>
        <w:t>规划范围</w:t>
      </w:r>
      <w:bookmarkEnd w:id="11"/>
    </w:p>
    <w:p w14:paraId="0A6E15C6">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rPr>
        <w:t>本规划覆盖玉溪市全域行政辖区，含红塔区、江川区、澄江市、通海县、华宁县、易门县、峨山彝族自治县、新平彝族傣族自治县、元江哈尼族彝族傣族自治县</w:t>
      </w:r>
      <w:r>
        <w:rPr>
          <w:rFonts w:hint="eastAsia" w:asciiTheme="minorEastAsia" w:hAnsiTheme="minorEastAsia" w:eastAsiaTheme="minorEastAsia"/>
          <w:kern w:val="0"/>
          <w:sz w:val="24"/>
          <w:lang w:eastAsia="zh-CN"/>
        </w:rPr>
        <w:t>9个县（市、区）</w:t>
      </w:r>
      <w:r>
        <w:rPr>
          <w:rFonts w:hint="eastAsia" w:asciiTheme="minorEastAsia" w:hAnsiTheme="minorEastAsia" w:eastAsiaTheme="minorEastAsia"/>
          <w:kern w:val="0"/>
          <w:sz w:val="24"/>
        </w:rPr>
        <w:t>，按保护对象分类划定范围如下：</w:t>
      </w:r>
    </w:p>
    <w:p w14:paraId="56BF24AC">
      <w:pPr>
        <w:pStyle w:val="4"/>
        <w:numPr>
          <w:ilvl w:val="0"/>
          <w:numId w:val="12"/>
        </w:numPr>
        <w:rPr>
          <w:rFonts w:hint="eastAsia"/>
        </w:rPr>
      </w:pPr>
      <w:r>
        <w:rPr>
          <w:rFonts w:hint="eastAsia"/>
        </w:rPr>
        <w:t>国家地面气象观测站</w:t>
      </w:r>
    </w:p>
    <w:p w14:paraId="5CF0D58F">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kern w:val="0"/>
          <w:sz w:val="24"/>
        </w:rPr>
        <w:t>国家基准气候站：</w:t>
      </w:r>
      <w:r>
        <w:rPr>
          <w:rFonts w:hint="eastAsia" w:asciiTheme="minorEastAsia" w:hAnsiTheme="minorEastAsia" w:eastAsiaTheme="minorEastAsia"/>
          <w:kern w:val="0"/>
          <w:sz w:val="24"/>
        </w:rPr>
        <w:t>元江国家基准气候站，以观测场</w:t>
      </w:r>
      <w:r>
        <w:rPr>
          <w:rFonts w:hint="eastAsia" w:asciiTheme="minorEastAsia" w:hAnsiTheme="minorEastAsia" w:eastAsiaTheme="minorEastAsia"/>
          <w:color w:val="auto"/>
          <w:kern w:val="0"/>
          <w:sz w:val="24"/>
        </w:rPr>
        <w:t>为中心，划定半径2000米为保护范围，500米为核心保护区，管控障碍物高度、电磁干扰源及建设活动</w:t>
      </w:r>
      <w:r>
        <w:rPr>
          <w:rFonts w:hint="eastAsia" w:asciiTheme="minorEastAsia" w:hAnsiTheme="minorEastAsia" w:eastAsiaTheme="minorEastAsia"/>
          <w:kern w:val="0"/>
          <w:sz w:val="24"/>
        </w:rPr>
        <w:t>。</w:t>
      </w:r>
    </w:p>
    <w:p w14:paraId="6A222593">
      <w:pPr>
        <w:spacing w:line="360" w:lineRule="auto"/>
        <w:ind w:firstLine="482" w:firstLineChars="200"/>
        <w:rPr>
          <w:rFonts w:hint="eastAsia" w:asciiTheme="minorEastAsia" w:hAnsiTheme="minorEastAsia" w:eastAsiaTheme="minorEastAsia"/>
          <w:kern w:val="0"/>
          <w:sz w:val="24"/>
        </w:rPr>
      </w:pPr>
      <w:r>
        <w:rPr>
          <w:rFonts w:hint="eastAsia" w:asciiTheme="minorEastAsia" w:hAnsiTheme="minorEastAsia" w:eastAsiaTheme="minorEastAsia"/>
          <w:b/>
          <w:bCs/>
          <w:kern w:val="0"/>
          <w:sz w:val="24"/>
        </w:rPr>
        <w:t>国家基本气象站：</w:t>
      </w:r>
      <w:r>
        <w:rPr>
          <w:rFonts w:hint="eastAsia" w:asciiTheme="minorEastAsia" w:hAnsiTheme="minorEastAsia" w:eastAsiaTheme="minorEastAsia"/>
          <w:kern w:val="0"/>
          <w:sz w:val="24"/>
        </w:rPr>
        <w:t>玉溪、江川、澄江、通海、华宁、易门、峨山、新平8个站，均以观测场为中心</w:t>
      </w:r>
      <w:r>
        <w:rPr>
          <w:rFonts w:hint="eastAsia" w:asciiTheme="minorEastAsia" w:hAnsiTheme="minorEastAsia" w:eastAsiaTheme="minorEastAsia"/>
          <w:color w:val="auto"/>
          <w:kern w:val="0"/>
          <w:sz w:val="24"/>
        </w:rPr>
        <w:t>，划定半径1000米为保护范围，500米为核心保护区，结</w:t>
      </w:r>
      <w:r>
        <w:rPr>
          <w:rFonts w:hint="eastAsia" w:asciiTheme="minorEastAsia" w:hAnsiTheme="minorEastAsia" w:eastAsiaTheme="minorEastAsia"/>
          <w:kern w:val="0"/>
          <w:sz w:val="24"/>
        </w:rPr>
        <w:t>合区位差异化管控周边建设，管控障碍物高度、电磁干扰源及建设活动。</w:t>
      </w:r>
    </w:p>
    <w:p w14:paraId="4E239F46">
      <w:pPr>
        <w:pStyle w:val="4"/>
        <w:numPr>
          <w:ilvl w:val="0"/>
          <w:numId w:val="12"/>
        </w:numPr>
        <w:rPr>
          <w:rFonts w:hint="eastAsia"/>
        </w:rPr>
      </w:pPr>
      <w:r>
        <w:rPr>
          <w:rFonts w:hint="eastAsia"/>
        </w:rPr>
        <w:t>天气雷达站</w:t>
      </w:r>
    </w:p>
    <w:p w14:paraId="56F1AA7C">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rPr>
        <w:t>天气雷达站规划范围涵盖现状保留与规划新增两大类别站点：其中现状保留站点为红塔X波段双偏振天气雷达站；规划新增站点包含升级新建与新增新建两类，升级新建是指对新平现状X波段双偏振天气雷达站进行改造，在规划期内将其升级为S波段新一代天气雷达站，新增新建则为7部不同类型的天气雷达站，具体为1部X波段双偏振天气雷达站选址峨山县，3部微小型X波段天气雷达</w:t>
      </w:r>
      <w:r>
        <w:rPr>
          <w:rFonts w:hint="eastAsia" w:asciiTheme="minorEastAsia" w:hAnsiTheme="minorEastAsia" w:eastAsiaTheme="minorEastAsia"/>
          <w:kern w:val="0"/>
          <w:sz w:val="24"/>
          <w:lang w:val="en-US" w:eastAsia="zh-CN"/>
        </w:rPr>
        <w:t>站</w:t>
      </w:r>
      <w:r>
        <w:rPr>
          <w:rFonts w:hint="eastAsia" w:asciiTheme="minorEastAsia" w:hAnsiTheme="minorEastAsia" w:eastAsiaTheme="minorEastAsia"/>
          <w:kern w:val="0"/>
          <w:sz w:val="24"/>
        </w:rPr>
        <w:t>分别布局于通海县、易门县、元江县，3部X波段相控阵天气雷达</w:t>
      </w:r>
      <w:r>
        <w:rPr>
          <w:rFonts w:hint="eastAsia" w:asciiTheme="minorEastAsia" w:hAnsiTheme="minorEastAsia" w:eastAsiaTheme="minorEastAsia"/>
          <w:kern w:val="0"/>
          <w:sz w:val="24"/>
          <w:lang w:val="en-US" w:eastAsia="zh-CN"/>
        </w:rPr>
        <w:t>站</w:t>
      </w:r>
      <w:r>
        <w:rPr>
          <w:rFonts w:hint="eastAsia" w:asciiTheme="minorEastAsia" w:hAnsiTheme="minorEastAsia" w:eastAsiaTheme="minorEastAsia"/>
          <w:kern w:val="0"/>
          <w:sz w:val="24"/>
        </w:rPr>
        <w:t>选址江川区、澄江市、华宁县。所有天气雷达站（含现状保留及规划新增站点）均以站址为中心，划定半径20公里的探测环境保护范围，该范围进一步细分为一级保护区与二级保护区，其中一级保护区涵盖雷达辐射近场区及过渡区关键区域，二级保护区为一级保护区外沿至距离雷达20公里的环形区域；对于新增站点，在核心参数明确前参照现状站点标准实施管控，待核心参数确定后，再优化保护区边界与管控指标，以确保雷达探测数据质量与空域安全。</w:t>
      </w:r>
    </w:p>
    <w:p w14:paraId="645D7E6E">
      <w:pPr>
        <w:pStyle w:val="3"/>
        <w:keepNext w:val="0"/>
        <w:keepLines w:val="0"/>
        <w:widowControl/>
        <w:spacing w:line="415" w:lineRule="auto"/>
        <w:ind w:left="0" w:firstLine="0"/>
      </w:pPr>
      <w:bookmarkStart w:id="12" w:name="_Toc7316"/>
      <w:r>
        <w:rPr>
          <w:rFonts w:hint="eastAsia"/>
        </w:rPr>
        <w:t>适用范围</w:t>
      </w:r>
      <w:bookmarkEnd w:id="12"/>
    </w:p>
    <w:p w14:paraId="71FEDE06">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本规划适用范围涵盖玉溪市全域</w:t>
      </w:r>
      <w:r>
        <w:rPr>
          <w:rFonts w:hint="eastAsia" w:asciiTheme="minorEastAsia" w:hAnsiTheme="minorEastAsia" w:eastAsiaTheme="minorEastAsia"/>
          <w:kern w:val="0"/>
          <w:sz w:val="24"/>
          <w:lang w:eastAsia="zh-CN"/>
        </w:rPr>
        <w:t>9个县（市、区）</w:t>
      </w:r>
      <w:r>
        <w:rPr>
          <w:rFonts w:hint="eastAsia" w:asciiTheme="minorEastAsia" w:hAnsiTheme="minorEastAsia" w:eastAsiaTheme="minorEastAsia"/>
          <w:kern w:val="0"/>
          <w:sz w:val="24"/>
        </w:rPr>
        <w:t>内，所有国家基准气候站、国家基本气象站及天气雷达站（含现状保留、规划新增站点）的探测环境保护区域；在此范围内开展的规划编制、规划管理及各类建设活动，均须符合本规划要求。</w:t>
      </w:r>
    </w:p>
    <w:p w14:paraId="25C79036">
      <w:pPr>
        <w:pStyle w:val="3"/>
        <w:keepNext w:val="0"/>
        <w:keepLines w:val="0"/>
        <w:widowControl/>
        <w:spacing w:line="415" w:lineRule="auto"/>
        <w:ind w:left="0" w:firstLine="0"/>
      </w:pPr>
      <w:bookmarkStart w:id="13" w:name="_Toc26479"/>
      <w:r>
        <w:rPr>
          <w:rFonts w:hint="eastAsia"/>
        </w:rPr>
        <w:t>主要任务</w:t>
      </w:r>
      <w:bookmarkEnd w:id="13"/>
    </w:p>
    <w:p w14:paraId="1BDE44FD">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结合玉溪市国家基准气候站、国家基本气象站及天气雷达站的等级、性质、探测任务与布局特点，依据相关技术规范，明确各类气象设施的探测环境保护标准与具体保护范围，推动保护要求精准落地，实现对气象探测环境的有效管控，保障气象探测数据质量。</w:t>
      </w:r>
    </w:p>
    <w:p w14:paraId="73C05D1F">
      <w:pPr>
        <w:pStyle w:val="2"/>
        <w:keepNext w:val="0"/>
        <w:keepLines w:val="0"/>
        <w:pageBreakBefore w:val="0"/>
        <w:widowControl/>
        <w:numPr>
          <w:ilvl w:val="0"/>
          <w:numId w:val="5"/>
        </w:numPr>
        <w:kinsoku/>
        <w:wordWrap/>
        <w:overflowPunct/>
        <w:topLinePunct w:val="0"/>
        <w:autoSpaceDE/>
        <w:autoSpaceDN/>
        <w:bidi w:val="0"/>
        <w:adjustRightInd/>
        <w:snapToGrid/>
        <w:spacing w:line="240" w:lineRule="auto"/>
        <w:ind w:left="0" w:firstLine="0"/>
        <w:jc w:val="center"/>
        <w:textAlignment w:val="auto"/>
        <w:rPr>
          <w:rFonts w:asciiTheme="minorEastAsia" w:hAnsiTheme="minorEastAsia" w:eastAsiaTheme="minorEastAsia"/>
          <w:szCs w:val="32"/>
        </w:rPr>
      </w:pPr>
      <w:bookmarkStart w:id="14" w:name="OLE_LINK2"/>
      <w:bookmarkStart w:id="15" w:name="_Toc21420"/>
      <w:r>
        <w:rPr>
          <w:rFonts w:hint="eastAsia" w:asciiTheme="minorEastAsia" w:hAnsiTheme="minorEastAsia" w:eastAsiaTheme="minorEastAsia"/>
          <w:szCs w:val="32"/>
        </w:rPr>
        <w:t>气象观测站</w:t>
      </w:r>
      <w:bookmarkEnd w:id="14"/>
      <w:r>
        <w:rPr>
          <w:rFonts w:hint="eastAsia" w:asciiTheme="minorEastAsia" w:hAnsiTheme="minorEastAsia" w:eastAsiaTheme="minorEastAsia"/>
          <w:szCs w:val="32"/>
        </w:rPr>
        <w:t>现状</w:t>
      </w:r>
      <w:bookmarkEnd w:id="15"/>
    </w:p>
    <w:p w14:paraId="10950CCC">
      <w:pPr>
        <w:pStyle w:val="3"/>
        <w:keepNext w:val="0"/>
        <w:keepLines w:val="0"/>
        <w:widowControl/>
        <w:spacing w:line="415" w:lineRule="auto"/>
        <w:ind w:left="0" w:firstLine="0"/>
        <w:rPr>
          <w:rFonts w:hint="eastAsia"/>
        </w:rPr>
      </w:pPr>
      <w:bookmarkStart w:id="16" w:name="_Toc18684"/>
      <w:r>
        <w:rPr>
          <w:rFonts w:hint="eastAsia"/>
        </w:rPr>
        <w:t>站点分布情况</w:t>
      </w:r>
      <w:bookmarkEnd w:id="16"/>
    </w:p>
    <w:p w14:paraId="5B0EBCEA">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lang w:val="en-US" w:eastAsia="zh-CN"/>
        </w:rPr>
        <w:t>玉溪市全域9个县（市、区）已实现国家地面气象观测站县（区）全覆盖，现状共布局9个国家地面气象观测站，具体包括1个国家基准气候站（元江国家基准气候站）与8个国家基本气象站（玉溪、江川、澄江、通海、华宁、易门、峨山、新平国家基本气象站），形成覆盖全域、分级监测的地面气象观测网络，为区域气候分析、灾害预警及民生服务提供基础数据支撑。</w:t>
      </w:r>
    </w:p>
    <w:p w14:paraId="4B05758B">
      <w:pPr>
        <w:spacing w:line="360" w:lineRule="auto"/>
        <w:ind w:firstLine="480" w:firstLineChars="200"/>
        <w:rPr>
          <w:rFonts w:hint="eastAsia" w:asciiTheme="minorEastAsia" w:hAnsiTheme="minorEastAsia" w:eastAsiaTheme="minorEastAsia"/>
          <w:kern w:val="0"/>
          <w:sz w:val="24"/>
          <w:lang w:val="en-US" w:eastAsia="zh-CN"/>
        </w:rPr>
      </w:pPr>
      <w:r>
        <w:rPr>
          <w:rFonts w:hint="eastAsia" w:asciiTheme="minorEastAsia" w:hAnsiTheme="minorEastAsia" w:eastAsiaTheme="minorEastAsia"/>
          <w:kern w:val="0"/>
          <w:sz w:val="24"/>
          <w:lang w:val="en-US" w:eastAsia="zh-CN"/>
        </w:rPr>
        <w:t>在天气雷达站建设方面，玉溪市当前已建成2个现状站点，分别为红塔X波段双偏振天气雷达站、新平X波段双偏振天气雷达站（规划期内将在原址升级新建为S波段新一代天气雷达站）；为进一步优化全市雷达监测网络、有效填补探测盲区，还将规划建设7个不同类型的天气雷达站，具体包括在峨山县布局1部X波段双偏振天气雷达站，在通海县、易门县、元江县各布局1部微小型X波段天气雷达站（共3部），在江川区、澄江市、华宁县各布局1部X波段相控阵天气雷达站（共3部）。上述规划站点建成后，将与现状站点协同运行，共同构建“全域覆盖、精准监测”的天气雷达观测体系，显著提升玉溪市对强对流、暴雨等灾害性天气的监测预警能力，为区域防灾减灾工作提供更坚实的气象数据支撑。</w:t>
      </w:r>
    </w:p>
    <w:p w14:paraId="3A7808DA">
      <w:pPr>
        <w:pStyle w:val="3"/>
        <w:keepNext w:val="0"/>
        <w:keepLines w:val="0"/>
        <w:widowControl/>
        <w:spacing w:line="415" w:lineRule="auto"/>
        <w:ind w:left="0" w:firstLine="0"/>
      </w:pPr>
      <w:bookmarkStart w:id="17" w:name="_Toc6563"/>
      <w:r>
        <w:rPr>
          <w:rFonts w:hint="eastAsia"/>
        </w:rPr>
        <w:t>各站点概况</w:t>
      </w:r>
      <w:bookmarkEnd w:id="17"/>
    </w:p>
    <w:p w14:paraId="43DEA3B4">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各地面观测站多处于山地、中亚热带湿润区（元江为边缘热带亚湿润区），因环境破坏、城市规划等多有迁站，现址使用年限差异大，部分受城镇化影响；天气雷达站覆盖滇中、“三湖”流域等区域，用于监测灾害性天气，规划站建设条件成熟、时序清晰。</w:t>
      </w:r>
    </w:p>
    <w:p w14:paraId="503B3E80">
      <w:pPr>
        <w:pStyle w:val="4"/>
        <w:numPr>
          <w:ilvl w:val="0"/>
          <w:numId w:val="13"/>
        </w:numPr>
      </w:pPr>
      <w:r>
        <w:rPr>
          <w:rFonts w:hint="eastAsia"/>
        </w:rPr>
        <w:t>国家地面气象观测站</w:t>
      </w:r>
    </w:p>
    <w:p w14:paraId="2487EE1F">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kern w:val="0"/>
          <w:sz w:val="24"/>
        </w:rPr>
        <w:t>元江国家基准气候站：</w:t>
      </w:r>
      <w:r>
        <w:rPr>
          <w:rFonts w:hint="eastAsia" w:asciiTheme="minorEastAsia" w:hAnsiTheme="minorEastAsia" w:eastAsiaTheme="minorEastAsia"/>
          <w:kern w:val="0"/>
          <w:sz w:val="24"/>
        </w:rPr>
        <w:t>位于元江县红河街道桥头社区曼费金子山，属于国家基准气候站。始建于1953年8月1日，后因改善条件、城市规划等原因，</w:t>
      </w:r>
      <w:r>
        <w:rPr>
          <w:rFonts w:hint="eastAsia" w:asciiTheme="minorEastAsia" w:hAnsiTheme="minorEastAsia" w:eastAsiaTheme="minorEastAsia"/>
          <w:kern w:val="0"/>
          <w:sz w:val="24"/>
          <w:lang w:val="en-US" w:eastAsia="zh-CN"/>
        </w:rPr>
        <w:t>分别</w:t>
      </w:r>
      <w:r>
        <w:rPr>
          <w:rFonts w:hint="eastAsia" w:asciiTheme="minorEastAsia" w:hAnsiTheme="minorEastAsia" w:eastAsiaTheme="minorEastAsia"/>
          <w:kern w:val="0"/>
          <w:sz w:val="24"/>
        </w:rPr>
        <w:t>于1954年12月31日</w:t>
      </w:r>
      <w:r>
        <w:rPr>
          <w:rFonts w:hint="eastAsia" w:asciiTheme="minorEastAsia" w:hAnsiTheme="minorEastAsia" w:eastAsiaTheme="minorEastAsia"/>
          <w:color w:val="auto"/>
          <w:kern w:val="0"/>
          <w:sz w:val="24"/>
        </w:rPr>
        <w:t>、201</w:t>
      </w:r>
      <w:r>
        <w:rPr>
          <w:rFonts w:asciiTheme="minorEastAsia" w:hAnsiTheme="minorEastAsia" w:eastAsiaTheme="minorEastAsia"/>
          <w:color w:val="auto"/>
          <w:kern w:val="0"/>
          <w:sz w:val="24"/>
        </w:rPr>
        <w:t>9</w:t>
      </w:r>
      <w:r>
        <w:rPr>
          <w:rFonts w:hint="eastAsia" w:asciiTheme="minorEastAsia" w:hAnsiTheme="minorEastAsia" w:eastAsiaTheme="minorEastAsia"/>
          <w:kern w:val="0"/>
          <w:sz w:val="24"/>
        </w:rPr>
        <w:t>年1月1日经历过两次迁站，现址</w:t>
      </w:r>
      <w:r>
        <w:rPr>
          <w:rFonts w:hint="eastAsia" w:asciiTheme="minorEastAsia" w:hAnsiTheme="minorEastAsia" w:eastAsiaTheme="minorEastAsia"/>
          <w:color w:val="auto"/>
          <w:kern w:val="0"/>
          <w:sz w:val="24"/>
        </w:rPr>
        <w:t>于2019年1月</w:t>
      </w:r>
      <w:r>
        <w:rPr>
          <w:rFonts w:hint="eastAsia" w:asciiTheme="minorEastAsia" w:hAnsiTheme="minorEastAsia" w:eastAsiaTheme="minorEastAsia"/>
          <w:kern w:val="0"/>
          <w:sz w:val="24"/>
        </w:rPr>
        <w:t>1日至今，已使用6年。元江国家基准气候站距离最近城镇工矿区边缘4.4千米，所处气候区为边缘热带亚湿润区，观测任务包括地面、农气、雷电。</w:t>
      </w:r>
    </w:p>
    <w:p w14:paraId="60D67B4B">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kern w:val="0"/>
          <w:sz w:val="24"/>
        </w:rPr>
        <w:t>玉溪国家基本气象站：</w:t>
      </w:r>
      <w:r>
        <w:rPr>
          <w:rFonts w:hint="eastAsia" w:asciiTheme="minorEastAsia" w:hAnsiTheme="minorEastAsia" w:eastAsiaTheme="minorEastAsia"/>
          <w:kern w:val="0"/>
          <w:sz w:val="24"/>
        </w:rPr>
        <w:t>位于玉溪市红塔区瑞峰路13号，属于国家基本气象站。始建于1944年</w:t>
      </w:r>
      <w:r>
        <w:rPr>
          <w:rFonts w:hint="eastAsia" w:asciiTheme="minorEastAsia" w:hAnsiTheme="minorEastAsia" w:eastAsiaTheme="minorEastAsia"/>
          <w:color w:val="auto"/>
          <w:kern w:val="0"/>
          <w:sz w:val="24"/>
        </w:rPr>
        <w:t>1月12日，</w:t>
      </w:r>
      <w:r>
        <w:rPr>
          <w:rFonts w:hint="eastAsia" w:asciiTheme="minorEastAsia" w:hAnsiTheme="minorEastAsia" w:eastAsiaTheme="minorEastAsia"/>
          <w:kern w:val="0"/>
          <w:sz w:val="24"/>
        </w:rPr>
        <w:t>后因环境破坏等原因，于1945年3月1日、1950年1月19日、1952年12月31日、2002年1月1日经历过四次迁站，现址于2002年1月1日至今，已使</w:t>
      </w:r>
      <w:r>
        <w:rPr>
          <w:rFonts w:hint="eastAsia" w:asciiTheme="minorEastAsia" w:hAnsiTheme="minorEastAsia" w:eastAsiaTheme="minorEastAsia"/>
          <w:color w:val="auto"/>
          <w:kern w:val="0"/>
          <w:sz w:val="24"/>
        </w:rPr>
        <w:t>用23年</w:t>
      </w:r>
      <w:r>
        <w:rPr>
          <w:rFonts w:hint="eastAsia" w:asciiTheme="minorEastAsia" w:hAnsiTheme="minorEastAsia" w:eastAsiaTheme="minorEastAsia"/>
          <w:kern w:val="0"/>
          <w:sz w:val="24"/>
        </w:rPr>
        <w:t>。玉溪国家基本气象站距离最近城镇工矿区边缘1.4千米，所处气候区为中亚热带湿润区，观测任务包括地面、农气、雷电。</w:t>
      </w:r>
    </w:p>
    <w:p w14:paraId="07E8A33E">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kern w:val="0"/>
          <w:sz w:val="24"/>
        </w:rPr>
        <w:t>江川国家基本气象站：</w:t>
      </w:r>
      <w:r>
        <w:rPr>
          <w:rFonts w:hint="eastAsia" w:asciiTheme="minorEastAsia" w:hAnsiTheme="minorEastAsia" w:eastAsiaTheme="minorEastAsia"/>
          <w:kern w:val="0"/>
          <w:sz w:val="24"/>
        </w:rPr>
        <w:t>位于江川区星象路49号，属于国家基本气象站。始建于1958年9月10日，建站时在郊外，已使用66年，期间未进行迁站。该气象站距离最近城镇工矿区边缘1千米，所处气候区为中亚热带湿润区，观测任务为地面观测。</w:t>
      </w:r>
    </w:p>
    <w:p w14:paraId="2C5D86DF">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kern w:val="0"/>
          <w:sz w:val="24"/>
        </w:rPr>
        <w:t>澄江国家基本气象站：</w:t>
      </w:r>
      <w:r>
        <w:rPr>
          <w:rFonts w:hint="eastAsia" w:asciiTheme="minorEastAsia" w:hAnsiTheme="minorEastAsia" w:eastAsiaTheme="minorEastAsia"/>
          <w:kern w:val="0"/>
          <w:sz w:val="24"/>
        </w:rPr>
        <w:t>位于澄江市凤麓街道青山路1号附1号，属于国家基本气象站。始建于1958年9月8日，后因环境破坏原因，于2011年1月1日迁站，现址自2011年至今已</w:t>
      </w:r>
      <w:r>
        <w:rPr>
          <w:rFonts w:hint="eastAsia" w:asciiTheme="minorEastAsia" w:hAnsiTheme="minorEastAsia" w:eastAsiaTheme="minorEastAsia"/>
          <w:color w:val="auto"/>
          <w:kern w:val="0"/>
          <w:sz w:val="24"/>
        </w:rPr>
        <w:t>使用14年。</w:t>
      </w:r>
      <w:r>
        <w:rPr>
          <w:rFonts w:hint="eastAsia" w:asciiTheme="minorEastAsia" w:hAnsiTheme="minorEastAsia" w:eastAsiaTheme="minorEastAsia"/>
          <w:kern w:val="0"/>
          <w:sz w:val="24"/>
        </w:rPr>
        <w:t>该气象站距离最近城镇工矿区边缘1千米，所处气候区为中亚热带湿润区，观测任务为地面观测。</w:t>
      </w:r>
    </w:p>
    <w:p w14:paraId="6ED0E478">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kern w:val="0"/>
          <w:sz w:val="24"/>
        </w:rPr>
        <w:t>通海国家基本气象站：</w:t>
      </w:r>
      <w:r>
        <w:rPr>
          <w:rFonts w:hint="eastAsia" w:asciiTheme="minorEastAsia" w:hAnsiTheme="minorEastAsia" w:eastAsiaTheme="minorEastAsia"/>
          <w:kern w:val="0"/>
          <w:sz w:val="24"/>
        </w:rPr>
        <w:t>位于通海县秀山镇万家村“马头丫巴”（城边），属于国家基本气象站。始建于1958年10月1日，后因城市规划原因，于2006年1月1日迁站，现址自2006年至今已</w:t>
      </w:r>
      <w:r>
        <w:rPr>
          <w:rFonts w:hint="eastAsia" w:asciiTheme="minorEastAsia" w:hAnsiTheme="minorEastAsia" w:eastAsiaTheme="minorEastAsia"/>
          <w:color w:val="auto"/>
          <w:kern w:val="0"/>
          <w:sz w:val="24"/>
        </w:rPr>
        <w:t>使用19年</w:t>
      </w:r>
      <w:r>
        <w:rPr>
          <w:rFonts w:hint="eastAsia" w:asciiTheme="minorEastAsia" w:hAnsiTheme="minorEastAsia" w:eastAsiaTheme="minorEastAsia"/>
          <w:kern w:val="0"/>
          <w:sz w:val="24"/>
        </w:rPr>
        <w:t>。该气象站距离最近城镇工矿区边缘0.5千米，所处气候区为中亚热带湿润区，观测任务为地面观测。</w:t>
      </w:r>
    </w:p>
    <w:p w14:paraId="68BE3458">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kern w:val="0"/>
          <w:sz w:val="24"/>
        </w:rPr>
        <w:t>华宁国家基本气象站：</w:t>
      </w:r>
      <w:r>
        <w:rPr>
          <w:rFonts w:hint="eastAsia" w:asciiTheme="minorEastAsia" w:hAnsiTheme="minorEastAsia" w:eastAsiaTheme="minorEastAsia"/>
          <w:kern w:val="0"/>
          <w:sz w:val="24"/>
        </w:rPr>
        <w:t>位于宁州街道右所村委会大塘子，属国家基本气象站。始建于1958年9月18日，后因环境破坏等原因，于1959年9月1日、1963年1月1日、1975年7月1日、2012年1月1日经历过四</w:t>
      </w:r>
      <w:r>
        <w:rPr>
          <w:rFonts w:hint="eastAsia" w:asciiTheme="minorEastAsia" w:hAnsiTheme="minorEastAsia" w:eastAsiaTheme="minorEastAsia"/>
          <w:color w:val="auto"/>
          <w:kern w:val="0"/>
          <w:sz w:val="24"/>
        </w:rPr>
        <w:t>次迁站，现址自2012年至今已使用13年。该气象站距离最近城镇工矿区边缘1千米，所处气候区</w:t>
      </w:r>
      <w:r>
        <w:rPr>
          <w:rFonts w:hint="eastAsia" w:asciiTheme="minorEastAsia" w:hAnsiTheme="minorEastAsia" w:eastAsiaTheme="minorEastAsia"/>
          <w:kern w:val="0"/>
          <w:sz w:val="24"/>
        </w:rPr>
        <w:t>为中亚热带湿润区，观测任务为地面观测。</w:t>
      </w:r>
    </w:p>
    <w:p w14:paraId="6B523FB0">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kern w:val="0"/>
          <w:sz w:val="24"/>
        </w:rPr>
        <w:t>易门国家基本气象站：</w:t>
      </w:r>
      <w:r>
        <w:rPr>
          <w:rFonts w:hint="eastAsia" w:asciiTheme="minorEastAsia" w:hAnsiTheme="minorEastAsia" w:eastAsiaTheme="minorEastAsia"/>
          <w:kern w:val="0"/>
          <w:sz w:val="24"/>
        </w:rPr>
        <w:t>位于易门县龙泉街道梅营社区南庄，属国家基本气象站。始建于1956年5月1日，后因环境破坏原因</w:t>
      </w:r>
      <w:r>
        <w:rPr>
          <w:rFonts w:hint="eastAsia" w:asciiTheme="minorEastAsia" w:hAnsiTheme="minorEastAsia" w:eastAsiaTheme="minorEastAsia"/>
          <w:color w:val="auto"/>
          <w:kern w:val="0"/>
          <w:sz w:val="24"/>
        </w:rPr>
        <w:t>，于2014年1月1日迁站，现址于自2014年至今已使用11年。该气象站距离最近城镇工</w:t>
      </w:r>
      <w:r>
        <w:rPr>
          <w:rFonts w:hint="eastAsia" w:asciiTheme="minorEastAsia" w:hAnsiTheme="minorEastAsia" w:eastAsiaTheme="minorEastAsia"/>
          <w:kern w:val="0"/>
          <w:sz w:val="24"/>
        </w:rPr>
        <w:t>矿区边缘1.9千米，所处气候区为中亚热带湿润区，观测任务为地面观测。</w:t>
      </w:r>
    </w:p>
    <w:p w14:paraId="287F534A">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kern w:val="0"/>
          <w:sz w:val="24"/>
        </w:rPr>
        <w:t>峨山国家基本气象站：</w:t>
      </w:r>
      <w:r>
        <w:rPr>
          <w:rFonts w:hint="eastAsia" w:asciiTheme="minorEastAsia" w:hAnsiTheme="minorEastAsia" w:eastAsiaTheme="minorEastAsia"/>
          <w:kern w:val="0"/>
          <w:sz w:val="24"/>
        </w:rPr>
        <w:t>位于峨山彝族自治县双江街道</w:t>
      </w:r>
      <w:r>
        <w:rPr>
          <w:rFonts w:hint="eastAsia" w:asciiTheme="minorEastAsia" w:hAnsiTheme="minorEastAsia" w:eastAsiaTheme="minorEastAsia"/>
          <w:kern w:val="0"/>
          <w:sz w:val="24"/>
          <w:lang w:val="en-US" w:eastAsia="zh-CN"/>
        </w:rPr>
        <w:t>气象路1号</w:t>
      </w:r>
      <w:r>
        <w:rPr>
          <w:rFonts w:hint="eastAsia" w:asciiTheme="minorEastAsia" w:hAnsiTheme="minorEastAsia" w:eastAsiaTheme="minorEastAsia"/>
          <w:kern w:val="0"/>
          <w:sz w:val="24"/>
        </w:rPr>
        <w:t>，属国家基本气象站。承担彝族聚居区农业气象、灾害监测任务。始建于1959年5月8日，后因城市规划原因，于2013年1月1日迁站，现址自201</w:t>
      </w:r>
      <w:r>
        <w:rPr>
          <w:rFonts w:hint="eastAsia" w:asciiTheme="minorEastAsia" w:hAnsiTheme="minorEastAsia" w:eastAsiaTheme="minorEastAsia"/>
          <w:color w:val="auto"/>
          <w:kern w:val="0"/>
          <w:sz w:val="24"/>
        </w:rPr>
        <w:t>3年至今已使用12年。该气</w:t>
      </w:r>
      <w:r>
        <w:rPr>
          <w:rFonts w:hint="eastAsia" w:asciiTheme="minorEastAsia" w:hAnsiTheme="minorEastAsia" w:eastAsiaTheme="minorEastAsia"/>
          <w:kern w:val="0"/>
          <w:sz w:val="24"/>
        </w:rPr>
        <w:t>象站距离最近城镇工矿区边缘1千米，所处气候区为中亚热带湿润区，观测任务为地面观测。</w:t>
      </w:r>
    </w:p>
    <w:p w14:paraId="2EF23541">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kern w:val="0"/>
          <w:sz w:val="24"/>
        </w:rPr>
        <w:t>新平国家基本气象站：</w:t>
      </w:r>
      <w:r>
        <w:rPr>
          <w:rFonts w:hint="eastAsia" w:asciiTheme="minorEastAsia" w:hAnsiTheme="minorEastAsia" w:eastAsiaTheme="minorEastAsia"/>
          <w:kern w:val="0"/>
          <w:sz w:val="24"/>
        </w:rPr>
        <w:t>位于新平彝族傣族自治县桂山街道青龙社区，属国家基本气象站。始建于1956年12月8日，后因城市规划等原因，分别于1974年1月1</w:t>
      </w:r>
      <w:r>
        <w:rPr>
          <w:rFonts w:hint="eastAsia" w:asciiTheme="minorEastAsia" w:hAnsiTheme="minorEastAsia" w:eastAsiaTheme="minorEastAsia"/>
          <w:color w:val="auto"/>
          <w:kern w:val="0"/>
          <w:sz w:val="24"/>
        </w:rPr>
        <w:t>日、2025年1月1日迁</w:t>
      </w:r>
      <w:r>
        <w:rPr>
          <w:rFonts w:hint="eastAsia" w:asciiTheme="minorEastAsia" w:hAnsiTheme="minorEastAsia" w:eastAsiaTheme="minorEastAsia"/>
          <w:kern w:val="0"/>
          <w:sz w:val="24"/>
        </w:rPr>
        <w:t>站。该气象站距离最近城镇工矿区边缘3千米，所处气候区为中亚热带湿润区，观测任务为地面观测。</w:t>
      </w:r>
    </w:p>
    <w:p w14:paraId="204C090A">
      <w:pPr>
        <w:pStyle w:val="4"/>
        <w:numPr>
          <w:ilvl w:val="0"/>
          <w:numId w:val="13"/>
        </w:numPr>
      </w:pPr>
      <w:r>
        <w:rPr>
          <w:rFonts w:hint="eastAsia"/>
        </w:rPr>
        <w:t>天气雷达站</w:t>
      </w:r>
    </w:p>
    <w:p w14:paraId="751C22F8">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82" w:firstLineChars="200"/>
        <w:textAlignment w:val="auto"/>
        <w:rPr>
          <w:rFonts w:hint="eastAsia" w:asciiTheme="minorEastAsia" w:hAnsiTheme="minorEastAsia" w:eastAsiaTheme="minorEastAsia"/>
          <w:b/>
          <w:bCs/>
          <w:kern w:val="0"/>
          <w:sz w:val="24"/>
        </w:rPr>
      </w:pPr>
      <w:r>
        <w:rPr>
          <w:rFonts w:hint="eastAsia" w:asciiTheme="minorEastAsia" w:hAnsiTheme="minorEastAsia" w:eastAsiaTheme="minorEastAsia"/>
          <w:b/>
          <w:bCs/>
          <w:kern w:val="0"/>
          <w:sz w:val="24"/>
        </w:rPr>
        <w:t>现状保留天气雷达站</w:t>
      </w:r>
    </w:p>
    <w:p w14:paraId="0E94EEA0">
      <w:pPr>
        <w:spacing w:line="360" w:lineRule="auto"/>
        <w:ind w:firstLine="482" w:firstLineChars="200"/>
        <w:rPr>
          <w:rFonts w:hint="eastAsia" w:asciiTheme="minorEastAsia" w:hAnsiTheme="minorEastAsia" w:eastAsiaTheme="minorEastAsia"/>
          <w:kern w:val="0"/>
          <w:sz w:val="24"/>
        </w:rPr>
      </w:pPr>
      <w:r>
        <w:rPr>
          <w:rFonts w:hint="eastAsia" w:asciiTheme="minorEastAsia" w:hAnsiTheme="minorEastAsia" w:eastAsiaTheme="minorEastAsia"/>
          <w:b/>
          <w:bCs/>
          <w:kern w:val="0"/>
          <w:sz w:val="24"/>
        </w:rPr>
        <w:t>红塔X波段</w:t>
      </w:r>
      <w:r>
        <w:rPr>
          <w:rFonts w:hint="eastAsia" w:asciiTheme="minorEastAsia" w:hAnsiTheme="minorEastAsia" w:eastAsiaTheme="minorEastAsia"/>
          <w:b/>
          <w:bCs/>
          <w:kern w:val="0"/>
          <w:sz w:val="24"/>
          <w:lang w:val="en-US" w:eastAsia="zh-CN"/>
        </w:rPr>
        <w:t>双偏振天气雷达站</w:t>
      </w:r>
      <w:r>
        <w:rPr>
          <w:rFonts w:hint="eastAsia" w:asciiTheme="minorEastAsia" w:hAnsiTheme="minorEastAsia" w:eastAsiaTheme="minorEastAsia"/>
          <w:b/>
          <w:bCs/>
          <w:kern w:val="0"/>
          <w:sz w:val="24"/>
        </w:rPr>
        <w:t>：</w:t>
      </w:r>
      <w:r>
        <w:rPr>
          <w:rFonts w:hint="eastAsia" w:asciiTheme="minorEastAsia" w:hAnsiTheme="minorEastAsia" w:eastAsiaTheme="minorEastAsia"/>
          <w:kern w:val="0"/>
          <w:sz w:val="24"/>
        </w:rPr>
        <w:t>位于红塔区洛河乡新寨，它是中国气象局在玉溪市布设的第一部X波段天气雷达。该雷达于2022年9月启动建设，2023年完成基础设施建设</w:t>
      </w:r>
      <w:r>
        <w:rPr>
          <w:rFonts w:hint="eastAsia" w:asciiTheme="minorEastAsia" w:hAnsiTheme="minorEastAsia" w:eastAsiaTheme="minorEastAsia"/>
          <w:color w:val="auto"/>
          <w:kern w:val="0"/>
          <w:sz w:val="24"/>
        </w:rPr>
        <w:t>，2024年9月正式投入业务运行，承担</w:t>
      </w:r>
      <w:r>
        <w:rPr>
          <w:rFonts w:hint="eastAsia" w:asciiTheme="minorEastAsia" w:hAnsiTheme="minorEastAsia" w:eastAsiaTheme="minorEastAsia"/>
          <w:kern w:val="0"/>
          <w:sz w:val="24"/>
        </w:rPr>
        <w:t>玉溪市区域内雷暴、大风、冰雹、短时强降水等天气的整体气象监测任务。</w:t>
      </w:r>
    </w:p>
    <w:p w14:paraId="659A8A7C">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82" w:firstLineChars="200"/>
        <w:textAlignment w:val="auto"/>
        <w:rPr>
          <w:rFonts w:hint="eastAsia" w:cs="Times New Roman" w:asciiTheme="minorEastAsia" w:hAnsiTheme="minorEastAsia" w:eastAsiaTheme="minorEastAsia"/>
          <w:b/>
          <w:bCs/>
          <w:kern w:val="0"/>
          <w:sz w:val="24"/>
        </w:rPr>
      </w:pPr>
      <w:r>
        <w:rPr>
          <w:rFonts w:hint="eastAsia" w:cs="Times New Roman" w:asciiTheme="minorEastAsia" w:hAnsiTheme="minorEastAsia" w:eastAsiaTheme="minorEastAsia"/>
          <w:b/>
          <w:bCs/>
          <w:kern w:val="0"/>
          <w:sz w:val="24"/>
          <w:lang w:val="en-US" w:eastAsia="zh-CN"/>
        </w:rPr>
        <w:t>规划新增</w:t>
      </w:r>
      <w:r>
        <w:rPr>
          <w:rFonts w:hint="eastAsia" w:cs="Times New Roman" w:asciiTheme="minorEastAsia" w:hAnsiTheme="minorEastAsia" w:eastAsiaTheme="minorEastAsia"/>
          <w:b/>
          <w:bCs/>
          <w:kern w:val="0"/>
          <w:sz w:val="24"/>
        </w:rPr>
        <w:t>天气雷达站</w:t>
      </w:r>
    </w:p>
    <w:p w14:paraId="6AB94F91">
      <w:pPr>
        <w:spacing w:line="360" w:lineRule="auto"/>
        <w:ind w:firstLine="482" w:firstLineChars="200"/>
        <w:rPr>
          <w:rFonts w:hint="eastAsia" w:asciiTheme="minorEastAsia" w:hAnsiTheme="minorEastAsia" w:eastAsiaTheme="minorEastAsia"/>
          <w:kern w:val="0"/>
          <w:sz w:val="24"/>
          <w:lang w:val="en-US" w:eastAsia="zh-CN"/>
        </w:rPr>
      </w:pPr>
      <w:r>
        <w:rPr>
          <w:rFonts w:hint="eastAsia" w:asciiTheme="minorEastAsia" w:hAnsiTheme="minorEastAsia" w:eastAsiaTheme="minorEastAsia"/>
          <w:b/>
          <w:bCs/>
          <w:kern w:val="0"/>
          <w:sz w:val="24"/>
          <w:lang w:val="en-US" w:eastAsia="zh-CN"/>
        </w:rPr>
        <w:t>新平现状X波段双偏振天气雷达站规划期内升级新建S波段新一代天气雷达站。新平现状X波段双偏振天气雷达站</w:t>
      </w:r>
      <w:r>
        <w:rPr>
          <w:rFonts w:hint="eastAsia" w:asciiTheme="minorEastAsia" w:hAnsiTheme="minorEastAsia" w:eastAsiaTheme="minorEastAsia"/>
          <w:kern w:val="0"/>
          <w:sz w:val="24"/>
          <w:lang w:val="en-US" w:eastAsia="zh-CN"/>
        </w:rPr>
        <w:t>位于新平彝族傣族自治县磨盘山，属国家天气雷达站，重点监测哀牢山南段、元江流域强降水；该站2024年12月建成，2025年6月通过现场验收与试运行验收，达业务运行准入条件，待上级批复后投入临时业务运行，升级前按现状X波段双偏振天气雷达站保护标准管控周边探测环境。</w:t>
      </w:r>
      <w:r>
        <w:rPr>
          <w:rFonts w:hint="eastAsia" w:asciiTheme="minorEastAsia" w:hAnsiTheme="minorEastAsia" w:eastAsiaTheme="minorEastAsia"/>
          <w:b/>
          <w:bCs/>
          <w:kern w:val="0"/>
          <w:sz w:val="24"/>
          <w:lang w:val="en-US" w:eastAsia="zh-CN"/>
        </w:rPr>
        <w:t>S波段新一代天气雷达站</w:t>
      </w:r>
      <w:r>
        <w:rPr>
          <w:rFonts w:hint="eastAsia" w:asciiTheme="minorEastAsia" w:hAnsiTheme="minorEastAsia" w:eastAsiaTheme="minorEastAsia"/>
          <w:kern w:val="0"/>
          <w:sz w:val="24"/>
          <w:lang w:val="en-US" w:eastAsia="zh-CN"/>
        </w:rPr>
        <w:t>选址于新平现状X波段双偏振天气雷达站所在地，计划于“十五五”期间建设。项目旨在以填补云南省天气雷达网在昆明、曲靖、普洱、红河、玉溪等地距地1km高度观测空白为目标，实现玉溪及其周边地区距地1km高度的全覆盖观测，显著提高复杂地形区域及重点区域的灾害性天气探测时空分辨率，提高暴雨和强对流天气预报的准确率和预警提前量，增强区域气象监测预警服务能力，为当地经济社会发展、生态安全和人民生活提供重要保障。其建设基础条件较好，在现有雷达站上进行升级，地势较高、通讯信号良好。</w:t>
      </w:r>
    </w:p>
    <w:p w14:paraId="4482FE80">
      <w:pPr>
        <w:spacing w:line="360" w:lineRule="auto"/>
        <w:ind w:firstLine="482" w:firstLineChars="200"/>
        <w:rPr>
          <w:rFonts w:hint="eastAsia" w:asciiTheme="minorEastAsia" w:hAnsiTheme="minorEastAsia" w:eastAsiaTheme="minorEastAsia"/>
          <w:kern w:val="0"/>
          <w:sz w:val="24"/>
          <w:lang w:val="en-US" w:eastAsia="zh-CN"/>
        </w:rPr>
      </w:pPr>
      <w:r>
        <w:rPr>
          <w:rFonts w:hint="eastAsia" w:asciiTheme="minorEastAsia" w:hAnsiTheme="minorEastAsia" w:eastAsiaTheme="minorEastAsia"/>
          <w:b/>
          <w:bCs/>
          <w:kern w:val="0"/>
          <w:sz w:val="24"/>
          <w:lang w:val="en-US" w:eastAsia="zh-CN"/>
        </w:rPr>
        <w:t>峨山X波段双偏振天气雷达站：</w:t>
      </w:r>
      <w:r>
        <w:rPr>
          <w:rFonts w:hint="eastAsia" w:asciiTheme="minorEastAsia" w:hAnsiTheme="minorEastAsia" w:eastAsiaTheme="minorEastAsia"/>
          <w:kern w:val="0"/>
          <w:sz w:val="24"/>
          <w:lang w:val="en-US" w:eastAsia="zh-CN"/>
        </w:rPr>
        <w:t>选址于峨山县塔甸镇大西村，计划于2026年建设。该站可填补峨山县强对流天气垂直观测空白，提升气象观测精细化水平与人工影响天气作业指导精度，且选址已实现“通路、通电、通网”，地方政府积极支持，建设基础成熟。</w:t>
      </w:r>
    </w:p>
    <w:p w14:paraId="71451650">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color w:val="auto"/>
          <w:kern w:val="0"/>
          <w:sz w:val="24"/>
        </w:rPr>
        <w:t>通海微小型X波段天气雷达站：</w:t>
      </w:r>
      <w:r>
        <w:rPr>
          <w:rFonts w:hint="eastAsia" w:asciiTheme="minorEastAsia" w:hAnsiTheme="minorEastAsia" w:eastAsiaTheme="minorEastAsia"/>
          <w:color w:val="auto"/>
          <w:kern w:val="0"/>
          <w:sz w:val="24"/>
          <w:lang w:val="en-US" w:eastAsia="zh-CN"/>
        </w:rPr>
        <w:t>选址于</w:t>
      </w:r>
      <w:r>
        <w:rPr>
          <w:rFonts w:hint="eastAsia" w:asciiTheme="minorEastAsia" w:hAnsiTheme="minorEastAsia" w:eastAsiaTheme="minorEastAsia"/>
          <w:color w:val="auto"/>
          <w:kern w:val="0"/>
          <w:sz w:val="24"/>
        </w:rPr>
        <w:t>通海县螺蜂山瞭望塔，计划于2026年建设。该雷达站旨在服务滇中</w:t>
      </w:r>
      <w:r>
        <w:rPr>
          <w:rFonts w:hint="eastAsia" w:asciiTheme="minorEastAsia" w:hAnsiTheme="minorEastAsia" w:eastAsiaTheme="minorEastAsia"/>
          <w:kern w:val="0"/>
          <w:sz w:val="24"/>
        </w:rPr>
        <w:t>，珠江上游、杞麓湖、星云湖流域防汛抗旱，补盲玉溪和红河、防灾减灾。鉴于通海县仅依靠昆明雷达站资料开展工作存在时间及时性、预报准确性和服务精细化程度不足的问题，且作为农业大县和滇中核心地域，急需雷达服务农业生产和防灾减灾，还可覆盖三湖流域，补齐玉溪监测短板。其建设基础条件较好，水电路等基础设施均已完善，</w:t>
      </w:r>
      <w:r>
        <w:rPr>
          <w:rFonts w:hint="eastAsia" w:asciiTheme="minorEastAsia" w:hAnsiTheme="minorEastAsia" w:eastAsiaTheme="minorEastAsia"/>
          <w:kern w:val="0"/>
          <w:sz w:val="24"/>
          <w:lang w:val="en-US" w:eastAsia="zh-CN"/>
        </w:rPr>
        <w:t>建设用地位于护林防火瞭望点内，地势较高，通讯信号良好</w:t>
      </w:r>
      <w:r>
        <w:rPr>
          <w:rFonts w:hint="eastAsia" w:asciiTheme="minorEastAsia" w:hAnsiTheme="minorEastAsia" w:eastAsiaTheme="minorEastAsia"/>
          <w:kern w:val="0"/>
          <w:sz w:val="24"/>
        </w:rPr>
        <w:t>。</w:t>
      </w:r>
    </w:p>
    <w:p w14:paraId="1ADBDF1F">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color w:val="auto"/>
          <w:kern w:val="0"/>
          <w:sz w:val="24"/>
        </w:rPr>
        <w:t>易门微小型X波段天气雷达站：</w:t>
      </w:r>
      <w:r>
        <w:rPr>
          <w:rFonts w:hint="eastAsia" w:asciiTheme="minorEastAsia" w:hAnsiTheme="minorEastAsia" w:eastAsiaTheme="minorEastAsia"/>
          <w:color w:val="auto"/>
          <w:kern w:val="0"/>
          <w:sz w:val="24"/>
          <w:lang w:val="en-US" w:eastAsia="zh-CN"/>
        </w:rPr>
        <w:t>选址于</w:t>
      </w:r>
      <w:r>
        <w:rPr>
          <w:rFonts w:hint="eastAsia" w:asciiTheme="minorEastAsia" w:hAnsiTheme="minorEastAsia" w:eastAsiaTheme="minorEastAsia"/>
          <w:color w:val="auto"/>
          <w:kern w:val="0"/>
          <w:sz w:val="24"/>
        </w:rPr>
        <w:t>易门县铜厂乡底尼村，预计2026年建设。建设该雷</w:t>
      </w:r>
      <w:r>
        <w:rPr>
          <w:rFonts w:hint="eastAsia" w:asciiTheme="minorEastAsia" w:hAnsiTheme="minorEastAsia" w:eastAsiaTheme="minorEastAsia"/>
          <w:kern w:val="0"/>
          <w:sz w:val="24"/>
        </w:rPr>
        <w:t>达站是为服务滇中、红河流域，补盲玉溪和昆明、防灾减灾。目前易门使用昆明雷达数据有网络传输滞后、探测衰减问题，当地山地河谷地形明显，单点暴雨、强对流等灾害性天气多发。建成后能提升预警能力和应对灾害能力，为滇中区域提供气象数据，服务多领域并融入智慧城市建设。拟选址交通便利，可从底尼村接通用电，通网络，便于维护，且地方政府积极支持。</w:t>
      </w:r>
    </w:p>
    <w:p w14:paraId="1C7D4958">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color w:val="auto"/>
          <w:kern w:val="0"/>
          <w:sz w:val="24"/>
        </w:rPr>
        <w:t>元江微小型X波段天气雷达站：</w:t>
      </w:r>
      <w:r>
        <w:rPr>
          <w:rFonts w:hint="eastAsia" w:asciiTheme="minorEastAsia" w:hAnsiTheme="minorEastAsia" w:eastAsiaTheme="minorEastAsia"/>
          <w:color w:val="auto"/>
          <w:kern w:val="0"/>
          <w:sz w:val="24"/>
          <w:lang w:val="en-US" w:eastAsia="zh-CN"/>
        </w:rPr>
        <w:t>选址于</w:t>
      </w:r>
      <w:r>
        <w:rPr>
          <w:rFonts w:hint="eastAsia" w:asciiTheme="minorEastAsia" w:hAnsiTheme="minorEastAsia" w:eastAsiaTheme="minorEastAsia"/>
          <w:color w:val="auto"/>
          <w:kern w:val="0"/>
          <w:sz w:val="24"/>
        </w:rPr>
        <w:t>元江县龙潭乡大哨村，计划“十五五”期间建设。</w:t>
      </w:r>
      <w:r>
        <w:rPr>
          <w:rFonts w:hint="eastAsia" w:asciiTheme="minorEastAsia" w:hAnsiTheme="minorEastAsia" w:eastAsiaTheme="minorEastAsia"/>
          <w:kern w:val="0"/>
          <w:sz w:val="24"/>
        </w:rPr>
        <w:t>主要服务于哀牢山国家级自然保护区和重要水源地，以及滇中、红河流域，防汛抗旱，补盲玉溪。元江天气复杂，极端天气增多，灾害损失大，建设雷达可完善玉溪雷达观测网，弥补监测盲区，为短临预报、地质灾害、森林防灭火气象应急、人工增雨防雹作业等多领域提供保障。该站道路畅通、通电、通网且信号良好，待到项目建设时将与地方政府协商争取支持。</w:t>
      </w:r>
    </w:p>
    <w:p w14:paraId="2C74113A">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color w:val="auto"/>
          <w:kern w:val="0"/>
          <w:sz w:val="24"/>
        </w:rPr>
        <w:t>江川X波段相控阵天气雷达站：</w:t>
      </w:r>
      <w:r>
        <w:rPr>
          <w:rFonts w:hint="eastAsia" w:asciiTheme="minorEastAsia" w:hAnsiTheme="minorEastAsia" w:eastAsiaTheme="minorEastAsia"/>
          <w:color w:val="auto"/>
          <w:kern w:val="0"/>
          <w:sz w:val="24"/>
          <w:lang w:val="en-US" w:eastAsia="zh-CN"/>
        </w:rPr>
        <w:t>选址于</w:t>
      </w:r>
      <w:r>
        <w:rPr>
          <w:rFonts w:hint="eastAsia" w:asciiTheme="minorEastAsia" w:hAnsiTheme="minorEastAsia" w:eastAsiaTheme="minorEastAsia"/>
          <w:color w:val="auto"/>
          <w:kern w:val="0"/>
          <w:sz w:val="24"/>
        </w:rPr>
        <w:t>江川区安化乡光山村原有人工增雨防雹炮点，计划“十五五”期间建设。</w:t>
      </w:r>
      <w:r>
        <w:rPr>
          <w:rFonts w:hint="eastAsia" w:asciiTheme="minorEastAsia" w:hAnsiTheme="minorEastAsia" w:eastAsiaTheme="minorEastAsia"/>
          <w:kern w:val="0"/>
          <w:sz w:val="24"/>
        </w:rPr>
        <w:t>该雷达站建设旨在服务抚仙湖国家战略水源地保护，以及滇中、珠江上游、杞麓湖、星云湖流域的防汛抗旱工作，起到补盲、防灾减灾的作用。江川区处于玉溪“三湖”生态核心区，地势低洼、湖陆风环流显著，是局地强对流、暴雨冰雹等灾害天气的易发区，而现有昆明雷达因距离远、仰角高，对江川低层云系、湖效应降水及边界层风场存在明显监测盲区。新建此雷达可实现江川及周边区域上空0-6公里云宏微观结构、水汽通量、风切变的精细化立体监测，为短时强降水、冰雹大风提前预警提供关键数据，也能为三湖流域人工增雨、生态补水、农业抗旱和湖泊水质改善提供科学依据，从而显著降低因灾损失，保障高原湖泊生态与经济社会高质量发展。选址具备充足空间可满足雷达建设及后续运行维护等需求，能够落地建设，且地方政府给予支持。</w:t>
      </w:r>
    </w:p>
    <w:p w14:paraId="3BDDCE44">
      <w:pPr>
        <w:spacing w:line="360" w:lineRule="auto"/>
        <w:ind w:firstLine="482" w:firstLineChars="200"/>
        <w:rPr>
          <w:rFonts w:asciiTheme="minorEastAsia" w:hAnsiTheme="minorEastAsia" w:eastAsiaTheme="minorEastAsia"/>
          <w:kern w:val="0"/>
          <w:sz w:val="24"/>
        </w:rPr>
      </w:pPr>
      <w:r>
        <w:rPr>
          <w:rFonts w:hint="eastAsia" w:asciiTheme="minorEastAsia" w:hAnsiTheme="minorEastAsia" w:eastAsiaTheme="minorEastAsia"/>
          <w:b/>
          <w:bCs/>
          <w:kern w:val="0"/>
          <w:sz w:val="24"/>
        </w:rPr>
        <w:t>澄江X波段相控阵天气雷达站：</w:t>
      </w:r>
      <w:r>
        <w:rPr>
          <w:rFonts w:hint="eastAsia" w:asciiTheme="minorEastAsia" w:hAnsiTheme="minorEastAsia" w:eastAsiaTheme="minorEastAsia"/>
          <w:kern w:val="0"/>
          <w:sz w:val="24"/>
          <w:lang w:val="en-US" w:eastAsia="zh-CN"/>
        </w:rPr>
        <w:t>选址于</w:t>
      </w:r>
      <w:r>
        <w:rPr>
          <w:rFonts w:hint="eastAsia" w:asciiTheme="minorEastAsia" w:hAnsiTheme="minorEastAsia" w:eastAsiaTheme="minorEastAsia"/>
          <w:kern w:val="0"/>
          <w:sz w:val="24"/>
          <w:lang w:eastAsia="zh-CN"/>
        </w:rPr>
        <w:t>澄江市</w:t>
      </w:r>
      <w:r>
        <w:rPr>
          <w:rFonts w:hint="eastAsia" w:asciiTheme="minorEastAsia" w:hAnsiTheme="minorEastAsia" w:eastAsiaTheme="minorEastAsia"/>
          <w:kern w:val="0"/>
          <w:sz w:val="24"/>
        </w:rPr>
        <w:t>海口镇松元村人工影响天气作业点，</w:t>
      </w:r>
      <w:r>
        <w:rPr>
          <w:rFonts w:hint="eastAsia" w:asciiTheme="minorEastAsia" w:hAnsiTheme="minorEastAsia" w:eastAsiaTheme="minorEastAsia"/>
          <w:color w:val="auto"/>
          <w:kern w:val="0"/>
          <w:sz w:val="24"/>
        </w:rPr>
        <w:t>计划于“十五五”期间建设。该</w:t>
      </w:r>
      <w:r>
        <w:rPr>
          <w:rFonts w:hint="eastAsia" w:asciiTheme="minorEastAsia" w:hAnsiTheme="minorEastAsia" w:eastAsiaTheme="minorEastAsia"/>
          <w:kern w:val="0"/>
          <w:sz w:val="24"/>
        </w:rPr>
        <w:t>雷达站建设是为服务抚仙湖国家战略水源地保护，以及滇中、珠江上游、杞麓湖、星云湖流域的防汛抗旱工作，能补盲玉溪和红河地区，增强防灾减灾能力。建成后可填补抚仙湖流域天气雷达观测网的盲区，准确把握雨云移动方向和生消变化状态，及时掌握流域面雨量变化过程，有效增强对短时强降雨的感知和预警能力，延长山洪、城市内涝等灾害预见期，为流域内防汛抗旱提供精准数据支撑，提高灾害性天气监测预警能力和短时预报能力，为防汛决策调度争取先机。此外，该雷达站位于抚仙湖国家战略水源地核心、帽天山中国国家地质公园、珠江上游南盘江玉溪段交界地带，能为澄江市战略水资源、澄江化石保护及旅游安全提供精准的气象监测预报预警服务。选址满足雷达组网间距要求及后续运行维护条件，可落地建设。</w:t>
      </w:r>
    </w:p>
    <w:p w14:paraId="0F1014BB">
      <w:pPr>
        <w:spacing w:line="360" w:lineRule="auto"/>
        <w:ind w:firstLine="482" w:firstLineChars="200"/>
        <w:rPr>
          <w:rFonts w:hint="eastAsia" w:asciiTheme="minorEastAsia" w:hAnsiTheme="minorEastAsia" w:eastAsiaTheme="minorEastAsia"/>
          <w:color w:val="FF0000"/>
          <w:kern w:val="0"/>
          <w:sz w:val="24"/>
          <w:lang w:eastAsia="zh-CN"/>
        </w:rPr>
      </w:pPr>
      <w:r>
        <w:rPr>
          <w:rFonts w:hint="eastAsia" w:asciiTheme="minorEastAsia" w:hAnsiTheme="minorEastAsia" w:eastAsiaTheme="minorEastAsia"/>
          <w:b/>
          <w:bCs/>
          <w:kern w:val="0"/>
          <w:sz w:val="24"/>
        </w:rPr>
        <w:t>华宁X波段相控阵天气雷达站：</w:t>
      </w:r>
      <w:r>
        <w:rPr>
          <w:rFonts w:hint="eastAsia" w:asciiTheme="minorEastAsia" w:hAnsiTheme="minorEastAsia" w:eastAsiaTheme="minorEastAsia"/>
          <w:kern w:val="0"/>
          <w:sz w:val="24"/>
          <w:lang w:val="en-US" w:eastAsia="zh-CN"/>
        </w:rPr>
        <w:t>选址于</w:t>
      </w:r>
      <w:r>
        <w:rPr>
          <w:rFonts w:hint="eastAsia" w:asciiTheme="minorEastAsia" w:hAnsiTheme="minorEastAsia" w:eastAsiaTheme="minorEastAsia"/>
          <w:kern w:val="0"/>
          <w:sz w:val="24"/>
        </w:rPr>
        <w:t>华宁县青龙镇秧草塘人工影响天气作业点，</w:t>
      </w:r>
      <w:r>
        <w:rPr>
          <w:rFonts w:hint="eastAsia" w:asciiTheme="minorEastAsia" w:hAnsiTheme="minorEastAsia" w:eastAsiaTheme="minorEastAsia"/>
          <w:color w:val="auto"/>
          <w:kern w:val="0"/>
          <w:sz w:val="24"/>
        </w:rPr>
        <w:t>计划“十五五”期间建设。该</w:t>
      </w:r>
      <w:r>
        <w:rPr>
          <w:rFonts w:hint="eastAsia" w:asciiTheme="minorEastAsia" w:hAnsiTheme="minorEastAsia" w:eastAsiaTheme="minorEastAsia"/>
          <w:kern w:val="0"/>
          <w:sz w:val="24"/>
        </w:rPr>
        <w:t>雷达站主要服务于滇中、珠江上游、杞麓湖、星云湖流域的防汛抗旱工作，能补盲玉溪、红河雷达盲区，增强防灾减灾能力。因华宁县近年极端天气频发致灾损巨大且当前无天气雷达、监测盲区大。建成后可完善玉溪雷达观测网、弥补监测短板，为多领域提供气象保障。该站建设基础条件优，道路畅通、通电通网信号佳，选址土地等要素有保障，且地方政府积极支持，能满足建设要求并落地，对当地防汛抗旱等工作意义重大。</w:t>
      </w:r>
    </w:p>
    <w:p w14:paraId="7D8EE72C">
      <w:pPr>
        <w:pStyle w:val="3"/>
        <w:keepNext/>
        <w:keepLines w:val="0"/>
        <w:pageBreakBefore w:val="0"/>
        <w:widowControl/>
        <w:kinsoku/>
        <w:wordWrap/>
        <w:overflowPunct/>
        <w:topLinePunct w:val="0"/>
        <w:autoSpaceDE/>
        <w:autoSpaceDN/>
        <w:bidi w:val="0"/>
        <w:adjustRightInd/>
        <w:snapToGrid/>
        <w:spacing w:line="416" w:lineRule="auto"/>
        <w:ind w:left="0" w:firstLine="0"/>
        <w:textAlignment w:val="auto"/>
      </w:pPr>
      <w:bookmarkStart w:id="18" w:name="_Toc14806"/>
      <w:r>
        <w:rPr>
          <w:rFonts w:hint="eastAsia"/>
        </w:rPr>
        <w:t>用地布局的衔接</w:t>
      </w:r>
      <w:bookmarkEnd w:id="18"/>
    </w:p>
    <w:p w14:paraId="261E9796">
      <w:pPr>
        <w:pStyle w:val="4"/>
        <w:numPr>
          <w:ilvl w:val="0"/>
          <w:numId w:val="15"/>
        </w:numPr>
        <w:rPr>
          <w:rFonts w:hint="eastAsia" w:asciiTheme="minorEastAsia" w:hAnsiTheme="minorEastAsia" w:eastAsiaTheme="minorEastAsia"/>
          <w:kern w:val="0"/>
          <w:sz w:val="24"/>
        </w:rPr>
      </w:pPr>
      <w:r>
        <w:rPr>
          <w:rFonts w:hint="eastAsia"/>
        </w:rPr>
        <w:t>与</w:t>
      </w:r>
      <w:r>
        <w:rPr>
          <w:rFonts w:hint="eastAsia"/>
          <w:lang w:val="en-US" w:eastAsia="zh-CN"/>
        </w:rPr>
        <w:t>最新年度</w:t>
      </w:r>
      <w:r>
        <w:rPr>
          <w:rFonts w:hint="eastAsia"/>
        </w:rPr>
        <w:t>国土变更调查成果数据衔接</w:t>
      </w:r>
    </w:p>
    <w:p w14:paraId="78A732A1">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lang w:val="en-US" w:eastAsia="zh-CN"/>
        </w:rPr>
        <w:t>依据最新年度国土变更调查（“三调”）成果，明确玉溪市各类气象观测站现状用地地类，为后续用地性质精准管控、规划调整优化提供核心现状依据，具体分类如下：</w:t>
      </w:r>
    </w:p>
    <w:p w14:paraId="35712716">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2" w:firstLineChars="200"/>
        <w:textAlignment w:val="auto"/>
        <w:rPr>
          <w:rFonts w:hint="eastAsia" w:cs="Times New Roman" w:asciiTheme="minorEastAsia" w:hAnsiTheme="minorEastAsia" w:eastAsiaTheme="minorEastAsia"/>
          <w:b/>
          <w:bCs/>
          <w:kern w:val="0"/>
          <w:sz w:val="24"/>
        </w:rPr>
      </w:pPr>
      <w:r>
        <w:rPr>
          <w:rFonts w:hint="eastAsia" w:cs="Times New Roman" w:asciiTheme="minorEastAsia" w:hAnsiTheme="minorEastAsia" w:eastAsiaTheme="minorEastAsia"/>
          <w:b/>
          <w:bCs/>
          <w:kern w:val="0"/>
          <w:sz w:val="24"/>
        </w:rPr>
        <w:t>国家级地面气象观测站（国家基准气候站、国家基本气象站）</w:t>
      </w:r>
    </w:p>
    <w:p w14:paraId="0AD4D075">
      <w:pPr>
        <w:spacing w:line="360" w:lineRule="auto"/>
        <w:ind w:firstLine="482" w:firstLineChars="200"/>
        <w:rPr>
          <w:rFonts w:hint="eastAsia" w:asciiTheme="minorEastAsia" w:hAnsiTheme="minorEastAsia" w:eastAsiaTheme="minorEastAsia"/>
          <w:kern w:val="0"/>
          <w:sz w:val="24"/>
          <w:lang w:val="en-US" w:eastAsia="zh-CN"/>
        </w:rPr>
      </w:pPr>
      <w:r>
        <w:rPr>
          <w:rFonts w:hint="eastAsia" w:asciiTheme="minorEastAsia" w:hAnsiTheme="minorEastAsia" w:eastAsiaTheme="minorEastAsia"/>
          <w:b/>
          <w:bCs/>
          <w:kern w:val="0"/>
          <w:sz w:val="24"/>
          <w:lang w:val="en-US" w:eastAsia="zh-CN"/>
        </w:rPr>
        <w:t>国家基准气候站：</w:t>
      </w:r>
      <w:r>
        <w:rPr>
          <w:rFonts w:hint="eastAsia" w:asciiTheme="minorEastAsia" w:hAnsiTheme="minorEastAsia" w:eastAsiaTheme="minorEastAsia"/>
          <w:kern w:val="0"/>
          <w:sz w:val="24"/>
          <w:lang w:val="en-US" w:eastAsia="zh-CN"/>
        </w:rPr>
        <w:t>元江国家基准气候站用地地类为科教文卫用地，与该站承担气候观测、数据研究等核心功能定位相契合，用地性质对探测环境长期稳定起到保障作用。</w:t>
      </w:r>
    </w:p>
    <w:p w14:paraId="2F50DFDF">
      <w:pPr>
        <w:spacing w:line="360" w:lineRule="auto"/>
        <w:ind w:firstLine="482" w:firstLineChars="200"/>
        <w:rPr>
          <w:rFonts w:hint="eastAsia" w:asciiTheme="minorEastAsia" w:hAnsiTheme="minorEastAsia" w:eastAsiaTheme="minorEastAsia"/>
          <w:kern w:val="0"/>
          <w:sz w:val="24"/>
        </w:rPr>
      </w:pPr>
      <w:r>
        <w:rPr>
          <w:rFonts w:hint="eastAsia" w:cs="Times New Roman" w:asciiTheme="minorEastAsia" w:hAnsiTheme="minorEastAsia" w:eastAsiaTheme="minorEastAsia"/>
          <w:b/>
          <w:bCs/>
          <w:kern w:val="0"/>
          <w:sz w:val="24"/>
        </w:rPr>
        <w:t>国家基本气象站</w:t>
      </w:r>
      <w:r>
        <w:rPr>
          <w:rFonts w:hint="eastAsia" w:cs="Times New Roman" w:asciiTheme="minorEastAsia" w:hAnsiTheme="minorEastAsia" w:eastAsiaTheme="minorEastAsia"/>
          <w:b/>
          <w:bCs/>
          <w:kern w:val="0"/>
          <w:sz w:val="24"/>
          <w:lang w:eastAsia="zh-CN"/>
        </w:rPr>
        <w:t>：</w:t>
      </w:r>
      <w:r>
        <w:rPr>
          <w:rFonts w:hint="eastAsia" w:asciiTheme="minorEastAsia" w:hAnsiTheme="minorEastAsia" w:eastAsiaTheme="minorEastAsia"/>
          <w:kern w:val="0"/>
          <w:sz w:val="24"/>
          <w:lang w:val="en-US" w:eastAsia="zh-CN"/>
        </w:rPr>
        <w:t>8个国家基本气象站用地地类存在差异，需结合地类特性落实差异化保护措施：玉溪、江川、澄江、通海、华宁、易门6个站为机关团体新闻出版用地；新平站为科教文卫用地；峨山站业务楼用地为机关团体新闻出版用地，观测场为公用设施用地。</w:t>
      </w:r>
    </w:p>
    <w:p w14:paraId="2562D89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2" w:firstLineChars="200"/>
        <w:textAlignment w:val="auto"/>
        <w:rPr>
          <w:rFonts w:hint="eastAsia" w:cs="Times New Roman" w:asciiTheme="minorEastAsia" w:hAnsiTheme="minorEastAsia" w:eastAsiaTheme="minorEastAsia"/>
          <w:b/>
          <w:bCs/>
          <w:kern w:val="0"/>
          <w:sz w:val="24"/>
        </w:rPr>
      </w:pPr>
      <w:r>
        <w:rPr>
          <w:rFonts w:hint="eastAsia" w:cs="Times New Roman" w:asciiTheme="minorEastAsia" w:hAnsiTheme="minorEastAsia" w:eastAsiaTheme="minorEastAsia"/>
          <w:b/>
          <w:bCs/>
          <w:kern w:val="0"/>
          <w:sz w:val="24"/>
        </w:rPr>
        <w:t>天气雷达站</w:t>
      </w:r>
    </w:p>
    <w:p w14:paraId="7AE582F8">
      <w:pPr>
        <w:spacing w:line="360" w:lineRule="auto"/>
        <w:ind w:firstLine="482" w:firstLineChars="200"/>
        <w:rPr>
          <w:rFonts w:hint="eastAsia" w:asciiTheme="minorEastAsia" w:hAnsiTheme="minorEastAsia" w:eastAsiaTheme="minorEastAsia"/>
          <w:kern w:val="0"/>
          <w:sz w:val="24"/>
        </w:rPr>
      </w:pPr>
      <w:r>
        <w:rPr>
          <w:rFonts w:hint="eastAsia" w:asciiTheme="minorEastAsia" w:hAnsiTheme="minorEastAsia" w:eastAsiaTheme="minorEastAsia"/>
          <w:b/>
          <w:bCs/>
          <w:kern w:val="0"/>
          <w:sz w:val="24"/>
        </w:rPr>
        <w:t>现状保留天气雷达站</w:t>
      </w:r>
      <w:r>
        <w:rPr>
          <w:rFonts w:hint="eastAsia" w:asciiTheme="minorEastAsia" w:hAnsiTheme="minorEastAsia" w:eastAsiaTheme="minorEastAsia"/>
          <w:b/>
          <w:bCs/>
          <w:kern w:val="0"/>
          <w:sz w:val="24"/>
          <w:lang w:eastAsia="zh-CN"/>
        </w:rPr>
        <w:t>：</w:t>
      </w:r>
      <w:r>
        <w:rPr>
          <w:rFonts w:hint="eastAsia" w:asciiTheme="minorEastAsia" w:hAnsiTheme="minorEastAsia" w:eastAsiaTheme="minorEastAsia"/>
          <w:kern w:val="0"/>
          <w:sz w:val="24"/>
          <w:lang w:val="en-US" w:eastAsia="zh-CN"/>
        </w:rPr>
        <w:t>红塔X波段双偏振天气雷达站，用地地类为公用设施用地，需在现有用地框架内严格管控周边建设活动。</w:t>
      </w:r>
    </w:p>
    <w:p w14:paraId="081F94C2">
      <w:pPr>
        <w:spacing w:line="360" w:lineRule="auto"/>
        <w:ind w:firstLine="482" w:firstLineChars="200"/>
        <w:rPr>
          <w:rFonts w:hint="eastAsia" w:asciiTheme="minorEastAsia" w:hAnsiTheme="minorEastAsia" w:eastAsiaTheme="minorEastAsia"/>
          <w:kern w:val="0"/>
          <w:sz w:val="24"/>
          <w:lang w:val="en-US" w:eastAsia="zh-CN"/>
        </w:rPr>
      </w:pPr>
      <w:r>
        <w:rPr>
          <w:rFonts w:hint="eastAsia" w:asciiTheme="minorEastAsia" w:hAnsiTheme="minorEastAsia" w:eastAsiaTheme="minorEastAsia"/>
          <w:b/>
          <w:bCs/>
          <w:kern w:val="0"/>
          <w:sz w:val="24"/>
        </w:rPr>
        <w:t>规划新增天气雷达站</w:t>
      </w:r>
      <w:r>
        <w:rPr>
          <w:rFonts w:hint="eastAsia" w:asciiTheme="minorEastAsia" w:hAnsiTheme="minorEastAsia" w:eastAsiaTheme="minorEastAsia"/>
          <w:b/>
          <w:bCs/>
          <w:kern w:val="0"/>
          <w:sz w:val="24"/>
          <w:lang w:eastAsia="zh-CN"/>
        </w:rPr>
        <w:t>：</w:t>
      </w:r>
      <w:r>
        <w:rPr>
          <w:rFonts w:hint="eastAsia" w:asciiTheme="minorEastAsia" w:hAnsiTheme="minorEastAsia" w:eastAsiaTheme="minorEastAsia"/>
          <w:kern w:val="0"/>
          <w:sz w:val="24"/>
          <w:lang w:val="en-US" w:eastAsia="zh-CN"/>
        </w:rPr>
        <w:t>新平现状X波段双偏振天气雷达站将在规划期内升级新建为S波段新一代天气雷达站，该站现状用地地类为特殊用地；7个新增天气雷达站（含1部X波段双偏振天气雷达站、3部微小型X波段天气雷达站、3部X波段相控阵天气雷达站），现状用地地类情况为：江川、澄江、易门、元江6个站为公用设施用地，通海站为农村宅基地，华宁站为草地，峨山站为林地。后续建设需优先利用现有合规用地，避免占用生态敏感区域或耕地资源。</w:t>
      </w:r>
    </w:p>
    <w:p w14:paraId="7EF20EDF">
      <w:pPr>
        <w:pStyle w:val="4"/>
        <w:numPr>
          <w:ilvl w:val="0"/>
          <w:numId w:val="15"/>
        </w:numPr>
      </w:pPr>
      <w:r>
        <w:rPr>
          <w:rFonts w:hint="eastAsia"/>
        </w:rPr>
        <w:t>与各县市区国土空间总体规划</w:t>
      </w:r>
      <w:r>
        <w:rPr>
          <w:rFonts w:hint="eastAsia"/>
          <w:lang w:val="en-US" w:eastAsia="zh-CN"/>
        </w:rPr>
        <w:t>用地</w:t>
      </w:r>
      <w:r>
        <w:rPr>
          <w:rFonts w:hint="eastAsia"/>
        </w:rPr>
        <w:t>的衔接</w:t>
      </w:r>
    </w:p>
    <w:p w14:paraId="20A5143F">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rPr>
        <w:t>为实现气象探测环境保护与地方国土空间发展的长期协同，本规划与玉溪市各县（区）国土空间总体规划（2021-2035年）用地布局进行深度衔接，明确各类气象观测站规划用地性质，同时指出当前保护短板：</w:t>
      </w:r>
    </w:p>
    <w:p w14:paraId="566E8C43">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2" w:firstLineChars="200"/>
        <w:textAlignment w:val="auto"/>
        <w:rPr>
          <w:rFonts w:hint="eastAsia" w:cs="Times New Roman" w:asciiTheme="minorEastAsia" w:hAnsiTheme="minorEastAsia" w:eastAsiaTheme="minorEastAsia"/>
          <w:b/>
          <w:bCs/>
          <w:kern w:val="0"/>
          <w:sz w:val="24"/>
        </w:rPr>
      </w:pPr>
      <w:r>
        <w:rPr>
          <w:rFonts w:hint="eastAsia" w:cs="Times New Roman" w:asciiTheme="minorEastAsia" w:hAnsiTheme="minorEastAsia" w:eastAsiaTheme="minorEastAsia"/>
          <w:b/>
          <w:bCs/>
          <w:kern w:val="0"/>
          <w:sz w:val="24"/>
        </w:rPr>
        <w:t>国家级地面气象观测站（国家基准气候站、国家基本气象站）</w:t>
      </w:r>
    </w:p>
    <w:p w14:paraId="59EE2859">
      <w:pPr>
        <w:spacing w:line="360" w:lineRule="auto"/>
        <w:ind w:firstLine="482" w:firstLineChars="200"/>
        <w:rPr>
          <w:rFonts w:hint="eastAsia" w:asciiTheme="minorEastAsia" w:hAnsiTheme="minorEastAsia" w:eastAsiaTheme="minorEastAsia"/>
          <w:kern w:val="0"/>
          <w:sz w:val="24"/>
        </w:rPr>
      </w:pPr>
      <w:r>
        <w:rPr>
          <w:rFonts w:hint="eastAsia" w:asciiTheme="minorEastAsia" w:hAnsiTheme="minorEastAsia" w:eastAsiaTheme="minorEastAsia"/>
          <w:b/>
          <w:bCs/>
          <w:kern w:val="0"/>
          <w:sz w:val="24"/>
        </w:rPr>
        <w:t>国家基准气候站</w:t>
      </w:r>
      <w:r>
        <w:rPr>
          <w:rFonts w:hint="eastAsia" w:asciiTheme="minorEastAsia" w:hAnsiTheme="minorEastAsia" w:eastAsiaTheme="minorEastAsia"/>
          <w:b/>
          <w:bCs/>
          <w:kern w:val="0"/>
          <w:sz w:val="24"/>
          <w:lang w:eastAsia="zh-CN"/>
        </w:rPr>
        <w:t>：</w:t>
      </w:r>
      <w:r>
        <w:rPr>
          <w:rFonts w:hint="eastAsia" w:asciiTheme="minorEastAsia" w:hAnsiTheme="minorEastAsia" w:eastAsiaTheme="minorEastAsia"/>
          <w:kern w:val="0"/>
          <w:sz w:val="24"/>
        </w:rPr>
        <w:t>元江国家基准气候站在县（区）国土空间总体规划中，用地性质规划为广播电视设施用地，需确保规划用地调整不影响其探测环境安全性与稳定性。</w:t>
      </w:r>
    </w:p>
    <w:p w14:paraId="29AE865F">
      <w:pPr>
        <w:spacing w:line="360" w:lineRule="auto"/>
        <w:ind w:firstLine="482" w:firstLineChars="200"/>
        <w:rPr>
          <w:rFonts w:hint="eastAsia" w:asciiTheme="minorEastAsia" w:hAnsiTheme="minorEastAsia" w:eastAsiaTheme="minorEastAsia"/>
          <w:kern w:val="0"/>
          <w:sz w:val="24"/>
        </w:rPr>
      </w:pPr>
      <w:r>
        <w:rPr>
          <w:rFonts w:hint="eastAsia" w:cs="Times New Roman" w:asciiTheme="minorEastAsia" w:hAnsiTheme="minorEastAsia" w:eastAsiaTheme="minorEastAsia"/>
          <w:b/>
          <w:bCs/>
          <w:kern w:val="0"/>
          <w:sz w:val="24"/>
        </w:rPr>
        <w:t>国家基本气象站</w:t>
      </w:r>
      <w:r>
        <w:rPr>
          <w:rFonts w:hint="eastAsia" w:cs="Times New Roman" w:asciiTheme="minorEastAsia" w:hAnsiTheme="minorEastAsia" w:eastAsiaTheme="minorEastAsia"/>
          <w:b/>
          <w:bCs/>
          <w:kern w:val="0"/>
          <w:sz w:val="24"/>
          <w:lang w:eastAsia="zh-CN"/>
        </w:rPr>
        <w:t>：</w:t>
      </w:r>
      <w:r>
        <w:rPr>
          <w:rFonts w:hint="eastAsia" w:asciiTheme="minorEastAsia" w:hAnsiTheme="minorEastAsia" w:eastAsiaTheme="minorEastAsia"/>
          <w:kern w:val="0"/>
          <w:sz w:val="24"/>
        </w:rPr>
        <w:t>8个国家基本气象站规划用地性质结合地方发展需求差异化设定，其中玉溪站规划为城镇住宅用地（需重点防范城镇化建设对探测环境的侵占），江川、澄江、通海、华宁、易门5个站规划为机关团体用地，新平站规划为林地</w:t>
      </w:r>
      <w:r>
        <w:rPr>
          <w:rFonts w:hint="eastAsia" w:asciiTheme="minorEastAsia" w:hAnsiTheme="minorEastAsia" w:eastAsiaTheme="minorEastAsia"/>
          <w:kern w:val="0"/>
          <w:sz w:val="24"/>
          <w:lang w:eastAsia="zh-CN"/>
        </w:rPr>
        <w:t>，峨山站业务楼用地为机关团体用地且观测场为公用设施用地，</w:t>
      </w:r>
      <w:r>
        <w:rPr>
          <w:rFonts w:hint="eastAsia" w:asciiTheme="minorEastAsia" w:hAnsiTheme="minorEastAsia" w:eastAsiaTheme="minorEastAsia"/>
          <w:kern w:val="0"/>
          <w:sz w:val="24"/>
        </w:rPr>
        <w:t>后续需通过规划管控，确保各类用地调整不突破气象探测环境保护标准。</w:t>
      </w:r>
    </w:p>
    <w:p w14:paraId="5068CE67">
      <w:pPr>
        <w:keepNext w:val="0"/>
        <w:keepLines w:val="0"/>
        <w:pageBreakBefore w:val="0"/>
        <w:widowControl w:val="0"/>
        <w:numPr>
          <w:ilvl w:val="0"/>
          <w:numId w:val="17"/>
        </w:numPr>
        <w:kinsoku/>
        <w:wordWrap/>
        <w:overflowPunct/>
        <w:topLinePunct w:val="0"/>
        <w:autoSpaceDE/>
        <w:autoSpaceDN/>
        <w:bidi w:val="0"/>
        <w:adjustRightInd/>
        <w:snapToGrid/>
        <w:spacing w:line="360" w:lineRule="auto"/>
        <w:ind w:left="0" w:leftChars="0" w:firstLine="482" w:firstLineChars="200"/>
        <w:textAlignment w:val="auto"/>
        <w:rPr>
          <w:rFonts w:hint="eastAsia" w:cs="Times New Roman" w:asciiTheme="minorEastAsia" w:hAnsiTheme="minorEastAsia" w:eastAsiaTheme="minorEastAsia"/>
          <w:b/>
          <w:bCs/>
          <w:kern w:val="0"/>
          <w:sz w:val="24"/>
        </w:rPr>
      </w:pPr>
      <w:r>
        <w:rPr>
          <w:rFonts w:hint="eastAsia" w:cs="Times New Roman" w:asciiTheme="minorEastAsia" w:hAnsiTheme="minorEastAsia" w:eastAsiaTheme="minorEastAsia"/>
          <w:b/>
          <w:bCs/>
          <w:kern w:val="0"/>
          <w:sz w:val="24"/>
        </w:rPr>
        <w:t>天气雷达站</w:t>
      </w:r>
    </w:p>
    <w:p w14:paraId="39CC778B">
      <w:pPr>
        <w:spacing w:line="360" w:lineRule="auto"/>
        <w:ind w:firstLine="482" w:firstLineChars="200"/>
        <w:rPr>
          <w:rFonts w:hint="eastAsia" w:asciiTheme="minorEastAsia" w:hAnsiTheme="minorEastAsia" w:eastAsiaTheme="minorEastAsia"/>
          <w:kern w:val="0"/>
          <w:sz w:val="24"/>
        </w:rPr>
      </w:pPr>
      <w:r>
        <w:rPr>
          <w:rFonts w:hint="eastAsia" w:asciiTheme="minorEastAsia" w:hAnsiTheme="minorEastAsia" w:eastAsiaTheme="minorEastAsia"/>
          <w:b/>
          <w:bCs/>
          <w:kern w:val="0"/>
          <w:sz w:val="24"/>
        </w:rPr>
        <w:t>现状保留天气雷达站</w:t>
      </w:r>
      <w:r>
        <w:rPr>
          <w:rFonts w:hint="eastAsia" w:asciiTheme="minorEastAsia" w:hAnsiTheme="minorEastAsia" w:eastAsiaTheme="minorEastAsia"/>
          <w:b/>
          <w:bCs/>
          <w:kern w:val="0"/>
          <w:sz w:val="24"/>
          <w:lang w:eastAsia="zh-CN"/>
        </w:rPr>
        <w:t>：</w:t>
      </w:r>
      <w:r>
        <w:rPr>
          <w:rFonts w:hint="eastAsia" w:asciiTheme="minorEastAsia" w:hAnsiTheme="minorEastAsia" w:eastAsiaTheme="minorEastAsia"/>
          <w:kern w:val="0"/>
          <w:sz w:val="24"/>
        </w:rPr>
        <w:t>红塔现状X波段</w:t>
      </w:r>
      <w:r>
        <w:rPr>
          <w:rFonts w:hint="eastAsia" w:asciiTheme="minorEastAsia" w:hAnsiTheme="minorEastAsia" w:eastAsiaTheme="minorEastAsia"/>
          <w:kern w:val="0"/>
          <w:sz w:val="24"/>
          <w:lang w:val="en-US" w:eastAsia="zh-CN"/>
        </w:rPr>
        <w:t>双偏振</w:t>
      </w:r>
      <w:r>
        <w:rPr>
          <w:rFonts w:hint="eastAsia" w:asciiTheme="minorEastAsia" w:hAnsiTheme="minorEastAsia" w:eastAsiaTheme="minorEastAsia"/>
          <w:kern w:val="0"/>
          <w:sz w:val="24"/>
        </w:rPr>
        <w:t>天气雷达站规划为设施农用地，需在规划实施中明确用地边界，避免与农业生产、其他特殊用途用地产生功能冲突。</w:t>
      </w:r>
    </w:p>
    <w:p w14:paraId="6A413775">
      <w:pPr>
        <w:spacing w:line="360" w:lineRule="auto"/>
        <w:ind w:firstLine="482" w:firstLineChars="200"/>
        <w:rPr>
          <w:rFonts w:hint="eastAsia" w:asciiTheme="minorEastAsia" w:hAnsiTheme="minorEastAsia" w:eastAsiaTheme="minorEastAsia"/>
          <w:kern w:val="0"/>
          <w:sz w:val="24"/>
          <w:lang w:val="en-US" w:eastAsia="zh-CN"/>
        </w:rPr>
      </w:pPr>
      <w:r>
        <w:rPr>
          <w:rFonts w:hint="eastAsia" w:asciiTheme="minorEastAsia" w:hAnsiTheme="minorEastAsia" w:eastAsiaTheme="minorEastAsia"/>
          <w:b/>
          <w:bCs/>
          <w:kern w:val="0"/>
          <w:sz w:val="24"/>
        </w:rPr>
        <w:t>规划新增天气雷达站</w:t>
      </w:r>
      <w:r>
        <w:rPr>
          <w:rFonts w:hint="eastAsia" w:asciiTheme="minorEastAsia" w:hAnsiTheme="minorEastAsia" w:eastAsiaTheme="minorEastAsia"/>
          <w:b/>
          <w:bCs/>
          <w:kern w:val="0"/>
          <w:sz w:val="24"/>
          <w:lang w:eastAsia="zh-CN"/>
        </w:rPr>
        <w:t>：</w:t>
      </w:r>
      <w:r>
        <w:rPr>
          <w:rFonts w:hint="eastAsia" w:asciiTheme="minorEastAsia" w:hAnsiTheme="minorEastAsia" w:eastAsiaTheme="minorEastAsia"/>
          <w:kern w:val="0"/>
          <w:sz w:val="24"/>
          <w:lang w:val="en-US" w:eastAsia="zh-CN"/>
        </w:rPr>
        <w:t>新平现状X波段双偏振天气雷达站将在规划期内升级新建为S波段新一代天气雷达站，该站规划用地为特殊用地；7个新增天气雷达站中</w:t>
      </w:r>
      <w:r>
        <w:rPr>
          <w:rFonts w:hint="eastAsia" w:asciiTheme="minorEastAsia" w:hAnsiTheme="minorEastAsia" w:eastAsiaTheme="minorEastAsia"/>
          <w:kern w:val="0"/>
          <w:sz w:val="24"/>
        </w:rPr>
        <w:t>，江川、澄江</w:t>
      </w:r>
      <w:r>
        <w:rPr>
          <w:rFonts w:hint="eastAsia" w:asciiTheme="minorEastAsia" w:hAnsiTheme="minorEastAsia" w:eastAsiaTheme="minorEastAsia"/>
          <w:kern w:val="0"/>
          <w:sz w:val="24"/>
          <w:lang w:val="en-US" w:eastAsia="zh-CN"/>
        </w:rPr>
        <w:t>2</w:t>
      </w:r>
      <w:r>
        <w:rPr>
          <w:rFonts w:hint="eastAsia" w:asciiTheme="minorEastAsia" w:hAnsiTheme="minorEastAsia" w:eastAsiaTheme="minorEastAsia"/>
          <w:kern w:val="0"/>
          <w:sz w:val="24"/>
        </w:rPr>
        <w:t>个站为公用设施用地，易门</w:t>
      </w:r>
      <w:r>
        <w:rPr>
          <w:rFonts w:hint="eastAsia" w:asciiTheme="minorEastAsia" w:hAnsiTheme="minorEastAsia" w:eastAsiaTheme="minorEastAsia"/>
          <w:kern w:val="0"/>
          <w:sz w:val="24"/>
          <w:lang w:eastAsia="zh-CN"/>
        </w:rPr>
        <w:t>、</w:t>
      </w:r>
      <w:r>
        <w:rPr>
          <w:rFonts w:hint="eastAsia" w:asciiTheme="minorEastAsia" w:hAnsiTheme="minorEastAsia" w:eastAsiaTheme="minorEastAsia"/>
          <w:kern w:val="0"/>
          <w:sz w:val="24"/>
          <w:lang w:val="en-US" w:eastAsia="zh-CN"/>
        </w:rPr>
        <w:t>峨山2个</w:t>
      </w:r>
      <w:r>
        <w:rPr>
          <w:rFonts w:hint="eastAsia" w:asciiTheme="minorEastAsia" w:hAnsiTheme="minorEastAsia" w:eastAsiaTheme="minorEastAsia"/>
          <w:kern w:val="0"/>
          <w:sz w:val="24"/>
        </w:rPr>
        <w:t>站为林地，通海</w:t>
      </w:r>
      <w:r>
        <w:rPr>
          <w:rFonts w:hint="eastAsia" w:asciiTheme="minorEastAsia" w:hAnsiTheme="minorEastAsia" w:eastAsiaTheme="minorEastAsia"/>
          <w:kern w:val="0"/>
          <w:sz w:val="24"/>
          <w:lang w:val="en-US" w:eastAsia="zh-CN"/>
        </w:rPr>
        <w:t>站为农村宅基地</w:t>
      </w:r>
      <w:r>
        <w:rPr>
          <w:rFonts w:hint="eastAsia" w:asciiTheme="minorEastAsia" w:hAnsiTheme="minorEastAsia" w:eastAsiaTheme="minorEastAsia"/>
          <w:kern w:val="0"/>
          <w:sz w:val="24"/>
          <w:lang w:eastAsia="zh-CN"/>
        </w:rPr>
        <w:t>，</w:t>
      </w:r>
      <w:r>
        <w:rPr>
          <w:rFonts w:hint="eastAsia" w:asciiTheme="minorEastAsia" w:hAnsiTheme="minorEastAsia" w:eastAsiaTheme="minorEastAsia"/>
          <w:kern w:val="0"/>
          <w:sz w:val="24"/>
        </w:rPr>
        <w:t>元江站为广播电视设施用地，华宁站为草地</w:t>
      </w:r>
      <w:r>
        <w:rPr>
          <w:rFonts w:hint="eastAsia" w:asciiTheme="minorEastAsia" w:hAnsiTheme="minorEastAsia" w:eastAsiaTheme="minorEastAsia"/>
          <w:kern w:val="0"/>
          <w:sz w:val="24"/>
          <w:lang w:eastAsia="zh-CN"/>
        </w:rPr>
        <w:t>。</w:t>
      </w:r>
      <w:r>
        <w:rPr>
          <w:rFonts w:hint="eastAsia" w:asciiTheme="minorEastAsia" w:hAnsiTheme="minorEastAsia" w:eastAsiaTheme="minorEastAsia"/>
          <w:kern w:val="0"/>
          <w:sz w:val="24"/>
        </w:rPr>
        <w:t>需在规划落地阶段同步明确用地保护范围，纳入详细规划管控内容。</w:t>
      </w:r>
    </w:p>
    <w:p w14:paraId="521AC734">
      <w:pPr>
        <w:pStyle w:val="3"/>
        <w:keepNext/>
        <w:keepLines w:val="0"/>
        <w:pageBreakBefore w:val="0"/>
        <w:widowControl/>
        <w:kinsoku/>
        <w:wordWrap/>
        <w:overflowPunct/>
        <w:topLinePunct w:val="0"/>
        <w:autoSpaceDE/>
        <w:autoSpaceDN/>
        <w:bidi w:val="0"/>
        <w:adjustRightInd/>
        <w:snapToGrid/>
        <w:spacing w:line="416" w:lineRule="auto"/>
        <w:ind w:left="0" w:firstLine="0"/>
        <w:textAlignment w:val="auto"/>
        <w:rPr>
          <w:rFonts w:hint="eastAsia" w:cs="Times New Roman"/>
          <w:lang w:val="en-US" w:eastAsia="zh-CN"/>
        </w:rPr>
      </w:pPr>
      <w:bookmarkStart w:id="19" w:name="_Toc30456"/>
      <w:r>
        <w:rPr>
          <w:rFonts w:hint="eastAsia" w:cs="Times New Roman"/>
          <w:lang w:val="en-US" w:eastAsia="zh-CN"/>
        </w:rPr>
        <w:t>与规划底线衔接</w:t>
      </w:r>
      <w:bookmarkEnd w:id="19"/>
    </w:p>
    <w:p w14:paraId="56542046">
      <w:pPr>
        <w:keepNext/>
        <w:keepLines/>
        <w:widowControl w:val="0"/>
        <w:numPr>
          <w:ilvl w:val="0"/>
          <w:numId w:val="18"/>
        </w:numPr>
        <w:spacing w:line="416" w:lineRule="auto"/>
        <w:ind w:left="440" w:hanging="440"/>
        <w:jc w:val="both"/>
        <w:outlineLvl w:val="2"/>
        <w:rPr>
          <w:rFonts w:hint="default" w:ascii="Times New Roman" w:hAnsi="Times New Roman" w:eastAsia="宋体" w:cs="Times New Roman"/>
          <w:b/>
          <w:bCs/>
          <w:kern w:val="2"/>
          <w:sz w:val="28"/>
          <w:szCs w:val="32"/>
          <w:lang w:val="en-US" w:eastAsia="zh-CN" w:bidi="ar-SA"/>
        </w:rPr>
      </w:pPr>
      <w:r>
        <w:rPr>
          <w:rFonts w:hint="eastAsia" w:ascii="Times New Roman" w:hAnsi="Times New Roman" w:eastAsia="宋体" w:cs="Times New Roman"/>
          <w:b/>
          <w:bCs/>
          <w:kern w:val="2"/>
          <w:sz w:val="28"/>
          <w:szCs w:val="32"/>
          <w:lang w:val="en-US" w:eastAsia="zh-CN" w:bidi="ar-SA"/>
        </w:rPr>
        <w:t>与“三区三线”数据衔接</w:t>
      </w:r>
    </w:p>
    <w:p w14:paraId="41CAF434">
      <w:pPr>
        <w:spacing w:line="360" w:lineRule="auto"/>
        <w:ind w:firstLine="482" w:firstLineChars="200"/>
        <w:rPr>
          <w:rFonts w:hint="eastAsia" w:cs="Times New Roman" w:asciiTheme="minorEastAsia" w:hAnsiTheme="minorEastAsia" w:eastAsiaTheme="minorEastAsia"/>
          <w:color w:val="auto"/>
          <w:kern w:val="0"/>
          <w:sz w:val="24"/>
          <w:lang w:eastAsia="zh-CN"/>
        </w:rPr>
      </w:pPr>
      <w:r>
        <w:rPr>
          <w:rFonts w:hint="eastAsia" w:cs="Times New Roman" w:asciiTheme="minorEastAsia" w:hAnsiTheme="minorEastAsia" w:eastAsiaTheme="minorEastAsia"/>
          <w:b/>
          <w:bCs/>
          <w:color w:val="auto"/>
          <w:kern w:val="0"/>
          <w:sz w:val="24"/>
        </w:rPr>
        <w:t>国家级地面气象观测站</w:t>
      </w:r>
      <w:r>
        <w:rPr>
          <w:rFonts w:hint="eastAsia" w:cs="Times New Roman" w:asciiTheme="minorEastAsia" w:hAnsiTheme="minorEastAsia" w:eastAsiaTheme="minorEastAsia"/>
          <w:b/>
          <w:bCs/>
          <w:color w:val="auto"/>
          <w:kern w:val="0"/>
          <w:sz w:val="24"/>
          <w:lang w:eastAsia="zh-CN"/>
        </w:rPr>
        <w:t>：</w:t>
      </w:r>
      <w:r>
        <w:rPr>
          <w:rFonts w:hint="eastAsia" w:cs="Times New Roman" w:asciiTheme="minorEastAsia" w:hAnsiTheme="minorEastAsia" w:eastAsiaTheme="minorEastAsia"/>
          <w:color w:val="auto"/>
          <w:kern w:val="0"/>
          <w:sz w:val="24"/>
        </w:rPr>
        <w:t>元江国家基准气候站不涉及生态保护红线、永久基本农田和城镇开发边界；国家基本气象站里，</w:t>
      </w:r>
      <w:r>
        <w:rPr>
          <w:rFonts w:hint="eastAsia" w:cs="Times New Roman" w:asciiTheme="minorEastAsia" w:hAnsiTheme="minorEastAsia" w:eastAsiaTheme="minorEastAsia"/>
          <w:color w:val="auto"/>
          <w:kern w:val="0"/>
          <w:sz w:val="24"/>
          <w:lang w:eastAsia="zh-CN"/>
        </w:rPr>
        <w:t>玉溪</w:t>
      </w:r>
      <w:r>
        <w:rPr>
          <w:rFonts w:hint="eastAsia" w:cs="Times New Roman" w:asciiTheme="minorEastAsia" w:hAnsiTheme="minorEastAsia" w:eastAsiaTheme="minorEastAsia"/>
          <w:color w:val="auto"/>
          <w:kern w:val="0"/>
          <w:sz w:val="24"/>
          <w:lang w:val="en-US" w:eastAsia="zh-CN"/>
        </w:rPr>
        <w:t>站</w:t>
      </w:r>
      <w:r>
        <w:rPr>
          <w:rFonts w:hint="eastAsia" w:cs="Times New Roman" w:asciiTheme="minorEastAsia" w:hAnsiTheme="minorEastAsia" w:eastAsiaTheme="minorEastAsia"/>
          <w:color w:val="auto"/>
          <w:kern w:val="0"/>
          <w:sz w:val="24"/>
        </w:rPr>
        <w:t>、江川</w:t>
      </w:r>
      <w:r>
        <w:rPr>
          <w:rFonts w:hint="eastAsia" w:cs="Times New Roman" w:asciiTheme="minorEastAsia" w:hAnsiTheme="minorEastAsia" w:eastAsiaTheme="minorEastAsia"/>
          <w:color w:val="auto"/>
          <w:kern w:val="0"/>
          <w:sz w:val="24"/>
          <w:lang w:val="en-US" w:eastAsia="zh-CN"/>
        </w:rPr>
        <w:t>站和</w:t>
      </w:r>
      <w:r>
        <w:rPr>
          <w:rFonts w:hint="eastAsia" w:cs="Times New Roman" w:asciiTheme="minorEastAsia" w:hAnsiTheme="minorEastAsia" w:eastAsiaTheme="minorEastAsia"/>
          <w:color w:val="auto"/>
          <w:kern w:val="0"/>
          <w:sz w:val="24"/>
        </w:rPr>
        <w:t>澄江</w:t>
      </w:r>
      <w:r>
        <w:rPr>
          <w:rFonts w:hint="eastAsia" w:cs="Times New Roman" w:asciiTheme="minorEastAsia" w:hAnsiTheme="minorEastAsia" w:eastAsiaTheme="minorEastAsia"/>
          <w:color w:val="auto"/>
          <w:kern w:val="0"/>
          <w:sz w:val="24"/>
          <w:lang w:val="en-US" w:eastAsia="zh-CN"/>
        </w:rPr>
        <w:t>站</w:t>
      </w:r>
      <w:r>
        <w:rPr>
          <w:rFonts w:hint="eastAsia" w:cs="Times New Roman" w:asciiTheme="minorEastAsia" w:hAnsiTheme="minorEastAsia" w:eastAsiaTheme="minorEastAsia"/>
          <w:color w:val="auto"/>
          <w:kern w:val="0"/>
          <w:sz w:val="24"/>
        </w:rPr>
        <w:t>位于城镇开发边界内，通海</w:t>
      </w:r>
      <w:r>
        <w:rPr>
          <w:rFonts w:hint="eastAsia" w:cs="Times New Roman" w:asciiTheme="minorEastAsia" w:hAnsiTheme="minorEastAsia" w:eastAsiaTheme="minorEastAsia"/>
          <w:color w:val="auto"/>
          <w:kern w:val="0"/>
          <w:sz w:val="24"/>
          <w:lang w:val="en-US" w:eastAsia="zh-CN"/>
        </w:rPr>
        <w:t>站</w:t>
      </w:r>
      <w:r>
        <w:rPr>
          <w:rFonts w:hint="eastAsia" w:cs="Times New Roman" w:asciiTheme="minorEastAsia" w:hAnsiTheme="minorEastAsia" w:eastAsiaTheme="minorEastAsia"/>
          <w:color w:val="auto"/>
          <w:kern w:val="0"/>
          <w:sz w:val="24"/>
        </w:rPr>
        <w:t>、华宁</w:t>
      </w:r>
      <w:r>
        <w:rPr>
          <w:rFonts w:hint="eastAsia" w:cs="Times New Roman" w:asciiTheme="minorEastAsia" w:hAnsiTheme="minorEastAsia" w:eastAsiaTheme="minorEastAsia"/>
          <w:color w:val="auto"/>
          <w:kern w:val="0"/>
          <w:sz w:val="24"/>
          <w:lang w:val="en-US" w:eastAsia="zh-CN"/>
        </w:rPr>
        <w:t>站</w:t>
      </w:r>
      <w:r>
        <w:rPr>
          <w:rFonts w:hint="eastAsia" w:cs="Times New Roman" w:asciiTheme="minorEastAsia" w:hAnsiTheme="minorEastAsia" w:eastAsiaTheme="minorEastAsia"/>
          <w:color w:val="auto"/>
          <w:kern w:val="0"/>
          <w:sz w:val="24"/>
        </w:rPr>
        <w:t>、易门</w:t>
      </w:r>
      <w:r>
        <w:rPr>
          <w:rFonts w:hint="eastAsia" w:cs="Times New Roman" w:asciiTheme="minorEastAsia" w:hAnsiTheme="minorEastAsia" w:eastAsiaTheme="minorEastAsia"/>
          <w:color w:val="auto"/>
          <w:kern w:val="0"/>
          <w:sz w:val="24"/>
          <w:lang w:val="en-US" w:eastAsia="zh-CN"/>
        </w:rPr>
        <w:t>站</w:t>
      </w:r>
      <w:r>
        <w:rPr>
          <w:rFonts w:hint="eastAsia" w:cs="Times New Roman" w:asciiTheme="minorEastAsia" w:hAnsiTheme="minorEastAsia" w:eastAsiaTheme="minorEastAsia"/>
          <w:color w:val="auto"/>
          <w:kern w:val="0"/>
          <w:sz w:val="24"/>
        </w:rPr>
        <w:t>、峨山</w:t>
      </w:r>
      <w:r>
        <w:rPr>
          <w:rFonts w:hint="eastAsia" w:cs="Times New Roman" w:asciiTheme="minorEastAsia" w:hAnsiTheme="minorEastAsia" w:eastAsiaTheme="minorEastAsia"/>
          <w:color w:val="auto"/>
          <w:kern w:val="0"/>
          <w:sz w:val="24"/>
          <w:lang w:val="en-US" w:eastAsia="zh-CN"/>
        </w:rPr>
        <w:t>站</w:t>
      </w:r>
      <w:r>
        <w:rPr>
          <w:rFonts w:hint="eastAsia" w:cs="Times New Roman" w:asciiTheme="minorEastAsia" w:hAnsiTheme="minorEastAsia" w:eastAsiaTheme="minorEastAsia"/>
          <w:color w:val="auto"/>
          <w:kern w:val="0"/>
          <w:sz w:val="24"/>
          <w:lang w:eastAsia="zh-CN"/>
        </w:rPr>
        <w:t>、新平</w:t>
      </w:r>
      <w:r>
        <w:rPr>
          <w:rFonts w:hint="eastAsia" w:cs="Times New Roman" w:asciiTheme="minorEastAsia" w:hAnsiTheme="minorEastAsia" w:eastAsiaTheme="minorEastAsia"/>
          <w:color w:val="auto"/>
          <w:kern w:val="0"/>
          <w:sz w:val="24"/>
          <w:lang w:val="en-US" w:eastAsia="zh-CN"/>
        </w:rPr>
        <w:t>站</w:t>
      </w:r>
      <w:r>
        <w:rPr>
          <w:rFonts w:hint="eastAsia" w:cs="Times New Roman" w:asciiTheme="minorEastAsia" w:hAnsiTheme="minorEastAsia" w:eastAsiaTheme="minorEastAsia"/>
          <w:color w:val="auto"/>
          <w:kern w:val="0"/>
          <w:sz w:val="24"/>
        </w:rPr>
        <w:t>不涉及生态保护红线、永久基本农田和城镇开发边界</w:t>
      </w:r>
      <w:r>
        <w:rPr>
          <w:rFonts w:hint="eastAsia" w:cs="Times New Roman" w:asciiTheme="minorEastAsia" w:hAnsiTheme="minorEastAsia" w:eastAsiaTheme="minorEastAsia"/>
          <w:color w:val="auto"/>
          <w:kern w:val="0"/>
          <w:sz w:val="24"/>
          <w:lang w:eastAsia="zh-CN"/>
        </w:rPr>
        <w:t>。</w:t>
      </w:r>
    </w:p>
    <w:p w14:paraId="2A74B90A">
      <w:pPr>
        <w:spacing w:line="360" w:lineRule="auto"/>
        <w:ind w:firstLine="482" w:firstLineChars="200"/>
        <w:rPr>
          <w:rFonts w:hint="eastAsia" w:cs="Times New Roman" w:asciiTheme="minorEastAsia" w:hAnsiTheme="minorEastAsia" w:eastAsiaTheme="minorEastAsia"/>
          <w:color w:val="auto"/>
          <w:kern w:val="0"/>
          <w:sz w:val="24"/>
        </w:rPr>
      </w:pPr>
      <w:r>
        <w:rPr>
          <w:rFonts w:hint="eastAsia" w:cs="Times New Roman" w:asciiTheme="minorEastAsia" w:hAnsiTheme="minorEastAsia" w:eastAsiaTheme="minorEastAsia"/>
          <w:b/>
          <w:bCs/>
          <w:color w:val="auto"/>
          <w:kern w:val="0"/>
          <w:sz w:val="24"/>
        </w:rPr>
        <w:t>天气雷达站</w:t>
      </w:r>
      <w:r>
        <w:rPr>
          <w:rFonts w:hint="eastAsia" w:cs="Times New Roman" w:asciiTheme="minorEastAsia" w:hAnsiTheme="minorEastAsia" w:eastAsiaTheme="minorEastAsia"/>
          <w:b/>
          <w:bCs/>
          <w:color w:val="auto"/>
          <w:kern w:val="0"/>
          <w:sz w:val="24"/>
          <w:lang w:eastAsia="zh-CN"/>
        </w:rPr>
        <w:t>：</w:t>
      </w:r>
      <w:r>
        <w:rPr>
          <w:rFonts w:hint="eastAsia" w:cs="Times New Roman" w:asciiTheme="minorEastAsia" w:hAnsiTheme="minorEastAsia" w:eastAsiaTheme="minorEastAsia"/>
          <w:color w:val="auto"/>
          <w:kern w:val="0"/>
          <w:sz w:val="24"/>
        </w:rPr>
        <w:t>现状保留的红塔X波段双偏振天气雷达站，其选址未涉及生态保护红线、永久基本农田及城镇开发边界；新平现状X波段双偏振天气雷达站当前位于生态保护红线内，规划期内将升级为S波段新一代天气雷达站并继续在此址建设；新增规划站点中，江川X波段相控阵天气雷达站位于生态保护红线内，而峨山X波段双偏振天气雷达站、通海-易门-元江3部微小型X波段天气雷达站、澄江-华宁2部X波段相控阵天气雷达站，均未涉及生态保护红线、永久基本农田与城镇开发边界。综合来看，玉溪市天气雷达站整体布局适配“三区三线”管控要求。</w:t>
      </w:r>
    </w:p>
    <w:p w14:paraId="241497CD">
      <w:pPr>
        <w:keepNext/>
        <w:keepLines/>
        <w:widowControl w:val="0"/>
        <w:numPr>
          <w:ilvl w:val="0"/>
          <w:numId w:val="18"/>
        </w:numPr>
        <w:spacing w:line="416" w:lineRule="auto"/>
        <w:ind w:left="440" w:hanging="440"/>
        <w:jc w:val="both"/>
        <w:outlineLvl w:val="2"/>
        <w:rPr>
          <w:rFonts w:hint="eastAsia" w:ascii="Times New Roman" w:hAnsi="Times New Roman" w:eastAsia="宋体" w:cs="Times New Roman"/>
          <w:b/>
          <w:bCs/>
          <w:kern w:val="2"/>
          <w:sz w:val="28"/>
          <w:szCs w:val="32"/>
          <w:lang w:val="en-US" w:eastAsia="zh-CN" w:bidi="ar-SA"/>
        </w:rPr>
      </w:pPr>
      <w:r>
        <w:rPr>
          <w:rFonts w:hint="eastAsia" w:ascii="Times New Roman" w:hAnsi="Times New Roman" w:eastAsia="宋体" w:cs="Times New Roman"/>
          <w:b/>
          <w:bCs/>
          <w:kern w:val="2"/>
          <w:sz w:val="28"/>
          <w:szCs w:val="32"/>
          <w:lang w:val="en-US" w:eastAsia="zh-CN" w:bidi="ar-SA"/>
        </w:rPr>
        <w:t>与磨盘山国家森林公园自然保护区衔接</w:t>
      </w:r>
    </w:p>
    <w:p w14:paraId="6C38488F">
      <w:pPr>
        <w:spacing w:line="360" w:lineRule="auto"/>
        <w:ind w:firstLine="480" w:firstLineChars="200"/>
        <w:rPr>
          <w:rFonts w:hint="eastAsia" w:cs="Times New Roman" w:asciiTheme="minorEastAsia" w:hAnsiTheme="minorEastAsia" w:eastAsiaTheme="minorEastAsia"/>
          <w:color w:val="auto"/>
          <w:kern w:val="0"/>
          <w:sz w:val="24"/>
          <w:highlight w:val="none"/>
          <w:lang w:val="en-US" w:eastAsia="zh-CN"/>
        </w:rPr>
      </w:pPr>
      <w:r>
        <w:rPr>
          <w:rFonts w:hint="eastAsia" w:cs="Times New Roman" w:asciiTheme="minorEastAsia" w:hAnsiTheme="minorEastAsia" w:eastAsiaTheme="minorEastAsia"/>
          <w:color w:val="auto"/>
          <w:kern w:val="0"/>
          <w:sz w:val="24"/>
          <w:highlight w:val="none"/>
          <w:lang w:val="en-US" w:eastAsia="zh-CN"/>
        </w:rPr>
        <w:t>玉溪市新平天气雷达站位于位于磨盘山国家森林公园自然保护区外围边界上，不涉及核心区、缓冲区、试验区，需严格遵循自然保护区相关管控要求，在保护生态环境的前提下，保障雷达站探测功能正常发挥。</w:t>
      </w:r>
    </w:p>
    <w:p w14:paraId="58864852">
      <w:pPr>
        <w:keepNext/>
        <w:keepLines/>
        <w:widowControl w:val="0"/>
        <w:numPr>
          <w:ilvl w:val="0"/>
          <w:numId w:val="18"/>
        </w:numPr>
        <w:spacing w:line="416" w:lineRule="auto"/>
        <w:ind w:left="440" w:hanging="440"/>
        <w:jc w:val="both"/>
        <w:outlineLvl w:val="2"/>
        <w:rPr>
          <w:rFonts w:hint="eastAsia" w:ascii="Times New Roman" w:hAnsi="Times New Roman" w:eastAsia="宋体" w:cs="Times New Roman"/>
          <w:b/>
          <w:bCs/>
          <w:kern w:val="2"/>
          <w:sz w:val="28"/>
          <w:szCs w:val="32"/>
          <w:lang w:val="en-US" w:eastAsia="zh-CN" w:bidi="ar-SA"/>
        </w:rPr>
      </w:pPr>
      <w:r>
        <w:rPr>
          <w:rFonts w:hint="eastAsia" w:ascii="Times New Roman" w:hAnsi="Times New Roman" w:eastAsia="宋体" w:cs="Times New Roman"/>
          <w:b/>
          <w:bCs/>
          <w:kern w:val="2"/>
          <w:sz w:val="28"/>
          <w:szCs w:val="32"/>
          <w:lang w:val="en-US" w:eastAsia="zh-CN" w:bidi="ar-SA"/>
        </w:rPr>
        <w:t>九大高原湖泊“两线三区”管控衔接</w:t>
      </w:r>
    </w:p>
    <w:p w14:paraId="1A910BA3">
      <w:pPr>
        <w:spacing w:line="360" w:lineRule="auto"/>
        <w:ind w:firstLine="480" w:firstLineChars="200"/>
        <w:rPr>
          <w:rFonts w:hint="eastAsia" w:cs="Times New Roman" w:asciiTheme="minorEastAsia" w:hAnsiTheme="minorEastAsia" w:eastAsiaTheme="minorEastAsia"/>
          <w:color w:val="auto"/>
          <w:kern w:val="0"/>
          <w:sz w:val="24"/>
          <w:highlight w:val="none"/>
          <w:lang w:val="en-US" w:eastAsia="zh-CN"/>
        </w:rPr>
      </w:pPr>
      <w:r>
        <w:rPr>
          <w:rFonts w:hint="eastAsia" w:cs="Times New Roman" w:asciiTheme="minorEastAsia" w:hAnsiTheme="minorEastAsia" w:eastAsiaTheme="minorEastAsia"/>
          <w:color w:val="auto"/>
          <w:kern w:val="0"/>
          <w:sz w:val="24"/>
          <w:highlight w:val="none"/>
          <w:lang w:val="en-US" w:eastAsia="zh-CN"/>
        </w:rPr>
        <w:t>澄江国家基本气象站及其天气雷达站、江川国家基本气象站及其天气雷达站、华宁国家基本气象站及其天气雷达站，均位于湖泊生态黄线外，符合湖泊生态保护相关要求；通海国家基本气象站位于湖泊生态黄线内，需严格遵守黄线内建设管控规定，其天气雷达站位于湖泊生态黄线外，无需受黄线内额外建设限制。</w:t>
      </w:r>
    </w:p>
    <w:p w14:paraId="5E8E54F8">
      <w:pPr>
        <w:keepNext/>
        <w:keepLines/>
        <w:widowControl w:val="0"/>
        <w:numPr>
          <w:ilvl w:val="0"/>
          <w:numId w:val="18"/>
        </w:numPr>
        <w:spacing w:line="416" w:lineRule="auto"/>
        <w:ind w:left="440" w:hanging="440"/>
        <w:jc w:val="both"/>
        <w:outlineLvl w:val="2"/>
        <w:rPr>
          <w:rFonts w:hint="default" w:ascii="Times New Roman" w:hAnsi="Times New Roman" w:eastAsia="宋体" w:cs="Times New Roman"/>
          <w:b/>
          <w:bCs/>
          <w:kern w:val="2"/>
          <w:sz w:val="28"/>
          <w:szCs w:val="32"/>
          <w:lang w:val="en-US" w:eastAsia="zh-CN" w:bidi="ar-SA"/>
        </w:rPr>
      </w:pPr>
      <w:r>
        <w:rPr>
          <w:rFonts w:hint="eastAsia" w:ascii="Times New Roman" w:hAnsi="Times New Roman" w:eastAsia="宋体" w:cs="Times New Roman"/>
          <w:b/>
          <w:bCs/>
          <w:kern w:val="2"/>
          <w:sz w:val="28"/>
          <w:szCs w:val="32"/>
          <w:lang w:val="en-US" w:eastAsia="zh-CN" w:bidi="ar-SA"/>
        </w:rPr>
        <w:t>与城市黄线衔接</w:t>
      </w:r>
    </w:p>
    <w:p w14:paraId="69D8906E">
      <w:pPr>
        <w:spacing w:line="360" w:lineRule="auto"/>
        <w:ind w:firstLine="480" w:firstLineChars="200"/>
        <w:rPr>
          <w:rFonts w:hint="default" w:cs="Times New Roman" w:asciiTheme="minorEastAsia" w:hAnsiTheme="minorEastAsia" w:eastAsiaTheme="minorEastAsia"/>
          <w:color w:val="auto"/>
          <w:kern w:val="0"/>
          <w:sz w:val="24"/>
          <w:highlight w:val="none"/>
          <w:lang w:val="en-US" w:eastAsia="zh-CN"/>
        </w:rPr>
      </w:pPr>
      <w:r>
        <w:rPr>
          <w:rFonts w:hint="eastAsia" w:cs="Times New Roman" w:asciiTheme="minorEastAsia" w:hAnsiTheme="minorEastAsia" w:eastAsiaTheme="minorEastAsia"/>
          <w:color w:val="auto"/>
          <w:kern w:val="0"/>
          <w:sz w:val="24"/>
          <w:highlight w:val="none"/>
          <w:lang w:val="en-US" w:eastAsia="zh-CN"/>
        </w:rPr>
        <w:t>当前玉溪市所有气象观测站均未纳入城市黄线保护控制。城市黄线作为城市基础设施用地保护的核心管控手段，其覆盖缺失可能导致气象设施用地面临被侵占、挤压的风险。需推动将各类气象观测站用地纳入城市黄线保护体系，通过法定规划手段强化用地刚性保护，确保气象探测设施长期稳定运行。</w:t>
      </w:r>
    </w:p>
    <w:p w14:paraId="021E090A">
      <w:pPr>
        <w:pStyle w:val="2"/>
        <w:keepNext/>
        <w:keepLines w:val="0"/>
        <w:pageBreakBefore w:val="0"/>
        <w:widowControl/>
        <w:numPr>
          <w:ilvl w:val="0"/>
          <w:numId w:val="5"/>
        </w:numPr>
        <w:kinsoku/>
        <w:wordWrap/>
        <w:overflowPunct/>
        <w:topLinePunct w:val="0"/>
        <w:autoSpaceDE/>
        <w:autoSpaceDN/>
        <w:bidi w:val="0"/>
        <w:adjustRightInd/>
        <w:snapToGrid/>
        <w:spacing w:line="240" w:lineRule="auto"/>
        <w:ind w:left="1083" w:hanging="442"/>
        <w:jc w:val="center"/>
        <w:textAlignment w:val="auto"/>
        <w:rPr>
          <w:rFonts w:asciiTheme="minorEastAsia" w:hAnsiTheme="minorEastAsia" w:eastAsiaTheme="minorEastAsia"/>
          <w:szCs w:val="32"/>
        </w:rPr>
      </w:pPr>
      <w:bookmarkStart w:id="20" w:name="_Toc10707"/>
      <w:r>
        <w:rPr>
          <w:rFonts w:hint="eastAsia" w:asciiTheme="minorEastAsia" w:hAnsiTheme="minorEastAsia" w:eastAsiaTheme="minorEastAsia"/>
          <w:szCs w:val="32"/>
        </w:rPr>
        <w:t>气象观测站布局规划</w:t>
      </w:r>
      <w:bookmarkEnd w:id="20"/>
    </w:p>
    <w:p w14:paraId="0F0CA07A">
      <w:pPr>
        <w:pStyle w:val="3"/>
        <w:keepNext w:val="0"/>
        <w:keepLines w:val="0"/>
        <w:widowControl/>
        <w:spacing w:line="415" w:lineRule="auto"/>
        <w:ind w:left="0" w:firstLine="0"/>
      </w:pPr>
      <w:bookmarkStart w:id="21" w:name="_Toc18478"/>
      <w:r>
        <w:rPr>
          <w:rFonts w:hint="eastAsia"/>
        </w:rPr>
        <w:t>气象观测站布局规划</w:t>
      </w:r>
      <w:bookmarkEnd w:id="21"/>
    </w:p>
    <w:p w14:paraId="0866B87C">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构建</w:t>
      </w:r>
      <w:r>
        <w:rPr>
          <w:rFonts w:hint="eastAsia" w:asciiTheme="minorEastAsia" w:hAnsiTheme="minorEastAsia" w:eastAsiaTheme="minorEastAsia"/>
          <w:b/>
          <w:bCs/>
          <w:kern w:val="0"/>
          <w:sz w:val="24"/>
        </w:rPr>
        <w:t>“一核引领、九站支撑、多网联动、全域覆盖”</w:t>
      </w:r>
      <w:r>
        <w:rPr>
          <w:rFonts w:hint="eastAsia" w:asciiTheme="minorEastAsia" w:hAnsiTheme="minorEastAsia" w:eastAsiaTheme="minorEastAsia"/>
          <w:kern w:val="0"/>
          <w:sz w:val="24"/>
        </w:rPr>
        <w:t>气象设施布局体系：</w:t>
      </w:r>
    </w:p>
    <w:p w14:paraId="6A4B4E9D">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一核：以元江国家基准气候站为核心，为集数据中枢、生态监测于一体的枢纽站点，承担全球气候观测与区域数据校准职能，规划为集数据中枢、生态监测于一体的枢纽站点；</w:t>
      </w:r>
    </w:p>
    <w:p w14:paraId="3887BA6F">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九站支撑：1个基准站+8个国家基本气象站，进行设备升级与环境整治，差异化定位，分别聚焦城市气象、湖泊生态、农业服务等差异化功能；</w:t>
      </w:r>
    </w:p>
    <w:p w14:paraId="1D568E94">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多网联动：打造“2+7”多网联动天气雷达网，其中“2”指现状保留的红塔、新平2部X波段双偏振天气雷达（新平站规划原址升级新建S波段新一代天气雷达），“7”为规划新增的多类型雷达，具体包含1部</w:t>
      </w:r>
      <w:r>
        <w:rPr>
          <w:rFonts w:hint="eastAsia" w:asciiTheme="minorEastAsia" w:hAnsiTheme="minorEastAsia" w:eastAsiaTheme="minorEastAsia"/>
          <w:kern w:val="0"/>
          <w:sz w:val="24"/>
          <w:lang w:val="en-US" w:eastAsia="zh-CN"/>
        </w:rPr>
        <w:t>峨山</w:t>
      </w:r>
      <w:r>
        <w:rPr>
          <w:rFonts w:hint="eastAsia" w:asciiTheme="minorEastAsia" w:hAnsiTheme="minorEastAsia" w:eastAsiaTheme="minorEastAsia"/>
          <w:kern w:val="0"/>
          <w:sz w:val="24"/>
        </w:rPr>
        <w:t>县X波段双偏振天气雷达、3部分别布局于通海、易门、元江的微小型X波段天气雷达，以及3部分别选址江川、澄江、华宁的X波段相控阵天气雷达；</w:t>
      </w:r>
    </w:p>
    <w:p w14:paraId="74EFBF40">
      <w:pPr>
        <w:spacing w:line="360" w:lineRule="auto"/>
        <w:ind w:firstLine="480" w:firstLineChars="200"/>
        <w:rPr>
          <w:rFonts w:hint="eastAsia" w:asciiTheme="minorEastAsia" w:hAnsiTheme="minorEastAsia" w:eastAsiaTheme="minorEastAsia"/>
          <w:color w:val="FF0000"/>
          <w:kern w:val="0"/>
          <w:sz w:val="24"/>
          <w:lang w:eastAsia="zh-CN"/>
        </w:rPr>
      </w:pPr>
      <w:r>
        <w:rPr>
          <w:rFonts w:hint="eastAsia" w:asciiTheme="minorEastAsia" w:hAnsiTheme="minorEastAsia" w:eastAsiaTheme="minorEastAsia"/>
          <w:kern w:val="0"/>
          <w:sz w:val="24"/>
        </w:rPr>
        <w:t>全域覆盖：通过乡镇服务站、专项观测点及跨区域联防网络，实现城乡全覆盖，2035年建成西部一流智慧气象设施体系。</w:t>
      </w:r>
    </w:p>
    <w:p w14:paraId="58054268">
      <w:pPr>
        <w:pStyle w:val="2"/>
        <w:keepNext w:val="0"/>
        <w:keepLines w:val="0"/>
        <w:widowControl/>
        <w:numPr>
          <w:ilvl w:val="0"/>
          <w:numId w:val="5"/>
        </w:numPr>
        <w:spacing w:line="240" w:lineRule="auto"/>
        <w:ind w:left="0" w:firstLine="0"/>
        <w:jc w:val="center"/>
        <w:rPr>
          <w:rFonts w:asciiTheme="minorEastAsia" w:hAnsiTheme="minorEastAsia" w:eastAsiaTheme="minorEastAsia"/>
          <w:szCs w:val="32"/>
        </w:rPr>
      </w:pPr>
      <w:bookmarkStart w:id="22" w:name="_Toc10058"/>
      <w:r>
        <w:rPr>
          <w:rFonts w:hint="eastAsia" w:asciiTheme="minorEastAsia" w:hAnsiTheme="minorEastAsia" w:eastAsiaTheme="minorEastAsia"/>
          <w:szCs w:val="32"/>
        </w:rPr>
        <w:t>气象设施和气象探测环境保护规划</w:t>
      </w:r>
      <w:bookmarkEnd w:id="22"/>
    </w:p>
    <w:p w14:paraId="6B9079D9">
      <w:pPr>
        <w:pStyle w:val="3"/>
        <w:keepNext w:val="0"/>
        <w:keepLines w:val="0"/>
        <w:widowControl/>
        <w:spacing w:line="415" w:lineRule="auto"/>
        <w:ind w:left="0" w:firstLine="0"/>
      </w:pPr>
      <w:bookmarkStart w:id="23" w:name="_Toc32410"/>
      <w:r>
        <w:rPr>
          <w:rFonts w:hint="eastAsia"/>
        </w:rPr>
        <w:t>总体要求</w:t>
      </w:r>
      <w:bookmarkEnd w:id="23"/>
    </w:p>
    <w:p w14:paraId="0F1CBEC1">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根据《中华人民共和国气象法》第二十条，禁止下列危害气象探测环境的行为：</w:t>
      </w:r>
    </w:p>
    <w:p w14:paraId="433A58DE">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在气象探测环境保护范围内设置障碍物、进行爆破和采石；在气象探测环境保护范围内设置影响气象探测设施工作效能的高频电磁辐射装置；在气象探测环境保护范围内从事其他影响气象探测的行为。</w:t>
      </w:r>
    </w:p>
    <w:p w14:paraId="049CF6BC">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各级人民政府应当按照法定标准划定气象探测环境的保护范围，并纳入城市规划或者村庄和集镇规划。</w:t>
      </w:r>
    </w:p>
    <w:p w14:paraId="410A4EF5">
      <w:pPr>
        <w:pStyle w:val="3"/>
        <w:keepNext w:val="0"/>
        <w:keepLines w:val="0"/>
        <w:widowControl/>
        <w:spacing w:line="415" w:lineRule="auto"/>
        <w:ind w:left="0" w:firstLine="0"/>
      </w:pPr>
      <w:bookmarkStart w:id="24" w:name="_Toc28978"/>
      <w:r>
        <w:rPr>
          <w:rFonts w:hint="eastAsia"/>
        </w:rPr>
        <w:t>保护范围</w:t>
      </w:r>
      <w:bookmarkEnd w:id="24"/>
    </w:p>
    <w:p w14:paraId="7E918430">
      <w:pPr>
        <w:pStyle w:val="4"/>
        <w:numPr>
          <w:ilvl w:val="0"/>
          <w:numId w:val="19"/>
        </w:numPr>
      </w:pPr>
      <w:r>
        <w:rPr>
          <w:rFonts w:hint="eastAsia"/>
        </w:rPr>
        <w:t>国家级地面气象观测站（国家基准气候站、国家基本气象站）</w:t>
      </w:r>
    </w:p>
    <w:p w14:paraId="169B0FCA">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观测场最多风向的上风方90°范围内5000米、其他方向2000米为规划建议区。国家基准气候站观测场围栏以外四周向外延伸2000米范围为障碍物控制区，国家基本气象站观测场围栏以外四周向外延伸1000米范围为障碍物控制区，在日出方向和日落方向内不受障碍物控制区限制。</w:t>
      </w:r>
    </w:p>
    <w:p w14:paraId="14DF29CC">
      <w:pPr>
        <w:pStyle w:val="4"/>
        <w:numPr>
          <w:ilvl w:val="0"/>
          <w:numId w:val="19"/>
        </w:numPr>
      </w:pPr>
      <w:r>
        <w:rPr>
          <w:rFonts w:hint="eastAsia"/>
        </w:rPr>
        <w:t>天气雷达站</w:t>
      </w:r>
    </w:p>
    <w:p w14:paraId="3C474CDF">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天气雷达站探测环境保护范围由一级保护区和二级保护区构成。</w:t>
      </w:r>
    </w:p>
    <w:p w14:paraId="605F5D5E">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一级保护区:天气雷达的辐射近场区范围内高于和低于雷达天线口上下沿10个雷达波长的平行线与过度区“边缘”构成的区域。</w:t>
      </w:r>
    </w:p>
    <w:p w14:paraId="2EBFC9D8">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二级保护区:以天气雷达为中心，从一级保护区的外沿至距离雷达20km的环形区域。</w:t>
      </w:r>
    </w:p>
    <w:p w14:paraId="17D20C6E">
      <w:pPr>
        <w:pStyle w:val="3"/>
        <w:keepNext w:val="0"/>
        <w:keepLines w:val="0"/>
        <w:widowControl/>
        <w:spacing w:line="415" w:lineRule="auto"/>
        <w:ind w:left="0" w:firstLine="0"/>
      </w:pPr>
      <w:bookmarkStart w:id="25" w:name="_Toc27779"/>
      <w:r>
        <w:rPr>
          <w:rFonts w:hint="eastAsia"/>
        </w:rPr>
        <w:t>保护要求</w:t>
      </w:r>
      <w:bookmarkEnd w:id="25"/>
    </w:p>
    <w:p w14:paraId="3E89538A">
      <w:pPr>
        <w:pStyle w:val="4"/>
        <w:numPr>
          <w:ilvl w:val="0"/>
          <w:numId w:val="20"/>
        </w:numPr>
      </w:pPr>
      <w:r>
        <w:rPr>
          <w:rFonts w:hint="eastAsia"/>
        </w:rPr>
        <w:t>国家级地面气象观测站（国家基准气候站、国家基本气象站）</w:t>
      </w:r>
    </w:p>
    <w:p w14:paraId="4CA073F7">
      <w:pPr>
        <w:numPr>
          <w:ilvl w:val="0"/>
          <w:numId w:val="21"/>
        </w:numPr>
        <w:spacing w:before="156" w:beforeLines="50" w:after="156" w:afterLines="50" w:line="360" w:lineRule="auto"/>
        <w:ind w:left="0" w:firstLine="482" w:firstLineChars="200"/>
        <w:rPr>
          <w:rFonts w:asciiTheme="minorEastAsia" w:hAnsiTheme="minorEastAsia" w:eastAsiaTheme="minorEastAsia"/>
          <w:b/>
          <w:bCs/>
          <w:kern w:val="0"/>
          <w:sz w:val="24"/>
        </w:rPr>
      </w:pPr>
      <w:r>
        <w:rPr>
          <w:rFonts w:hint="eastAsia" w:asciiTheme="minorEastAsia" w:hAnsiTheme="minorEastAsia" w:eastAsiaTheme="minorEastAsia"/>
          <w:b/>
          <w:bCs/>
          <w:kern w:val="0"/>
          <w:sz w:val="24"/>
        </w:rPr>
        <w:t>周围环境</w:t>
      </w:r>
    </w:p>
    <w:p w14:paraId="4E620F6F">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观测场四周应空旷平坦，保持气流通畅和自然光照。</w:t>
      </w:r>
    </w:p>
    <w:p w14:paraId="7E9528CB">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观测场最多风向的上风方90°范围内5000m、其他方向2000m，在此范围内不宜规划工矿区，不宜建设易产生烟幕等污染大气的设施；国家基准气候站的观测场上风方向5000m范围内还不宜规划人口总数超过5000人的居民区。</w:t>
      </w:r>
    </w:p>
    <w:p w14:paraId="08679640">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在观测场1000m范围内不应实施爆破、钻探、采石、挖砂、取土等危及地面气象观测场安全的活动。</w:t>
      </w:r>
    </w:p>
    <w:p w14:paraId="736E5A8E">
      <w:pPr>
        <w:numPr>
          <w:ilvl w:val="0"/>
          <w:numId w:val="21"/>
        </w:numPr>
        <w:spacing w:before="156" w:beforeLines="50" w:after="156" w:afterLines="50" w:line="360" w:lineRule="auto"/>
        <w:ind w:left="0" w:firstLine="482" w:firstLineChars="200"/>
        <w:rPr>
          <w:rFonts w:asciiTheme="minorEastAsia" w:hAnsiTheme="minorEastAsia" w:eastAsiaTheme="minorEastAsia"/>
          <w:b/>
          <w:bCs/>
          <w:kern w:val="0"/>
          <w:sz w:val="24"/>
        </w:rPr>
      </w:pPr>
      <w:r>
        <w:rPr>
          <w:rFonts w:hint="eastAsia" w:asciiTheme="minorEastAsia" w:hAnsiTheme="minorEastAsia" w:eastAsiaTheme="minorEastAsia"/>
          <w:b/>
          <w:bCs/>
          <w:kern w:val="0"/>
          <w:sz w:val="24"/>
        </w:rPr>
        <w:t>对障碍物的限制</w:t>
      </w:r>
    </w:p>
    <w:p w14:paraId="5843546F">
      <w:pPr>
        <w:spacing w:line="360" w:lineRule="auto"/>
        <w:ind w:firstLine="480" w:firstLineChars="200"/>
        <w:rPr>
          <w:rFonts w:hint="eastAsia" w:asciiTheme="minorEastAsia" w:hAnsiTheme="minorEastAsia" w:eastAsiaTheme="minorEastAsia"/>
          <w:kern w:val="0"/>
          <w:sz w:val="24"/>
          <w:u w:val="single"/>
        </w:rPr>
      </w:pPr>
      <w:r>
        <w:rPr>
          <w:rFonts w:hint="eastAsia" w:asciiTheme="minorEastAsia" w:hAnsiTheme="minorEastAsia" w:eastAsiaTheme="minorEastAsia"/>
          <w:kern w:val="0"/>
          <w:sz w:val="24"/>
          <w:u w:val="single"/>
        </w:rPr>
        <w:t>在障碍物控制区（国家基准气候站观测场围栏以外四周向外延伸2000米，国家基本气象站观测场围栏以外四周向外延伸1000米）范围内，障碍物与观测场围栏最近距离不小于50米，障碍物任一点的高度距离比小于1/10；在日出方向和日落方向范围内（此范围不受控制区限制），障碍物遮挡仰角不大于</w:t>
      </w:r>
      <w:r>
        <w:rPr>
          <w:rFonts w:hint="eastAsia" w:asciiTheme="minorEastAsia" w:hAnsiTheme="minorEastAsia" w:eastAsiaTheme="minorEastAsia"/>
          <w:color w:val="595959" w:themeColor="text1" w:themeTint="A6"/>
          <w:kern w:val="0"/>
          <w:sz w:val="24"/>
          <w:u w:val="single"/>
          <w14:textFill>
            <w14:solidFill>
              <w14:schemeClr w14:val="tx1">
                <w14:lumMod w14:val="65000"/>
                <w14:lumOff w14:val="35000"/>
              </w14:schemeClr>
            </w14:solidFill>
          </w14:textFill>
        </w:rPr>
        <w:t>5°</w:t>
      </w:r>
      <w:r>
        <w:rPr>
          <w:rFonts w:hint="eastAsia" w:asciiTheme="minorEastAsia" w:hAnsiTheme="minorEastAsia" w:eastAsiaTheme="minorEastAsia"/>
          <w:kern w:val="0"/>
          <w:sz w:val="24"/>
          <w:u w:val="single"/>
        </w:rPr>
        <w:t>。具体详见国家基准气候站、国家基本气象探测环境保护范围内障碍物高度控制图。</w:t>
      </w:r>
    </w:p>
    <w:p w14:paraId="3FB05215">
      <w:pPr>
        <w:numPr>
          <w:ilvl w:val="0"/>
          <w:numId w:val="21"/>
        </w:numPr>
        <w:spacing w:before="156" w:beforeLines="50" w:after="156" w:afterLines="50" w:line="360" w:lineRule="auto"/>
        <w:ind w:left="0" w:firstLine="482" w:firstLineChars="200"/>
        <w:rPr>
          <w:rFonts w:asciiTheme="minorEastAsia" w:hAnsiTheme="minorEastAsia" w:eastAsiaTheme="minorEastAsia"/>
          <w:b/>
          <w:bCs/>
          <w:kern w:val="0"/>
          <w:sz w:val="24"/>
        </w:rPr>
      </w:pPr>
      <w:r>
        <w:rPr>
          <w:rFonts w:hint="eastAsia" w:asciiTheme="minorEastAsia" w:hAnsiTheme="minorEastAsia" w:eastAsiaTheme="minorEastAsia"/>
          <w:b/>
          <w:bCs/>
          <w:kern w:val="0"/>
          <w:sz w:val="24"/>
        </w:rPr>
        <w:t>对影响源的限制</w:t>
      </w:r>
    </w:p>
    <w:p w14:paraId="7F6B8F5E">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铁路路基与观测场围栏距离大于200米。</w:t>
      </w:r>
    </w:p>
    <w:p w14:paraId="6AD5BB8D">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公路路基与观测场围栏距离大于50米。</w:t>
      </w:r>
    </w:p>
    <w:p w14:paraId="2991467E">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人工建造的水体与观测场围栏距离大于100米。</w:t>
      </w:r>
    </w:p>
    <w:p w14:paraId="19D62BC0">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垃圾场、排污口等其他影响源与观测场围栏的距离大于500米。</w:t>
      </w:r>
    </w:p>
    <w:p w14:paraId="3B89E097">
      <w:pPr>
        <w:pStyle w:val="4"/>
        <w:numPr>
          <w:ilvl w:val="0"/>
          <w:numId w:val="20"/>
        </w:numPr>
      </w:pPr>
      <w:r>
        <w:rPr>
          <w:rFonts w:hint="eastAsia"/>
        </w:rPr>
        <w:t>天气雷达站</w:t>
      </w:r>
    </w:p>
    <w:p w14:paraId="1357C612">
      <w:pPr>
        <w:numPr>
          <w:ilvl w:val="0"/>
          <w:numId w:val="22"/>
        </w:numPr>
        <w:spacing w:before="156" w:beforeLines="50" w:after="156" w:afterLines="50" w:line="360" w:lineRule="auto"/>
        <w:ind w:left="0" w:firstLine="482" w:firstLineChars="200"/>
        <w:rPr>
          <w:rFonts w:asciiTheme="minorEastAsia" w:hAnsiTheme="minorEastAsia" w:eastAsiaTheme="minorEastAsia"/>
          <w:b/>
          <w:bCs/>
          <w:kern w:val="0"/>
          <w:sz w:val="24"/>
        </w:rPr>
      </w:pPr>
      <w:r>
        <w:rPr>
          <w:rFonts w:hint="eastAsia" w:asciiTheme="minorEastAsia" w:hAnsiTheme="minorEastAsia" w:eastAsiaTheme="minorEastAsia"/>
          <w:b/>
          <w:bCs/>
          <w:kern w:val="0"/>
          <w:sz w:val="24"/>
        </w:rPr>
        <w:t>总体保护要求</w:t>
      </w:r>
    </w:p>
    <w:p w14:paraId="05D99536">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在天气雷达站周边不应有对雷达正常工作产生影响的干扰，包括障碍物对雷达波束的遮挡、电磁辐射干扰等。</w:t>
      </w:r>
    </w:p>
    <w:p w14:paraId="0CA0AA24">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障碍物对天气雷达造成的回波强度损失不应大于1dB。</w:t>
      </w:r>
    </w:p>
    <w:p w14:paraId="7C478730">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不可避免的有源干扰造成的雷达接收机灵敏度损失不应大于1dB。</w:t>
      </w:r>
    </w:p>
    <w:p w14:paraId="3471DF8A">
      <w:pPr>
        <w:numPr>
          <w:ilvl w:val="0"/>
          <w:numId w:val="22"/>
        </w:numPr>
        <w:spacing w:before="156" w:beforeLines="50" w:after="156" w:afterLines="50" w:line="360" w:lineRule="auto"/>
        <w:ind w:left="0" w:firstLine="482" w:firstLineChars="200"/>
        <w:rPr>
          <w:rFonts w:asciiTheme="minorEastAsia" w:hAnsiTheme="minorEastAsia" w:eastAsiaTheme="minorEastAsia"/>
          <w:b/>
          <w:bCs/>
          <w:kern w:val="0"/>
          <w:sz w:val="24"/>
        </w:rPr>
      </w:pPr>
      <w:r>
        <w:rPr>
          <w:rFonts w:hint="eastAsia" w:asciiTheme="minorEastAsia" w:hAnsiTheme="minorEastAsia" w:eastAsiaTheme="minorEastAsia"/>
          <w:b/>
          <w:bCs/>
          <w:kern w:val="0"/>
          <w:sz w:val="24"/>
        </w:rPr>
        <w:t>保护区保护要求</w:t>
      </w:r>
    </w:p>
    <w:p w14:paraId="51CBA003">
      <w:pPr>
        <w:spacing w:line="360" w:lineRule="auto"/>
        <w:ind w:firstLine="482" w:firstLineChars="200"/>
        <w:rPr>
          <w:rFonts w:asciiTheme="minorEastAsia" w:hAnsiTheme="minorEastAsia" w:eastAsiaTheme="minorEastAsia"/>
          <w:kern w:val="0"/>
          <w:sz w:val="24"/>
          <w:u w:val="single"/>
        </w:rPr>
      </w:pPr>
      <w:r>
        <w:rPr>
          <w:rFonts w:hint="eastAsia" w:asciiTheme="minorEastAsia" w:hAnsiTheme="minorEastAsia" w:eastAsiaTheme="minorEastAsia"/>
          <w:b/>
          <w:bCs/>
          <w:kern w:val="0"/>
          <w:sz w:val="24"/>
          <w:u w:val="single"/>
        </w:rPr>
        <w:t>一级保护区：</w:t>
      </w:r>
      <w:r>
        <w:rPr>
          <w:rFonts w:hint="eastAsia" w:asciiTheme="minorEastAsia" w:hAnsiTheme="minorEastAsia" w:eastAsiaTheme="minorEastAsia"/>
          <w:kern w:val="0"/>
          <w:sz w:val="24"/>
          <w:u w:val="single"/>
        </w:rPr>
        <w:t>不应有对天气雷达探测造成遮挡的障碍物。</w:t>
      </w:r>
    </w:p>
    <w:p w14:paraId="5EAE4B36">
      <w:pPr>
        <w:spacing w:line="360" w:lineRule="auto"/>
        <w:ind w:firstLine="482" w:firstLineChars="200"/>
        <w:rPr>
          <w:rFonts w:asciiTheme="minorEastAsia" w:hAnsiTheme="minorEastAsia" w:eastAsiaTheme="minorEastAsia"/>
          <w:kern w:val="0"/>
          <w:sz w:val="24"/>
          <w:u w:val="single"/>
        </w:rPr>
      </w:pPr>
      <w:r>
        <w:rPr>
          <w:rFonts w:hint="eastAsia" w:asciiTheme="minorEastAsia" w:hAnsiTheme="minorEastAsia" w:eastAsiaTheme="minorEastAsia"/>
          <w:b/>
          <w:bCs/>
          <w:kern w:val="0"/>
          <w:sz w:val="24"/>
          <w:u w:val="single"/>
        </w:rPr>
        <w:t>二级保护区：</w:t>
      </w:r>
      <w:r>
        <w:rPr>
          <w:rFonts w:hint="eastAsia" w:asciiTheme="minorEastAsia" w:hAnsiTheme="minorEastAsia" w:eastAsiaTheme="minorEastAsia"/>
          <w:kern w:val="0"/>
          <w:sz w:val="24"/>
          <w:u w:val="single"/>
        </w:rPr>
        <w:t>X波段双偏振天气雷达站孤立障碍物遮挡仰角和方位角限制天气雷达工作在最低仰角时，孤立障碍物遮挡仰角容限值为0.25°,孤立障碍物遮挡方位角容限值为0.25°。周边所有障碍物的总遮挡方位角不大于5°。</w:t>
      </w:r>
    </w:p>
    <w:p w14:paraId="4A53DF75">
      <w:pPr>
        <w:spacing w:line="360" w:lineRule="auto"/>
        <w:ind w:firstLine="480" w:firstLineChars="200"/>
        <w:rPr>
          <w:rFonts w:hint="eastAsia" w:asciiTheme="minorEastAsia" w:hAnsiTheme="minorEastAsia" w:eastAsiaTheme="minorEastAsia"/>
          <w:kern w:val="0"/>
          <w:sz w:val="24"/>
          <w:u w:val="single"/>
        </w:rPr>
      </w:pPr>
      <w:r>
        <w:rPr>
          <w:rFonts w:hint="eastAsia" w:asciiTheme="minorEastAsia" w:hAnsiTheme="minorEastAsia" w:eastAsiaTheme="minorEastAsia"/>
          <w:kern w:val="0"/>
          <w:sz w:val="24"/>
          <w:u w:val="single"/>
        </w:rPr>
        <w:t>一级保护区、二级保护区内障碍物限制海拔高度具体详见天气雷达站探测环境保护范围障碍物高度控制图。</w:t>
      </w:r>
    </w:p>
    <w:p w14:paraId="25021A87">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color w:val="auto"/>
          <w:kern w:val="0"/>
          <w:sz w:val="24"/>
        </w:rPr>
        <w:t>玉溪市规划建设的</w:t>
      </w:r>
      <w:r>
        <w:rPr>
          <w:rFonts w:hint="eastAsia" w:asciiTheme="minorEastAsia" w:hAnsiTheme="minorEastAsia" w:eastAsiaTheme="minorEastAsia"/>
          <w:color w:val="auto"/>
          <w:kern w:val="0"/>
          <w:sz w:val="24"/>
          <w:lang w:val="en-US" w:eastAsia="zh-CN"/>
        </w:rPr>
        <w:t>6</w:t>
      </w:r>
      <w:r>
        <w:rPr>
          <w:rFonts w:hint="eastAsia" w:asciiTheme="minorEastAsia" w:hAnsiTheme="minorEastAsia" w:eastAsiaTheme="minorEastAsia"/>
          <w:color w:val="auto"/>
          <w:kern w:val="0"/>
          <w:sz w:val="24"/>
        </w:rPr>
        <w:t>部天气雷达站（3部微小型X波段：通海、易门、元江）</w:t>
      </w:r>
      <w:r>
        <w:rPr>
          <w:rFonts w:hint="eastAsia" w:asciiTheme="minorEastAsia" w:hAnsiTheme="minorEastAsia" w:eastAsiaTheme="minorEastAsia"/>
          <w:color w:val="auto"/>
          <w:kern w:val="0"/>
          <w:sz w:val="24"/>
          <w:lang w:eastAsia="zh-CN"/>
        </w:rPr>
        <w:t>，</w:t>
      </w:r>
      <w:r>
        <w:rPr>
          <w:rFonts w:hint="eastAsia" w:asciiTheme="minorEastAsia" w:hAnsiTheme="minorEastAsia" w:eastAsiaTheme="minorEastAsia"/>
          <w:color w:val="auto"/>
          <w:kern w:val="0"/>
          <w:sz w:val="24"/>
        </w:rPr>
        <w:t>3部X波段相控阵：江川、澄江、华宁）</w:t>
      </w:r>
      <w:r>
        <w:rPr>
          <w:rFonts w:hint="eastAsia" w:asciiTheme="minorEastAsia" w:hAnsiTheme="minorEastAsia" w:eastAsiaTheme="minorEastAsia"/>
          <w:color w:val="auto"/>
          <w:kern w:val="0"/>
          <w:sz w:val="24"/>
          <w:lang w:eastAsia="zh-CN"/>
        </w:rPr>
        <w:t>，</w:t>
      </w:r>
      <w:r>
        <w:rPr>
          <w:rFonts w:hint="eastAsia" w:asciiTheme="minorEastAsia" w:hAnsiTheme="minorEastAsia" w:eastAsiaTheme="minorEastAsia"/>
          <w:color w:val="auto"/>
          <w:kern w:val="0"/>
          <w:sz w:val="24"/>
        </w:rPr>
        <w:t>因核心参数暂未明确，无法测算探测环境保护范围障碍物限制海拔高度、孤立障碍物遮挡仰角与方位角限制。为防范此阶段探测环境风险，按“先保护、后完善”原则，过渡期暂参照《气象探测环境保护规范天气雷达站》（GB31223-2014），结合现有X波段双偏振天气雷达站保护管控要求</w:t>
      </w:r>
      <w:r>
        <w:rPr>
          <w:rFonts w:hint="eastAsia" w:asciiTheme="minorEastAsia" w:hAnsiTheme="minorEastAsia" w:eastAsiaTheme="minorEastAsia"/>
          <w:kern w:val="0"/>
          <w:sz w:val="24"/>
        </w:rPr>
        <w:t>，划定过渡性保护范围（暂参照现有X波段天气雷达站），禁止新建遮挡雷达波束或产生电磁干扰的设施，保障探测空域基本安全；</w:t>
      </w:r>
      <w:r>
        <w:rPr>
          <w:rFonts w:hint="eastAsia" w:asciiTheme="minorEastAsia" w:hAnsiTheme="minorEastAsia" w:eastAsiaTheme="minorEastAsia"/>
          <w:kern w:val="0"/>
          <w:sz w:val="24"/>
          <w:u w:val="single"/>
        </w:rPr>
        <w:t>待核心参数明确后，将依据国家标准精准计算障碍物限制海拔高度，结合各雷达站实际地形、周边建设现状及探测服务需求，重新测算障碍物遮挡仰角与方位角精准限制值，动态优化一、二级保护区范围边界与管控标准，实现保护要求与雷达技术参数、实际应用场景精准匹配，兼顾探测数据质量与区域发展需求。</w:t>
      </w:r>
    </w:p>
    <w:p w14:paraId="0CA0B6FD">
      <w:pPr>
        <w:numPr>
          <w:ilvl w:val="0"/>
          <w:numId w:val="22"/>
        </w:numPr>
        <w:spacing w:before="156" w:beforeLines="50" w:after="156" w:afterLines="50" w:line="360" w:lineRule="auto"/>
        <w:ind w:left="0" w:firstLine="482" w:firstLineChars="200"/>
        <w:rPr>
          <w:rFonts w:hint="eastAsia" w:asciiTheme="minorEastAsia" w:hAnsiTheme="minorEastAsia" w:eastAsiaTheme="minorEastAsia"/>
          <w:kern w:val="0"/>
          <w:sz w:val="24"/>
        </w:rPr>
      </w:pPr>
      <w:r>
        <w:rPr>
          <w:rFonts w:hint="eastAsia" w:asciiTheme="minorEastAsia" w:hAnsiTheme="minorEastAsia" w:eastAsiaTheme="minorEastAsia"/>
          <w:b/>
          <w:bCs/>
          <w:kern w:val="0"/>
          <w:sz w:val="24"/>
        </w:rPr>
        <w:t>电磁干扰限制要求</w:t>
      </w:r>
    </w:p>
    <w:p w14:paraId="5B4270EF">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rPr>
        <w:t>玉溪市现状保留的红塔X波段双偏振天气雷达站，升级新建的新平S波段新一代天气雷达站，以及新增新建的峨山X波段双偏振天气雷达站、通海-易门-元江3部微小型X波段雷达站、江川-澄江-华宁3部X波段相控阵雷达站。根据相关技术规范与参数设定，</w:t>
      </w:r>
      <w:r>
        <w:rPr>
          <w:rFonts w:hint="eastAsia" w:asciiTheme="minorEastAsia" w:hAnsiTheme="minorEastAsia" w:eastAsiaTheme="minorEastAsia"/>
          <w:color w:val="auto"/>
          <w:kern w:val="0"/>
          <w:sz w:val="24"/>
        </w:rPr>
        <w:t>依据《气象探测环境保护规范天气雷达站》（G</w:t>
      </w:r>
      <w:r>
        <w:rPr>
          <w:rFonts w:hint="eastAsia" w:asciiTheme="minorEastAsia" w:hAnsiTheme="minorEastAsia" w:eastAsiaTheme="minorEastAsia"/>
          <w:kern w:val="0"/>
          <w:sz w:val="24"/>
        </w:rPr>
        <w:t>B31223-2014）及相关技术标准，</w:t>
      </w:r>
      <w:r>
        <w:rPr>
          <w:rFonts w:hint="eastAsia" w:asciiTheme="minorEastAsia" w:hAnsiTheme="minorEastAsia" w:eastAsiaTheme="minorEastAsia"/>
          <w:kern w:val="0"/>
          <w:sz w:val="24"/>
          <w:u w:val="single"/>
        </w:rPr>
        <w:t>S波段新一代天气雷达</w:t>
      </w:r>
      <w:r>
        <w:rPr>
          <w:rFonts w:hint="eastAsia" w:asciiTheme="minorEastAsia" w:hAnsiTheme="minorEastAsia" w:eastAsiaTheme="minorEastAsia"/>
          <w:kern w:val="0"/>
          <w:sz w:val="24"/>
          <w:u w:val="single"/>
          <w:lang w:val="en-US" w:eastAsia="zh-CN"/>
        </w:rPr>
        <w:t>站</w:t>
      </w:r>
      <w:r>
        <w:rPr>
          <w:rFonts w:hint="eastAsia" w:asciiTheme="minorEastAsia" w:hAnsiTheme="minorEastAsia" w:eastAsiaTheme="minorEastAsia"/>
          <w:kern w:val="0"/>
          <w:sz w:val="24"/>
          <w:u w:val="single"/>
        </w:rPr>
        <w:t>周边区域内，其他电子设备在该2.7～3.0GHz工作频点及所占频谱范围内产生的干扰电压，其容限值设定为0.4</w:t>
      </w:r>
      <w:r>
        <w:rPr>
          <w:rFonts w:hint="eastAsia" w:asciiTheme="minorEastAsia" w:hAnsiTheme="minorEastAsia" w:eastAsiaTheme="minorEastAsia"/>
          <w:kern w:val="0"/>
          <w:sz w:val="24"/>
          <w:u w:val="single"/>
          <w:lang w:val="en-US" w:eastAsia="zh-CN"/>
        </w:rPr>
        <w:t>0</w:t>
      </w:r>
      <w:r>
        <w:rPr>
          <w:rFonts w:hint="eastAsia" w:asciiTheme="minorEastAsia" w:hAnsiTheme="minorEastAsia" w:eastAsiaTheme="minorEastAsia"/>
          <w:kern w:val="0"/>
          <w:sz w:val="24"/>
          <w:u w:val="single"/>
        </w:rPr>
        <w:t>μV</w:t>
      </w:r>
      <w:r>
        <w:rPr>
          <w:rFonts w:hint="eastAsia" w:asciiTheme="minorEastAsia" w:hAnsiTheme="minorEastAsia" w:eastAsiaTheme="minorEastAsia"/>
          <w:kern w:val="0"/>
          <w:sz w:val="24"/>
          <w:u w:val="single"/>
          <w:lang w:eastAsia="zh-CN"/>
        </w:rPr>
        <w:t>；</w:t>
      </w:r>
      <w:r>
        <w:rPr>
          <w:rFonts w:hint="eastAsia" w:asciiTheme="minorEastAsia" w:hAnsiTheme="minorEastAsia" w:eastAsiaTheme="minorEastAsia"/>
          <w:kern w:val="0"/>
          <w:sz w:val="24"/>
          <w:u w:val="single"/>
          <w:lang w:val="en-US" w:eastAsia="zh-CN"/>
        </w:rPr>
        <w:t>其他</w:t>
      </w:r>
      <w:r>
        <w:rPr>
          <w:rFonts w:hint="eastAsia" w:asciiTheme="minorEastAsia" w:hAnsiTheme="minorEastAsia" w:eastAsiaTheme="minorEastAsia"/>
          <w:kern w:val="0"/>
          <w:sz w:val="24"/>
          <w:u w:val="single"/>
        </w:rPr>
        <w:t>天气雷达站周边区域内，其他电子设备在该9.3GHz-9.7GHz工作频点及所占频谱范围内产生的干扰电压，其容限值设定为0.44μV，以保障雷达探测信号稳定，避免电磁干扰影响探测数据质量。</w:t>
      </w:r>
    </w:p>
    <w:p w14:paraId="4B194AE7">
      <w:pPr>
        <w:numPr>
          <w:ilvl w:val="0"/>
          <w:numId w:val="22"/>
        </w:numPr>
        <w:spacing w:before="156" w:beforeLines="50" w:after="156" w:afterLines="50" w:line="360" w:lineRule="auto"/>
        <w:ind w:left="0" w:firstLine="482" w:firstLineChars="200"/>
        <w:rPr>
          <w:rFonts w:asciiTheme="minorEastAsia" w:hAnsiTheme="minorEastAsia" w:eastAsiaTheme="minorEastAsia"/>
          <w:b/>
          <w:bCs/>
          <w:kern w:val="0"/>
          <w:sz w:val="24"/>
        </w:rPr>
      </w:pPr>
      <w:r>
        <w:rPr>
          <w:rFonts w:hint="eastAsia" w:asciiTheme="minorEastAsia" w:hAnsiTheme="minorEastAsia" w:eastAsiaTheme="minorEastAsia"/>
          <w:b/>
          <w:bCs/>
          <w:kern w:val="0"/>
          <w:sz w:val="24"/>
        </w:rPr>
        <w:t>最小防护间距</w:t>
      </w:r>
    </w:p>
    <w:p w14:paraId="228A1388">
      <w:pPr>
        <w:spacing w:line="360" w:lineRule="auto"/>
        <w:ind w:firstLine="482" w:firstLineChars="200"/>
        <w:rPr>
          <w:rFonts w:hint="default" w:asciiTheme="minorEastAsia" w:hAnsiTheme="minorEastAsia" w:eastAsiaTheme="minorEastAsia"/>
          <w:b/>
          <w:bCs/>
          <w:kern w:val="0"/>
          <w:sz w:val="24"/>
          <w:lang w:val="en-US" w:eastAsia="zh-CN"/>
        </w:rPr>
      </w:pPr>
      <w:r>
        <w:rPr>
          <w:rFonts w:hint="eastAsia" w:asciiTheme="minorEastAsia" w:hAnsiTheme="minorEastAsia" w:eastAsiaTheme="minorEastAsia"/>
          <w:b/>
          <w:bCs/>
          <w:kern w:val="0"/>
          <w:sz w:val="24"/>
          <w:lang w:val="en-US" w:eastAsia="zh-CN"/>
        </w:rPr>
        <w:t>①X波段双偏振天气雷达站、微小型X波段雷达站和X波段相控阵雷达站</w:t>
      </w:r>
    </w:p>
    <w:p w14:paraId="3431D644">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玉溪市现状保留</w:t>
      </w:r>
      <w:r>
        <w:rPr>
          <w:rFonts w:hint="eastAsia" w:asciiTheme="minorEastAsia" w:hAnsiTheme="minorEastAsia" w:eastAsiaTheme="minorEastAsia"/>
          <w:kern w:val="0"/>
          <w:sz w:val="24"/>
          <w:lang w:val="en-US" w:eastAsia="zh-CN"/>
        </w:rPr>
        <w:t>的</w:t>
      </w:r>
      <w:r>
        <w:rPr>
          <w:rFonts w:hint="eastAsia" w:asciiTheme="minorEastAsia" w:hAnsiTheme="minorEastAsia" w:eastAsiaTheme="minorEastAsia"/>
          <w:kern w:val="0"/>
          <w:sz w:val="24"/>
        </w:rPr>
        <w:t>红塔</w:t>
      </w:r>
      <w:r>
        <w:rPr>
          <w:rFonts w:hint="eastAsia" w:asciiTheme="minorEastAsia" w:hAnsiTheme="minorEastAsia" w:eastAsiaTheme="minorEastAsia"/>
          <w:kern w:val="0"/>
          <w:sz w:val="24"/>
          <w:lang w:val="en-US" w:eastAsia="zh-CN"/>
        </w:rPr>
        <w:t>X波段双偏振天气雷达站</w:t>
      </w:r>
      <w:r>
        <w:rPr>
          <w:rFonts w:hint="eastAsia" w:asciiTheme="minorEastAsia" w:hAnsiTheme="minorEastAsia" w:eastAsiaTheme="minorEastAsia"/>
          <w:kern w:val="0"/>
          <w:sz w:val="24"/>
        </w:rPr>
        <w:t>，新增新建的</w:t>
      </w:r>
      <w:r>
        <w:rPr>
          <w:rFonts w:hint="eastAsia" w:asciiTheme="minorEastAsia" w:hAnsiTheme="minorEastAsia" w:eastAsiaTheme="minorEastAsia"/>
          <w:kern w:val="0"/>
          <w:sz w:val="24"/>
          <w:lang w:val="en-US" w:eastAsia="zh-CN"/>
        </w:rPr>
        <w:t>峨山X波段双偏振天气雷达站，</w:t>
      </w:r>
      <w:r>
        <w:rPr>
          <w:rFonts w:hint="eastAsia" w:asciiTheme="minorEastAsia" w:hAnsiTheme="minorEastAsia" w:eastAsiaTheme="minorEastAsia"/>
          <w:kern w:val="0"/>
          <w:sz w:val="24"/>
        </w:rPr>
        <w:t>通海、易门、元江3部微小型X波段雷达站</w:t>
      </w:r>
      <w:r>
        <w:rPr>
          <w:rFonts w:hint="eastAsia" w:asciiTheme="minorEastAsia" w:hAnsiTheme="minorEastAsia" w:eastAsiaTheme="minorEastAsia"/>
          <w:kern w:val="0"/>
          <w:sz w:val="24"/>
          <w:lang w:eastAsia="zh-CN"/>
        </w:rPr>
        <w:t>，</w:t>
      </w:r>
      <w:r>
        <w:rPr>
          <w:rFonts w:hint="eastAsia" w:asciiTheme="minorEastAsia" w:hAnsiTheme="minorEastAsia" w:eastAsiaTheme="minorEastAsia"/>
          <w:kern w:val="0"/>
          <w:sz w:val="24"/>
        </w:rPr>
        <w:t>江川、澄江、华宁3部X波段相控阵雷达站，为防范外部电磁干扰对雷达探测数据质量的影响，保障雷达系统稳定运行，上述</w:t>
      </w:r>
      <w:r>
        <w:rPr>
          <w:rFonts w:hint="eastAsia" w:asciiTheme="minorEastAsia" w:hAnsiTheme="minorEastAsia" w:eastAsiaTheme="minorEastAsia"/>
          <w:kern w:val="0"/>
          <w:sz w:val="24"/>
          <w:lang w:val="en-US" w:eastAsia="zh-CN"/>
        </w:rPr>
        <w:t>8</w:t>
      </w:r>
      <w:r>
        <w:rPr>
          <w:rFonts w:hint="eastAsia" w:asciiTheme="minorEastAsia" w:hAnsiTheme="minorEastAsia" w:eastAsiaTheme="minorEastAsia"/>
          <w:kern w:val="0"/>
          <w:sz w:val="24"/>
        </w:rPr>
        <w:t>部天气雷达站与各类典型干扰源的最小防护间距，具体标准如下：</w:t>
      </w:r>
    </w:p>
    <w:p w14:paraId="7E0B6CD4">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高压架空输电线路：500kV电压等级间距不小于100米，220kV-330kV电压等级间距不小于80米，110kV电压等级间距不小于70米；</w:t>
      </w:r>
    </w:p>
    <w:p w14:paraId="732CA159">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高压变电站：500kV电压等级间距不小于120米，220kV-330kV电压等级间距不小于80米，110kV电压等级间距不小于70米；</w:t>
      </w:r>
    </w:p>
    <w:p w14:paraId="3691F843">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电气化铁路（电力机车）：间距不小于180米；</w:t>
      </w:r>
    </w:p>
    <w:p w14:paraId="1CFDB33C">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非电气化铁路：间距不小于130米；</w:t>
      </w:r>
    </w:p>
    <w:p w14:paraId="20454D00">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lang w:val="en-US" w:eastAsia="zh-CN"/>
        </w:rPr>
        <w:t>汽车</w:t>
      </w:r>
      <w:r>
        <w:rPr>
          <w:rFonts w:hint="eastAsia" w:asciiTheme="minorEastAsia" w:hAnsiTheme="minorEastAsia" w:eastAsiaTheme="minorEastAsia"/>
          <w:kern w:val="0"/>
          <w:sz w:val="24"/>
          <w:u w:val="single"/>
        </w:rPr>
        <w:t>公路：高速公路、一级公路与二级公路间距均不小于260米；</w:t>
      </w:r>
    </w:p>
    <w:p w14:paraId="371001D0">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高频热合机：间距不小于270米。</w:t>
      </w:r>
    </w:p>
    <w:p w14:paraId="63AFEDBE">
      <w:pPr>
        <w:spacing w:line="360" w:lineRule="auto"/>
        <w:ind w:firstLine="480" w:firstLineChars="200"/>
        <w:rPr>
          <w:rFonts w:hint="eastAsia" w:asciiTheme="minorEastAsia" w:hAnsiTheme="minorEastAsia" w:eastAsiaTheme="minorEastAsia"/>
          <w:kern w:val="0"/>
          <w:sz w:val="24"/>
          <w:u w:val="single"/>
        </w:rPr>
      </w:pPr>
      <w:r>
        <w:rPr>
          <w:rFonts w:hint="eastAsia" w:asciiTheme="minorEastAsia" w:hAnsiTheme="minorEastAsia" w:eastAsiaTheme="minorEastAsia"/>
          <w:kern w:val="0"/>
          <w:sz w:val="24"/>
          <w:u w:val="single"/>
        </w:rPr>
        <w:t>任何单位在雷达站周边规划、建设涉及上述干扰源的项目时，须提前核算与雷达站的空间距离，确保符合最小防护间距要求；未达标的建设项目，不得批准建设。</w:t>
      </w:r>
    </w:p>
    <w:p w14:paraId="1E2C03D3">
      <w:pPr>
        <w:spacing w:line="360" w:lineRule="auto"/>
        <w:ind w:firstLine="482" w:firstLineChars="200"/>
        <w:rPr>
          <w:rFonts w:hint="eastAsia" w:asciiTheme="minorEastAsia" w:hAnsiTheme="minorEastAsia" w:eastAsiaTheme="minorEastAsia"/>
          <w:b/>
          <w:bCs/>
          <w:kern w:val="0"/>
          <w:sz w:val="24"/>
          <w:lang w:val="en-US" w:eastAsia="zh-CN"/>
        </w:rPr>
      </w:pPr>
      <w:r>
        <w:rPr>
          <w:rFonts w:hint="eastAsia" w:asciiTheme="minorEastAsia" w:hAnsiTheme="minorEastAsia" w:eastAsiaTheme="minorEastAsia"/>
          <w:b/>
          <w:bCs/>
          <w:kern w:val="0"/>
          <w:sz w:val="24"/>
          <w:lang w:val="en-US" w:eastAsia="zh-CN"/>
        </w:rPr>
        <w:t>②S波段新一代天气雷达站</w:t>
      </w:r>
    </w:p>
    <w:p w14:paraId="46195B68">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升级新建的新平S波段新一代天气雷达站，为防范外部电磁干扰对雷达探测数据质量的影响，保障雷达系统稳定运行，</w:t>
      </w:r>
      <w:r>
        <w:rPr>
          <w:rFonts w:hint="eastAsia" w:asciiTheme="minorEastAsia" w:hAnsiTheme="minorEastAsia" w:eastAsiaTheme="minorEastAsia"/>
          <w:kern w:val="0"/>
          <w:sz w:val="24"/>
          <w:lang w:val="en-US" w:eastAsia="zh-CN"/>
        </w:rPr>
        <w:t>新平</w:t>
      </w:r>
      <w:r>
        <w:rPr>
          <w:rFonts w:hint="eastAsia" w:asciiTheme="minorEastAsia" w:hAnsiTheme="minorEastAsia" w:eastAsiaTheme="minorEastAsia"/>
          <w:kern w:val="0"/>
          <w:sz w:val="24"/>
        </w:rPr>
        <w:t>S波段新一代天气雷达站与各类典型干扰源的最小防护间距，具体标准如下：</w:t>
      </w:r>
    </w:p>
    <w:p w14:paraId="54752707">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高压架空输电线路：500kV电压等级间距不小于100</w:t>
      </w:r>
      <w:r>
        <w:rPr>
          <w:rFonts w:hint="eastAsia" w:asciiTheme="minorEastAsia" w:hAnsiTheme="minorEastAsia" w:eastAsiaTheme="minorEastAsia"/>
          <w:kern w:val="0"/>
          <w:sz w:val="24"/>
          <w:u w:val="single"/>
          <w:lang w:val="en-US" w:eastAsia="zh-CN"/>
        </w:rPr>
        <w:t>0</w:t>
      </w:r>
      <w:r>
        <w:rPr>
          <w:rFonts w:hint="eastAsia" w:asciiTheme="minorEastAsia" w:hAnsiTheme="minorEastAsia" w:eastAsiaTheme="minorEastAsia"/>
          <w:kern w:val="0"/>
          <w:sz w:val="24"/>
          <w:u w:val="single"/>
        </w:rPr>
        <w:t>米，220kV-330kV电压等级间距不小于80</w:t>
      </w:r>
      <w:r>
        <w:rPr>
          <w:rFonts w:hint="eastAsia" w:asciiTheme="minorEastAsia" w:hAnsiTheme="minorEastAsia" w:eastAsiaTheme="minorEastAsia"/>
          <w:kern w:val="0"/>
          <w:sz w:val="24"/>
          <w:u w:val="single"/>
          <w:lang w:val="en-US" w:eastAsia="zh-CN"/>
        </w:rPr>
        <w:t>0</w:t>
      </w:r>
      <w:r>
        <w:rPr>
          <w:rFonts w:hint="eastAsia" w:asciiTheme="minorEastAsia" w:hAnsiTheme="minorEastAsia" w:eastAsiaTheme="minorEastAsia"/>
          <w:kern w:val="0"/>
          <w:sz w:val="24"/>
          <w:u w:val="single"/>
        </w:rPr>
        <w:t>米，110kV电压等级间距不小于70</w:t>
      </w:r>
      <w:r>
        <w:rPr>
          <w:rFonts w:hint="eastAsia" w:asciiTheme="minorEastAsia" w:hAnsiTheme="minorEastAsia" w:eastAsiaTheme="minorEastAsia"/>
          <w:kern w:val="0"/>
          <w:sz w:val="24"/>
          <w:u w:val="single"/>
          <w:lang w:val="en-US" w:eastAsia="zh-CN"/>
        </w:rPr>
        <w:t>0</w:t>
      </w:r>
      <w:r>
        <w:rPr>
          <w:rFonts w:hint="eastAsia" w:asciiTheme="minorEastAsia" w:hAnsiTheme="minorEastAsia" w:eastAsiaTheme="minorEastAsia"/>
          <w:kern w:val="0"/>
          <w:sz w:val="24"/>
          <w:u w:val="single"/>
        </w:rPr>
        <w:t>米；</w:t>
      </w:r>
    </w:p>
    <w:p w14:paraId="1E42E188">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高压变电站：500kV电压等级间距不小于120</w:t>
      </w:r>
      <w:r>
        <w:rPr>
          <w:rFonts w:hint="eastAsia" w:asciiTheme="minorEastAsia" w:hAnsiTheme="minorEastAsia" w:eastAsiaTheme="minorEastAsia"/>
          <w:kern w:val="0"/>
          <w:sz w:val="24"/>
          <w:u w:val="single"/>
          <w:lang w:val="en-US" w:eastAsia="zh-CN"/>
        </w:rPr>
        <w:t>0</w:t>
      </w:r>
      <w:r>
        <w:rPr>
          <w:rFonts w:hint="eastAsia" w:asciiTheme="minorEastAsia" w:hAnsiTheme="minorEastAsia" w:eastAsiaTheme="minorEastAsia"/>
          <w:kern w:val="0"/>
          <w:sz w:val="24"/>
          <w:u w:val="single"/>
        </w:rPr>
        <w:t>米，220kV-330kV电压等级间距不小于80</w:t>
      </w:r>
      <w:r>
        <w:rPr>
          <w:rFonts w:hint="eastAsia" w:asciiTheme="minorEastAsia" w:hAnsiTheme="minorEastAsia" w:eastAsiaTheme="minorEastAsia"/>
          <w:kern w:val="0"/>
          <w:sz w:val="24"/>
          <w:u w:val="single"/>
          <w:lang w:val="en-US" w:eastAsia="zh-CN"/>
        </w:rPr>
        <w:t>0</w:t>
      </w:r>
      <w:r>
        <w:rPr>
          <w:rFonts w:hint="eastAsia" w:asciiTheme="minorEastAsia" w:hAnsiTheme="minorEastAsia" w:eastAsiaTheme="minorEastAsia"/>
          <w:kern w:val="0"/>
          <w:sz w:val="24"/>
          <w:u w:val="single"/>
        </w:rPr>
        <w:t>米，110kV电压等级间距不小于70</w:t>
      </w:r>
      <w:r>
        <w:rPr>
          <w:rFonts w:hint="eastAsia" w:asciiTheme="minorEastAsia" w:hAnsiTheme="minorEastAsia" w:eastAsiaTheme="minorEastAsia"/>
          <w:kern w:val="0"/>
          <w:sz w:val="24"/>
          <w:u w:val="single"/>
          <w:lang w:val="en-US" w:eastAsia="zh-CN"/>
        </w:rPr>
        <w:t>0</w:t>
      </w:r>
      <w:r>
        <w:rPr>
          <w:rFonts w:hint="eastAsia" w:asciiTheme="minorEastAsia" w:hAnsiTheme="minorEastAsia" w:eastAsiaTheme="minorEastAsia"/>
          <w:kern w:val="0"/>
          <w:sz w:val="24"/>
          <w:u w:val="single"/>
        </w:rPr>
        <w:t>米；</w:t>
      </w:r>
    </w:p>
    <w:p w14:paraId="33F98CB3">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电气化铁路（电力机车）：间距不小于</w:t>
      </w:r>
      <w:r>
        <w:rPr>
          <w:rFonts w:hint="eastAsia" w:asciiTheme="minorEastAsia" w:hAnsiTheme="minorEastAsia" w:eastAsiaTheme="minorEastAsia"/>
          <w:kern w:val="0"/>
          <w:sz w:val="24"/>
          <w:u w:val="single"/>
          <w:lang w:val="en-US" w:eastAsia="zh-CN"/>
        </w:rPr>
        <w:t>700</w:t>
      </w:r>
      <w:r>
        <w:rPr>
          <w:rFonts w:hint="eastAsia" w:asciiTheme="minorEastAsia" w:hAnsiTheme="minorEastAsia" w:eastAsiaTheme="minorEastAsia"/>
          <w:kern w:val="0"/>
          <w:sz w:val="24"/>
          <w:u w:val="single"/>
        </w:rPr>
        <w:t>米；</w:t>
      </w:r>
    </w:p>
    <w:p w14:paraId="390492F3">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非电气化铁路：间距不小于</w:t>
      </w:r>
      <w:r>
        <w:rPr>
          <w:rFonts w:hint="eastAsia" w:asciiTheme="minorEastAsia" w:hAnsiTheme="minorEastAsia" w:eastAsiaTheme="minorEastAsia"/>
          <w:kern w:val="0"/>
          <w:sz w:val="24"/>
          <w:u w:val="single"/>
          <w:lang w:val="en-US" w:eastAsia="zh-CN"/>
        </w:rPr>
        <w:t>500</w:t>
      </w:r>
      <w:r>
        <w:rPr>
          <w:rFonts w:hint="eastAsia" w:asciiTheme="minorEastAsia" w:hAnsiTheme="minorEastAsia" w:eastAsiaTheme="minorEastAsia"/>
          <w:kern w:val="0"/>
          <w:sz w:val="24"/>
          <w:u w:val="single"/>
        </w:rPr>
        <w:t>米；</w:t>
      </w:r>
    </w:p>
    <w:p w14:paraId="0739950C">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lang w:val="en-US" w:eastAsia="zh-CN"/>
        </w:rPr>
        <w:t>汽车</w:t>
      </w:r>
      <w:r>
        <w:rPr>
          <w:rFonts w:hint="eastAsia" w:asciiTheme="minorEastAsia" w:hAnsiTheme="minorEastAsia" w:eastAsiaTheme="minorEastAsia"/>
          <w:kern w:val="0"/>
          <w:sz w:val="24"/>
          <w:u w:val="single"/>
        </w:rPr>
        <w:t>公路：高速公路、一级公路与二级公路间距均不小于</w:t>
      </w:r>
      <w:r>
        <w:rPr>
          <w:rFonts w:hint="eastAsia" w:asciiTheme="minorEastAsia" w:hAnsiTheme="minorEastAsia" w:eastAsiaTheme="minorEastAsia"/>
          <w:kern w:val="0"/>
          <w:sz w:val="24"/>
          <w:u w:val="single"/>
          <w:lang w:val="en-US" w:eastAsia="zh-CN"/>
        </w:rPr>
        <w:t>700</w:t>
      </w:r>
      <w:r>
        <w:rPr>
          <w:rFonts w:hint="eastAsia" w:asciiTheme="minorEastAsia" w:hAnsiTheme="minorEastAsia" w:eastAsiaTheme="minorEastAsia"/>
          <w:kern w:val="0"/>
          <w:sz w:val="24"/>
          <w:u w:val="single"/>
        </w:rPr>
        <w:t>米；</w:t>
      </w:r>
    </w:p>
    <w:p w14:paraId="46E19CE4">
      <w:pPr>
        <w:spacing w:line="360" w:lineRule="auto"/>
        <w:ind w:firstLine="480" w:firstLineChars="200"/>
        <w:rPr>
          <w:rFonts w:asciiTheme="minorEastAsia" w:hAnsiTheme="minorEastAsia" w:eastAsiaTheme="minorEastAsia"/>
          <w:kern w:val="0"/>
          <w:sz w:val="24"/>
          <w:u w:val="single"/>
        </w:rPr>
      </w:pPr>
      <w:r>
        <w:rPr>
          <w:rFonts w:hint="eastAsia" w:asciiTheme="minorEastAsia" w:hAnsiTheme="minorEastAsia" w:eastAsiaTheme="minorEastAsia"/>
          <w:kern w:val="0"/>
          <w:sz w:val="24"/>
          <w:u w:val="single"/>
        </w:rPr>
        <w:t>高频热合机：间距不小于</w:t>
      </w:r>
      <w:r>
        <w:rPr>
          <w:rFonts w:hint="eastAsia" w:asciiTheme="minorEastAsia" w:hAnsiTheme="minorEastAsia" w:eastAsiaTheme="minorEastAsia"/>
          <w:kern w:val="0"/>
          <w:sz w:val="24"/>
          <w:u w:val="single"/>
          <w:lang w:val="en-US" w:eastAsia="zh-CN"/>
        </w:rPr>
        <w:t>1200</w:t>
      </w:r>
      <w:r>
        <w:rPr>
          <w:rFonts w:hint="eastAsia" w:asciiTheme="minorEastAsia" w:hAnsiTheme="minorEastAsia" w:eastAsiaTheme="minorEastAsia"/>
          <w:kern w:val="0"/>
          <w:sz w:val="24"/>
          <w:u w:val="single"/>
        </w:rPr>
        <w:t>米。</w:t>
      </w:r>
    </w:p>
    <w:p w14:paraId="6768C1F5">
      <w:pPr>
        <w:spacing w:line="360" w:lineRule="auto"/>
        <w:ind w:firstLine="480" w:firstLineChars="200"/>
        <w:rPr>
          <w:rFonts w:hint="eastAsia" w:asciiTheme="minorEastAsia" w:hAnsiTheme="minorEastAsia" w:eastAsiaTheme="minorEastAsia"/>
          <w:kern w:val="0"/>
          <w:sz w:val="24"/>
          <w:u w:val="single"/>
        </w:rPr>
      </w:pPr>
      <w:r>
        <w:rPr>
          <w:rFonts w:hint="eastAsia" w:asciiTheme="minorEastAsia" w:hAnsiTheme="minorEastAsia" w:eastAsiaTheme="minorEastAsia"/>
          <w:kern w:val="0"/>
          <w:sz w:val="24"/>
          <w:u w:val="single"/>
        </w:rPr>
        <w:t>任何单位在雷达站周边规划、建设涉及上述干扰源的项目时，须提前核算与雷达站的空间距离，确保符合最小防护间距要求；未达标的建设项目，不得批准建设。</w:t>
      </w:r>
    </w:p>
    <w:p w14:paraId="575C5DA6">
      <w:pPr>
        <w:pStyle w:val="2"/>
        <w:keepLines w:val="0"/>
        <w:widowControl/>
        <w:numPr>
          <w:ilvl w:val="0"/>
          <w:numId w:val="5"/>
        </w:numPr>
        <w:spacing w:line="240" w:lineRule="auto"/>
        <w:ind w:left="0" w:firstLine="0"/>
        <w:jc w:val="center"/>
        <w:rPr>
          <w:rFonts w:hint="eastAsia" w:asciiTheme="minorEastAsia" w:hAnsiTheme="minorEastAsia" w:eastAsiaTheme="minorEastAsia"/>
          <w:szCs w:val="32"/>
        </w:rPr>
      </w:pPr>
      <w:bookmarkStart w:id="26" w:name="_Toc181087046"/>
      <w:bookmarkStart w:id="27" w:name="_Toc2866"/>
      <w:r>
        <w:rPr>
          <w:rFonts w:hint="eastAsia" w:asciiTheme="minorEastAsia" w:hAnsiTheme="minorEastAsia" w:eastAsiaTheme="minorEastAsia"/>
          <w:szCs w:val="32"/>
        </w:rPr>
        <w:t>近期规划</w:t>
      </w:r>
      <w:bookmarkEnd w:id="26"/>
      <w:r>
        <w:rPr>
          <w:rFonts w:hint="eastAsia" w:asciiTheme="minorEastAsia" w:hAnsiTheme="minorEastAsia" w:eastAsiaTheme="minorEastAsia"/>
          <w:szCs w:val="32"/>
          <w:lang w:val="en-US" w:eastAsia="zh-CN"/>
        </w:rPr>
        <w:t>实施</w:t>
      </w:r>
      <w:bookmarkEnd w:id="27"/>
    </w:p>
    <w:p w14:paraId="1763BDAD">
      <w:pPr>
        <w:pStyle w:val="3"/>
        <w:keepLines w:val="0"/>
        <w:widowControl/>
        <w:ind w:left="0" w:firstLine="0"/>
        <w:rPr>
          <w:rFonts w:hint="eastAsia"/>
        </w:rPr>
      </w:pPr>
      <w:bookmarkStart w:id="28" w:name="_Toc8045"/>
      <w:bookmarkStart w:id="29" w:name="_Toc163030713"/>
      <w:bookmarkStart w:id="30" w:name="_Toc181087047"/>
      <w:r>
        <w:rPr>
          <w:rFonts w:hint="eastAsia"/>
        </w:rPr>
        <w:t>近期规划年限</w:t>
      </w:r>
      <w:bookmarkEnd w:id="28"/>
      <w:bookmarkEnd w:id="29"/>
      <w:bookmarkEnd w:id="30"/>
    </w:p>
    <w:p w14:paraId="4D6C9830">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rPr>
        <w:t>近期规划年限</w:t>
      </w:r>
      <w:r>
        <w:rPr>
          <w:rFonts w:hint="eastAsia" w:asciiTheme="minorEastAsia" w:hAnsiTheme="minorEastAsia" w:eastAsiaTheme="minorEastAsia"/>
          <w:kern w:val="0"/>
          <w:sz w:val="24"/>
          <w:lang w:val="en-US" w:eastAsia="zh-CN"/>
        </w:rPr>
        <w:t>为</w:t>
      </w:r>
      <w:r>
        <w:rPr>
          <w:rFonts w:hint="eastAsia" w:asciiTheme="minorEastAsia" w:hAnsiTheme="minorEastAsia" w:eastAsiaTheme="minorEastAsia"/>
          <w:kern w:val="0"/>
          <w:sz w:val="24"/>
        </w:rPr>
        <w:t>2025-2030年，近期规划以“问题整改、设施落地、机制成型”为核心目标，</w:t>
      </w:r>
      <w:r>
        <w:rPr>
          <w:rFonts w:hint="eastAsia" w:asciiTheme="minorEastAsia" w:hAnsiTheme="minorEastAsia" w:eastAsiaTheme="minorEastAsia"/>
          <w:kern w:val="0"/>
          <w:sz w:val="24"/>
          <w:lang w:val="en-US" w:eastAsia="zh-CN"/>
        </w:rPr>
        <w:t>建议结合“十五五”谋划一批支撑本规划的项目库，并争取纳入国家和省级“十五五”规划，以便争取上级项目和资金支持。</w:t>
      </w:r>
    </w:p>
    <w:p w14:paraId="74388685">
      <w:pPr>
        <w:pStyle w:val="3"/>
        <w:keepLines w:val="0"/>
        <w:widowControl/>
        <w:ind w:left="0" w:firstLine="0"/>
        <w:rPr>
          <w:rFonts w:hint="eastAsia"/>
        </w:rPr>
      </w:pPr>
      <w:bookmarkStart w:id="31" w:name="_Toc181087048"/>
      <w:bookmarkStart w:id="32" w:name="_Toc163030715"/>
      <w:bookmarkStart w:id="33" w:name="_Toc27477"/>
      <w:r>
        <w:rPr>
          <w:rFonts w:hint="eastAsia"/>
          <w:lang w:val="en-US" w:eastAsia="zh-CN"/>
        </w:rPr>
        <w:t>近期</w:t>
      </w:r>
      <w:r>
        <w:rPr>
          <w:rFonts w:hint="eastAsia"/>
        </w:rPr>
        <w:t>气象探测环境保护规划</w:t>
      </w:r>
      <w:bookmarkEnd w:id="31"/>
      <w:bookmarkEnd w:id="32"/>
      <w:bookmarkEnd w:id="33"/>
    </w:p>
    <w:p w14:paraId="64213FA7">
      <w:pPr>
        <w:spacing w:line="360" w:lineRule="auto"/>
        <w:ind w:firstLine="480" w:firstLineChars="200"/>
        <w:rPr>
          <w:rFonts w:hint="eastAsia" w:asciiTheme="minorEastAsia" w:hAnsiTheme="minorEastAsia" w:eastAsiaTheme="minorEastAsia"/>
          <w:kern w:val="0"/>
          <w:sz w:val="24"/>
        </w:rPr>
      </w:pPr>
      <w:bookmarkStart w:id="34" w:name="_Hlk174122151"/>
      <w:r>
        <w:rPr>
          <w:rFonts w:hint="eastAsia" w:asciiTheme="minorEastAsia" w:hAnsiTheme="minorEastAsia" w:eastAsiaTheme="minorEastAsia"/>
          <w:kern w:val="0"/>
          <w:sz w:val="24"/>
        </w:rPr>
        <w:t>近期需完成</w:t>
      </w:r>
      <w:r>
        <w:rPr>
          <w:rFonts w:hint="eastAsia" w:asciiTheme="minorEastAsia" w:hAnsiTheme="minorEastAsia" w:eastAsiaTheme="minorEastAsia"/>
          <w:kern w:val="0"/>
          <w:sz w:val="24"/>
          <w:lang w:val="en-US" w:eastAsia="zh-CN"/>
        </w:rPr>
        <w:t>现存探测环境问题整改，同时推进新平现状X波段双偏振天气雷达站升级新建为S波段新一代天气雷达站，并新增新建7部不同类型的天气雷达站。</w:t>
      </w:r>
      <w:r>
        <w:rPr>
          <w:rFonts w:hint="eastAsia" w:asciiTheme="minorEastAsia" w:hAnsiTheme="minorEastAsia" w:eastAsiaTheme="minorEastAsia"/>
          <w:kern w:val="0"/>
          <w:sz w:val="24"/>
        </w:rPr>
        <w:t>同步建立多部门协同审批与日常监管机制，筑牢气象探测环境安全基础。</w:t>
      </w:r>
    </w:p>
    <w:bookmarkEnd w:id="34"/>
    <w:tbl>
      <w:tblPr>
        <w:tblStyle w:val="3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7"/>
        <w:gridCol w:w="1325"/>
        <w:gridCol w:w="662"/>
        <w:gridCol w:w="1075"/>
        <w:gridCol w:w="1075"/>
        <w:gridCol w:w="950"/>
        <w:gridCol w:w="975"/>
        <w:gridCol w:w="1125"/>
        <w:gridCol w:w="1480"/>
      </w:tblGrid>
      <w:tr w14:paraId="14350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trPr>
        <w:tc>
          <w:tcPr>
            <w:tcW w:w="276" w:type="pc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1A138AB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val="en-US" w:eastAsia="zh-CN"/>
              </w:rPr>
              <w:t>序号</w:t>
            </w:r>
          </w:p>
        </w:tc>
        <w:tc>
          <w:tcPr>
            <w:tcW w:w="722" w:type="pc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4E83712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val="en-US" w:eastAsia="zh-CN"/>
              </w:rPr>
              <w:t>项目名称</w:t>
            </w:r>
          </w:p>
        </w:tc>
        <w:tc>
          <w:tcPr>
            <w:tcW w:w="360" w:type="pc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2762964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val="en-US" w:eastAsia="zh-CN"/>
              </w:rPr>
              <w:t>建设性质</w:t>
            </w:r>
          </w:p>
        </w:tc>
        <w:tc>
          <w:tcPr>
            <w:tcW w:w="585" w:type="pc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2E2C514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val="en-US" w:eastAsia="zh-CN"/>
              </w:rPr>
              <w:t>建设年限</w:t>
            </w:r>
          </w:p>
        </w:tc>
        <w:tc>
          <w:tcPr>
            <w:tcW w:w="585" w:type="pct"/>
            <w:tcBorders>
              <w:top w:val="single" w:color="000000" w:sz="4" w:space="0"/>
              <w:left w:val="single" w:color="000000" w:sz="4" w:space="0"/>
              <w:bottom w:val="single" w:color="000000" w:sz="4" w:space="0"/>
              <w:right w:val="single" w:color="000000" w:sz="4" w:space="0"/>
            </w:tcBorders>
            <w:shd w:val="clear" w:color="auto" w:fill="F1F1F1" w:themeFill="background1" w:themeFillShade="F2"/>
            <w:vAlign w:val="center"/>
          </w:tcPr>
          <w:p w14:paraId="47E4831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val="en-US" w:eastAsia="zh-CN"/>
              </w:rPr>
              <w:t>用地规模（公顷）</w:t>
            </w:r>
          </w:p>
        </w:tc>
        <w:tc>
          <w:tcPr>
            <w:tcW w:w="517" w:type="pc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53A9D0A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val="en-US" w:eastAsia="zh-CN"/>
              </w:rPr>
              <w:t>新增建设用地</w:t>
            </w:r>
          </w:p>
        </w:tc>
        <w:tc>
          <w:tcPr>
            <w:tcW w:w="531" w:type="pc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35FC406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val="en-US" w:eastAsia="zh-CN"/>
              </w:rPr>
              <w:t>所在行政区</w:t>
            </w:r>
          </w:p>
        </w:tc>
        <w:tc>
          <w:tcPr>
            <w:tcW w:w="613" w:type="pc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422FEB8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val="en-US" w:eastAsia="zh-CN"/>
              </w:rPr>
              <w:t>建设地点</w:t>
            </w:r>
          </w:p>
        </w:tc>
        <w:tc>
          <w:tcPr>
            <w:tcW w:w="806" w:type="pct"/>
            <w:tcBorders>
              <w:top w:val="single" w:color="000000" w:sz="4" w:space="0"/>
              <w:left w:val="single" w:color="000000" w:sz="4" w:space="0"/>
              <w:bottom w:val="single" w:color="000000" w:sz="4" w:space="0"/>
              <w:right w:val="single" w:color="000000" w:sz="4" w:space="0"/>
            </w:tcBorders>
            <w:shd w:val="clear" w:color="auto" w:fill="F1F1F1" w:themeFill="background1" w:themeFillShade="F2"/>
            <w:noWrap/>
            <w:vAlign w:val="center"/>
          </w:tcPr>
          <w:p w14:paraId="1440390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val="en-US" w:eastAsia="zh-CN"/>
              </w:rPr>
              <w:t>备注</w:t>
            </w:r>
          </w:p>
        </w:tc>
      </w:tr>
      <w:tr w14:paraId="23742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B6B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94EB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玉溪国家基本气象站周边环境整治</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749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改建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B3F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2025年-2026年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A075F">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E93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AE6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红塔区</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943B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玉溪市红塔区瑞峰路13号</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2224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将观测场50米范围内高度超过1米的树木进行移除，对障碍物进行整治</w:t>
            </w:r>
          </w:p>
        </w:tc>
      </w:tr>
      <w:tr w14:paraId="3B28B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01BB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1EF3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江川国家基本气象站周边环境整治</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653A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改建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8D0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2025年-2026年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3C0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678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328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江川区</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0EE5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江川区星象路49号</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9512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将观测场50米范围内高度超过1米的树木进行移除，对障碍物进行整治</w:t>
            </w:r>
          </w:p>
        </w:tc>
      </w:tr>
      <w:tr w14:paraId="7E6D4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7BC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276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新建江川X波段相控阵天气雷达站</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500B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AB2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2026年-2030年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B28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0.0836</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FDC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97EF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江川区</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E30A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安化乡光山村</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7887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p>
        </w:tc>
      </w:tr>
      <w:tr w14:paraId="15AAA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386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8885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澄江国家基本气象站周边环境整治</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761B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改建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6B4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2025年-2026年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BDE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37DA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FEA6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澄江市</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C7DA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澄江市凤麓街道青山路1号附1号</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EF4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将观测场50米范围内高度超过1米的树木进行移除，对障碍物进行整治</w:t>
            </w:r>
          </w:p>
        </w:tc>
      </w:tr>
      <w:tr w14:paraId="32793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51E5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5</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75B0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新建澄江X波段相控阵天气雷达站</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91C1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6988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2026年-2030年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A35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0.0621</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167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89A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澄江市</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9773F">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海口镇松元村</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9CF2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p>
        </w:tc>
      </w:tr>
      <w:tr w14:paraId="430BE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2A8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F119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通海国家基本气象站周边环境整治</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D32C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改建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7BF1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2025年-2026年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D68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AB40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0EE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通海县</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CA61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通海县秀山镇万家村“马头丫巴”（城边）</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E8C4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将观测场50米范围内高度超过1米的树木进行移除，对障碍物进行整治</w:t>
            </w:r>
          </w:p>
        </w:tc>
      </w:tr>
      <w:tr w14:paraId="3050F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F5B1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430B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新建通海微小型X波段天气雷达站</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50A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844C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2026年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791D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0.1736</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195F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EE9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通海县</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3DC3F">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螺蜂山瞭望塔</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224A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p>
        </w:tc>
      </w:tr>
      <w:tr w14:paraId="09899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B71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8</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AF76F">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华宁国家基本气象站周边环境整治</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4677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改建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95A2">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2025年-2026年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63A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3F1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3D9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华宁县</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710D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华宁县宁州街道右所村委会大塘子</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AAD6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将观测场50米范围内高度超过1米的树木进行移除，对障碍物进行整治</w:t>
            </w:r>
          </w:p>
        </w:tc>
      </w:tr>
      <w:tr w14:paraId="01963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14E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9</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09B1F">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新建华宁X波段相控阵天气雷达站</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9222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1458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2026年-2030年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28E1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0.1006</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68D7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0.1006</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B1FE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华宁县</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A82E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青龙镇秧草塘</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E28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p>
        </w:tc>
      </w:tr>
      <w:tr w14:paraId="4EB63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CE7F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10</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35D4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易门国家基本气象站周边环境整治</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CDFB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改建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9B6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2025年-2026年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C5A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C48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2B5F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易门县</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5695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易门县龙泉街道办事处梅营社区南庄</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B30B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将观测场50米范围内高度超过1米的树木进行移除，对障碍物进行整治</w:t>
            </w:r>
          </w:p>
        </w:tc>
      </w:tr>
      <w:tr w14:paraId="3D6A9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CA41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11</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711A1">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新建易门微小型X波段天气雷达站</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561A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4FB2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2026年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54A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0.0648</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D2BD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05D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易门县</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85A8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铜厂乡底尼村</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51C1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p>
        </w:tc>
      </w:tr>
      <w:tr w14:paraId="01477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FA3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12</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7BF7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峨山国家基本气象站周边环境整治</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DC67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改建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595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2025年-2026年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E254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631E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ABA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峨山县</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ABA9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峨山县双江街道办事处气象路1号</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2271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将观测场50米范围内高度超过1米的树木进行移除，对障碍物进行整治</w:t>
            </w:r>
          </w:p>
        </w:tc>
      </w:tr>
      <w:tr w14:paraId="47DAA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387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13</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1BE6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新建峨山X波段双偏振天气雷达站</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4054F">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6C42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2026年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CE5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43B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0C3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峨山县</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F185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峨山县塔甸镇大西村</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0CEF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p>
        </w:tc>
      </w:tr>
      <w:tr w14:paraId="6CB5A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70B8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14</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BECB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新平国家基本气象站周边环境整治</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B666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改建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9B7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2025年-2026年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D39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0.6886</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CC4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980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新平县</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F5DC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新平彝族傣族自治县桂山街道办事处青龙社区第三小组</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3D1E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将观测场50米范围内高度超过1米的树木进行移除，对障碍物进行整治</w:t>
            </w:r>
          </w:p>
        </w:tc>
      </w:tr>
      <w:tr w14:paraId="060B1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285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15</w:t>
            </w:r>
          </w:p>
        </w:tc>
        <w:tc>
          <w:tcPr>
            <w:tcW w:w="7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BE2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新建新平S波段新一代天气雷达站</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DF04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升级新建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A0C3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2026年-2030年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5FA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0.2821</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C648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B93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新平县</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822B6">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新平县磨盘山</w:t>
            </w:r>
          </w:p>
        </w:tc>
        <w:tc>
          <w:tcPr>
            <w:tcW w:w="8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DEA2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p>
        </w:tc>
      </w:tr>
      <w:tr w14:paraId="63A10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88FA">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16</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6A525">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元江国家基准气候站周边环境整治</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868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改建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EAD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2025年-2026年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8025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BD03">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1C34B">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元江县</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EE58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元江县红河街道桥头社区曼费金子山</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BF97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将观测场50米范围内高度超过1米的树木进行移除</w:t>
            </w:r>
          </w:p>
        </w:tc>
      </w:tr>
      <w:tr w14:paraId="3C74A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8E86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17</w:t>
            </w:r>
          </w:p>
        </w:tc>
        <w:tc>
          <w:tcPr>
            <w:tcW w:w="7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4D9FF">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新建元江县微小型X波段天气雷达站</w:t>
            </w:r>
          </w:p>
        </w:tc>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6F4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新建</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361C">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2026年-2030年</w:t>
            </w:r>
          </w:p>
        </w:tc>
        <w:tc>
          <w:tcPr>
            <w:tcW w:w="58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E5FE">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0.1298</w:t>
            </w:r>
          </w:p>
        </w:tc>
        <w:tc>
          <w:tcPr>
            <w:tcW w:w="5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A41A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1A8D">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元江县</w:t>
            </w:r>
          </w:p>
        </w:tc>
        <w:tc>
          <w:tcPr>
            <w:tcW w:w="6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A8BF">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龙潭乡大哨村</w:t>
            </w:r>
          </w:p>
        </w:tc>
        <w:tc>
          <w:tcPr>
            <w:tcW w:w="8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63758">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rPr>
            </w:pPr>
          </w:p>
        </w:tc>
      </w:tr>
    </w:tbl>
    <w:p w14:paraId="09BBC87B">
      <w:pPr>
        <w:pStyle w:val="2"/>
        <w:keepLines w:val="0"/>
        <w:widowControl/>
        <w:numPr>
          <w:ilvl w:val="0"/>
          <w:numId w:val="5"/>
        </w:numPr>
        <w:spacing w:line="240" w:lineRule="auto"/>
        <w:ind w:left="0" w:firstLine="0"/>
        <w:jc w:val="center"/>
        <w:rPr>
          <w:rFonts w:asciiTheme="minorEastAsia" w:hAnsiTheme="minorEastAsia" w:eastAsiaTheme="minorEastAsia"/>
          <w:szCs w:val="32"/>
        </w:rPr>
      </w:pPr>
      <w:bookmarkStart w:id="35" w:name="_Toc8578"/>
      <w:r>
        <w:rPr>
          <w:rFonts w:hint="eastAsia" w:asciiTheme="minorEastAsia" w:hAnsiTheme="minorEastAsia" w:eastAsiaTheme="minorEastAsia"/>
          <w:szCs w:val="32"/>
        </w:rPr>
        <w:t>实施保障措施</w:t>
      </w:r>
      <w:bookmarkEnd w:id="35"/>
    </w:p>
    <w:p w14:paraId="108BDA63">
      <w:pPr>
        <w:pStyle w:val="3"/>
        <w:keepLines w:val="0"/>
        <w:widowControl/>
        <w:ind w:left="0" w:firstLine="0"/>
      </w:pPr>
      <w:bookmarkStart w:id="36" w:name="_Toc22078"/>
      <w:r>
        <w:rPr>
          <w:rFonts w:hint="eastAsia"/>
        </w:rPr>
        <w:t>相关部门职责</w:t>
      </w:r>
      <w:bookmarkEnd w:id="36"/>
    </w:p>
    <w:p w14:paraId="1A55CA6A">
      <w:pPr>
        <w:pStyle w:val="4"/>
        <w:numPr>
          <w:ilvl w:val="0"/>
          <w:numId w:val="23"/>
        </w:numPr>
      </w:pPr>
      <w:r>
        <w:rPr>
          <w:rFonts w:hint="eastAsia"/>
        </w:rPr>
        <w:t>规划衔接落实</w:t>
      </w:r>
    </w:p>
    <w:p w14:paraId="278A1CC2">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本规划报市政府批准后依法纳入国土空间规划，</w:t>
      </w:r>
      <w:r>
        <w:rPr>
          <w:rFonts w:hint="eastAsia" w:asciiTheme="minorEastAsia" w:hAnsiTheme="minorEastAsia" w:eastAsiaTheme="minorEastAsia"/>
          <w:kern w:val="0"/>
          <w:sz w:val="24"/>
          <w:lang w:val="en-US" w:eastAsia="zh-CN"/>
        </w:rPr>
        <w:t>建议</w:t>
      </w:r>
      <w:r>
        <w:rPr>
          <w:rFonts w:hint="eastAsia" w:asciiTheme="minorEastAsia" w:hAnsiTheme="minorEastAsia" w:eastAsiaTheme="minorEastAsia"/>
          <w:kern w:val="0"/>
          <w:sz w:val="24"/>
        </w:rPr>
        <w:t>将气象观测站用地纳入“城市黄线”管理范围。</w:t>
      </w:r>
    </w:p>
    <w:p w14:paraId="6C1EF154">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为使本规划能顺利实施，在信息共享、项目联合审批方面要加强各部门的统筹协调，并在相关部门的详细规划中落实管控要求。</w:t>
      </w:r>
    </w:p>
    <w:p w14:paraId="42A42195">
      <w:pPr>
        <w:pStyle w:val="4"/>
        <w:numPr>
          <w:ilvl w:val="0"/>
          <w:numId w:val="23"/>
        </w:numPr>
      </w:pPr>
      <w:r>
        <w:rPr>
          <w:rFonts w:hint="eastAsia"/>
        </w:rPr>
        <w:t>日常监督检查</w:t>
      </w:r>
    </w:p>
    <w:p w14:paraId="64FD735F">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气象主管机构在上级气象主管机构和本级人民政府的领导下，负责管理本行政区域内气象探测环境和气象设施的保护工作。发展改革、自然资源、无线电管理、环境保护等有关部门按照职责分工负责气象设施和气象探测环境保护的有关工作。</w:t>
      </w:r>
    </w:p>
    <w:p w14:paraId="716E17C1">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对不符合气象探测环境保护要求的建筑物、构筑物、干扰源等，气象主管机构应当根据实际情况，同有关部门提出治理方案，报本级人民政府批准并组织实施。</w:t>
      </w:r>
    </w:p>
    <w:p w14:paraId="5BB173ED">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气象主管机构应当加强对气象设施和气象探测环境保护的日常巡查和监督检查。任何单位和个人都有义务保护气象设施和气象探测环境，并有权对破坏气象设施和气象探测环境的行为进行举报。</w:t>
      </w:r>
    </w:p>
    <w:p w14:paraId="3E63AD81">
      <w:pPr>
        <w:pStyle w:val="3"/>
        <w:keepNext w:val="0"/>
        <w:keepLines w:val="0"/>
        <w:widowControl/>
        <w:spacing w:line="415" w:lineRule="auto"/>
        <w:ind w:left="0" w:firstLine="0"/>
      </w:pPr>
      <w:bookmarkStart w:id="37" w:name="_Toc883"/>
      <w:r>
        <w:rPr>
          <w:rFonts w:hint="eastAsia"/>
        </w:rPr>
        <w:t>气象探测环境保护范围内的建设项目审批</w:t>
      </w:r>
      <w:bookmarkEnd w:id="37"/>
    </w:p>
    <w:p w14:paraId="62A4A6F6">
      <w:pPr>
        <w:pStyle w:val="4"/>
        <w:numPr>
          <w:ilvl w:val="0"/>
          <w:numId w:val="24"/>
        </w:numPr>
      </w:pPr>
      <w:r>
        <w:rPr>
          <w:rFonts w:hint="eastAsia"/>
        </w:rPr>
        <w:t>核心原则</w:t>
      </w:r>
    </w:p>
    <w:p w14:paraId="2B079433">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rPr>
        <w:t>在气象台站探测环境保护范围内新建、改建、扩建建设工程，应当避免危害气象探测环境；确实无法避免的，建设单位应当向省气象主管机构报告并提出相应的补救措施，经省气象主管机构书面同意。未征得气象主管机构书面同意或者未落实补救措施的，有关部门不得批准其开工建设。</w:t>
      </w:r>
    </w:p>
    <w:p w14:paraId="1DABE90F">
      <w:pPr>
        <w:pStyle w:val="4"/>
        <w:numPr>
          <w:ilvl w:val="0"/>
          <w:numId w:val="24"/>
        </w:numPr>
      </w:pPr>
      <w:r>
        <w:rPr>
          <w:rFonts w:hint="eastAsia"/>
        </w:rPr>
        <w:t>审批依据与流程</w:t>
      </w:r>
    </w:p>
    <w:p w14:paraId="43326FB9">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rPr>
        <w:t>依据《中华人民共和国气象法》第二十一条，新建、扩建、改建建设工程，应当避免危害气象探测环境；确实无法避免的，建设单位应当事先征得省、自治区、直辖市气象主管机构的同意，并采取相应的措施后，方可建设。</w:t>
      </w:r>
    </w:p>
    <w:p w14:paraId="72C23DE7">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rPr>
        <w:t>依据《气象设施和气象探测环境保护条例》第十七条，在气象台站探测环境保护范围内新建、改建、扩建建设工程，应当避免危害气象探测环境；确实无法避免的，建设单位应当向省、自治区、直辖市气象主管机构报告并提出相应的补救措施，经省、自治区、直辖市气象主管机构书面同意。未征得气象主管机构书面同意或者未落实补救措施的，有关部门不得批准其开工建设。</w:t>
      </w:r>
    </w:p>
    <w:p w14:paraId="4FCBBC90">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依据《新建、扩建、改建建设工程避免危害气象探测环境行政许可管理办法》第四条，国务院气象主管机构负责全国新建、扩建、改建建设工程避免危害气象探测环境行政许可的监督管理。省、自治区、直辖市气象主管机构负责本行政区域内新建、 扩建、改建建设工程避免危害气象探测环境行政许可的实施和管理工作。设区的市气象主管机构或者省直管县（市）气象主管机构负责本行政区域内新建、扩建、改建建设工程避免危害气象探测环境行政许可的初审和管理工作。</w:t>
      </w:r>
    </w:p>
    <w:p w14:paraId="2874FEFB">
      <w:pPr>
        <w:pStyle w:val="4"/>
        <w:numPr>
          <w:ilvl w:val="0"/>
          <w:numId w:val="24"/>
        </w:numPr>
      </w:pPr>
      <w:r>
        <w:rPr>
          <w:rFonts w:hint="eastAsia"/>
        </w:rPr>
        <w:t>审批约束</w:t>
      </w:r>
    </w:p>
    <w:p w14:paraId="6D2B30C3">
      <w:pPr>
        <w:spacing w:line="360" w:lineRule="auto"/>
        <w:ind w:firstLine="480" w:firstLineChars="200"/>
        <w:rPr>
          <w:rFonts w:hint="eastAsia" w:asciiTheme="minorEastAsia" w:hAnsiTheme="minorEastAsia" w:eastAsiaTheme="minorEastAsia"/>
          <w:kern w:val="0"/>
          <w:sz w:val="24"/>
        </w:rPr>
      </w:pPr>
      <w:r>
        <w:rPr>
          <w:rFonts w:hint="eastAsia" w:asciiTheme="minorEastAsia" w:hAnsiTheme="minorEastAsia" w:eastAsiaTheme="minorEastAsia"/>
          <w:kern w:val="0"/>
          <w:sz w:val="24"/>
          <w:lang w:val="en-US" w:eastAsia="zh-CN"/>
        </w:rPr>
        <w:t>制定国土空间规划时征求气象部门意见；在审批气象探测环境保护范围内项目时，相关部门应当告知建设单位向气象主管机构报请新建、扩建、改建工程避免危害气象探测环境审批</w:t>
      </w:r>
      <w:r>
        <w:rPr>
          <w:rFonts w:hint="eastAsia" w:asciiTheme="minorEastAsia" w:hAnsiTheme="minorEastAsia" w:eastAsiaTheme="minorEastAsia"/>
          <w:kern w:val="0"/>
          <w:sz w:val="24"/>
        </w:rPr>
        <w:t>。</w:t>
      </w:r>
    </w:p>
    <w:p w14:paraId="497FC6E3">
      <w:pPr>
        <w:pStyle w:val="3"/>
        <w:keepNext w:val="0"/>
        <w:keepLines w:val="0"/>
        <w:widowControl/>
        <w:spacing w:line="415" w:lineRule="auto"/>
        <w:ind w:left="0" w:firstLine="0"/>
      </w:pPr>
      <w:bookmarkStart w:id="38" w:name="_Toc26122"/>
      <w:r>
        <w:rPr>
          <w:rFonts w:hint="eastAsia"/>
        </w:rPr>
        <w:t>气象探测环境保护的法律责任</w:t>
      </w:r>
      <w:bookmarkEnd w:id="38"/>
    </w:p>
    <w:p w14:paraId="542B9C8A">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对违反规划，危害气象探测环境的行为依照《中华人民共和国气象法》和《气象设施和气象探测环境保护条例》的相关规定进行处罚。</w:t>
      </w:r>
    </w:p>
    <w:p w14:paraId="1237EFF4">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对挤占、干扰依法设立的气象无线电台（站）、频率的，依照无线电管理相关法律法规的规定处罚。</w:t>
      </w:r>
    </w:p>
    <w:p w14:paraId="7B775996">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在气象探测环境保护范围内，违法批准占用土地的或者非法占用土地新建建筑物或者其他设施的，依照城乡规划土地管理等相关法律法规的规定处罚。</w:t>
      </w:r>
    </w:p>
    <w:p w14:paraId="48E22D7A">
      <w:pPr>
        <w:pStyle w:val="2"/>
        <w:keepNext/>
        <w:keepLines w:val="0"/>
        <w:pageBreakBefore w:val="0"/>
        <w:widowControl/>
        <w:numPr>
          <w:ilvl w:val="0"/>
          <w:numId w:val="5"/>
        </w:numPr>
        <w:kinsoku/>
        <w:wordWrap/>
        <w:overflowPunct/>
        <w:topLinePunct w:val="0"/>
        <w:autoSpaceDE/>
        <w:autoSpaceDN/>
        <w:bidi w:val="0"/>
        <w:adjustRightInd/>
        <w:snapToGrid/>
        <w:spacing w:line="240" w:lineRule="auto"/>
        <w:ind w:left="0" w:firstLine="0"/>
        <w:jc w:val="center"/>
        <w:textAlignment w:val="auto"/>
        <w:rPr>
          <w:rFonts w:asciiTheme="minorEastAsia" w:hAnsiTheme="minorEastAsia" w:eastAsiaTheme="minorEastAsia"/>
          <w:szCs w:val="32"/>
        </w:rPr>
      </w:pPr>
      <w:bookmarkStart w:id="39" w:name="_Toc23121"/>
      <w:r>
        <w:rPr>
          <w:rFonts w:hint="eastAsia" w:asciiTheme="minorEastAsia" w:hAnsiTheme="minorEastAsia" w:eastAsiaTheme="minorEastAsia"/>
          <w:szCs w:val="32"/>
        </w:rPr>
        <w:t>附则</w:t>
      </w:r>
      <w:bookmarkEnd w:id="39"/>
    </w:p>
    <w:p w14:paraId="3C978305">
      <w:pPr>
        <w:pStyle w:val="3"/>
        <w:keepNext w:val="0"/>
        <w:keepLines w:val="0"/>
        <w:widowControl/>
        <w:spacing w:line="415" w:lineRule="auto"/>
        <w:ind w:left="0" w:firstLine="0"/>
      </w:pPr>
      <w:bookmarkStart w:id="40" w:name="_Toc22858"/>
      <w:r>
        <w:rPr>
          <w:rFonts w:hint="eastAsia"/>
        </w:rPr>
        <w:t>规划成果</w:t>
      </w:r>
      <w:bookmarkEnd w:id="40"/>
    </w:p>
    <w:p w14:paraId="65FD69FA">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本规划成果由规划文本、附表、附图、空间矢量数据、其他数据（包含编制说明、</w:t>
      </w:r>
    </w:p>
    <w:p w14:paraId="052892CD">
      <w:pPr>
        <w:spacing w:line="360" w:lineRule="auto"/>
        <w:rPr>
          <w:rFonts w:asciiTheme="minorEastAsia" w:hAnsiTheme="minorEastAsia" w:eastAsiaTheme="minorEastAsia"/>
          <w:kern w:val="0"/>
          <w:sz w:val="24"/>
        </w:rPr>
      </w:pPr>
      <w:r>
        <w:rPr>
          <w:rFonts w:hint="eastAsia" w:asciiTheme="minorEastAsia" w:hAnsiTheme="minorEastAsia" w:eastAsiaTheme="minorEastAsia"/>
          <w:kern w:val="0"/>
          <w:sz w:val="24"/>
        </w:rPr>
        <w:t>批复文件等其他成果相关材料）五部分构成。其中，规划文本、附表、附图为规划核心法定文件，三者具有同等法律效力，在规划实施、项目审批、监督管理等场景中须同步使用、不可分割；空间矢量数据作为数字化支撑成果，需与前述法定文件协同应用，适配国土空间规划“一张图”管理需求。</w:t>
      </w:r>
    </w:p>
    <w:p w14:paraId="02E213BC">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规划文本中以</w:t>
      </w:r>
      <w:r>
        <w:rPr>
          <w:rFonts w:hint="eastAsia" w:asciiTheme="minorEastAsia" w:hAnsiTheme="minorEastAsia" w:eastAsiaTheme="minorEastAsia"/>
          <w:kern w:val="0"/>
          <w:sz w:val="24"/>
          <w:u w:val="single"/>
        </w:rPr>
        <w:t>下划线标注</w:t>
      </w:r>
      <w:r>
        <w:rPr>
          <w:rFonts w:hint="eastAsia" w:asciiTheme="minorEastAsia" w:hAnsiTheme="minorEastAsia" w:eastAsiaTheme="minorEastAsia"/>
          <w:kern w:val="0"/>
          <w:sz w:val="24"/>
        </w:rPr>
        <w:t>的内容为强制性条款，任何单位和个人在气象探测环境保护范围内开展规划编制、建设活动、日常管理等工作时，均须严格遵守，不得擅自变更或违反。</w:t>
      </w:r>
    </w:p>
    <w:p w14:paraId="7C032814">
      <w:pPr>
        <w:pStyle w:val="3"/>
        <w:keepNext w:val="0"/>
        <w:keepLines w:val="0"/>
        <w:widowControl/>
        <w:spacing w:line="415" w:lineRule="auto"/>
        <w:ind w:left="0" w:firstLine="0"/>
      </w:pPr>
      <w:bookmarkStart w:id="41" w:name="_Toc31012"/>
      <w:r>
        <w:rPr>
          <w:rFonts w:hint="eastAsia"/>
        </w:rPr>
        <w:t>规划解释</w:t>
      </w:r>
      <w:bookmarkEnd w:id="41"/>
    </w:p>
    <w:p w14:paraId="51D1D007">
      <w:pPr>
        <w:spacing w:line="360" w:lineRule="auto"/>
        <w:ind w:firstLine="480" w:firstLineChars="200"/>
        <w:rPr>
          <w:rFonts w:asciiTheme="minorEastAsia" w:hAnsiTheme="minorEastAsia" w:eastAsiaTheme="minorEastAsia"/>
          <w:kern w:val="0"/>
          <w:sz w:val="24"/>
        </w:rPr>
      </w:pPr>
      <w:r>
        <w:rPr>
          <w:rFonts w:hint="eastAsia" w:asciiTheme="minorEastAsia" w:hAnsiTheme="minorEastAsia" w:eastAsiaTheme="minorEastAsia"/>
          <w:kern w:val="0"/>
          <w:sz w:val="24"/>
        </w:rPr>
        <w:t>本规划由玉溪市气象局负责解释。</w:t>
      </w:r>
    </w:p>
    <w:p w14:paraId="4B1B215C">
      <w:pPr>
        <w:pStyle w:val="3"/>
        <w:keepNext w:val="0"/>
        <w:keepLines w:val="0"/>
        <w:widowControl/>
        <w:spacing w:line="415" w:lineRule="auto"/>
        <w:ind w:left="0" w:firstLine="0"/>
      </w:pPr>
      <w:bookmarkStart w:id="42" w:name="_Toc29365"/>
      <w:r>
        <w:rPr>
          <w:rFonts w:hint="eastAsia"/>
        </w:rPr>
        <w:t>规划效力</w:t>
      </w:r>
      <w:bookmarkEnd w:id="42"/>
    </w:p>
    <w:p w14:paraId="57C08336">
      <w:pPr>
        <w:spacing w:line="360" w:lineRule="auto"/>
        <w:ind w:firstLine="480" w:firstLineChars="200"/>
        <w:rPr>
          <w:rFonts w:asciiTheme="minorEastAsia" w:hAnsiTheme="minorEastAsia" w:eastAsiaTheme="minorEastAsia"/>
          <w:szCs w:val="32"/>
        </w:rPr>
      </w:pPr>
      <w:r>
        <w:rPr>
          <w:rFonts w:hint="eastAsia" w:asciiTheme="minorEastAsia" w:hAnsiTheme="minorEastAsia" w:eastAsiaTheme="minorEastAsia"/>
          <w:kern w:val="0"/>
          <w:sz w:val="24"/>
        </w:rPr>
        <w:t>本规划自市政府批准之日起生效。</w:t>
      </w:r>
    </w:p>
    <w:sectPr>
      <w:headerReference r:id="rId3" w:type="default"/>
      <w:footerReference r:id="rId4" w:type="default"/>
      <w:footerReference r:id="rId5" w:type="even"/>
      <w:type w:val="continuous"/>
      <w:pgSz w:w="11906" w:h="16838"/>
      <w:pgMar w:top="1134" w:right="1474" w:bottom="851" w:left="1474" w:header="851" w:footer="992" w:gutter="0"/>
      <w:pgNumType w:fmt="numberInDash" w:start="0"/>
      <w:cols w:space="2104"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ail">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embedRegular r:id="rId1" w:fontKey="{EB013DE1-7D36-4F59-8E4F-8F010B6A1CCD}"/>
  </w:font>
  <w:font w:name="华文细黑">
    <w:altName w:val="微软雅黑"/>
    <w:panose1 w:val="02010600040101010101"/>
    <w:charset w:val="86"/>
    <w:family w:val="auto"/>
    <w:pitch w:val="default"/>
    <w:sig w:usb0="00000000" w:usb1="00000000" w:usb2="00000000" w:usb3="00000000" w:csb0="0004009F" w:csb1="DFD70000"/>
  </w:font>
  <w:font w:name="等线">
    <w:altName w:val="微软雅黑"/>
    <w:panose1 w:val="02010600030101010101"/>
    <w:charset w:val="86"/>
    <w:family w:val="auto"/>
    <w:pitch w:val="default"/>
    <w:sig w:usb0="00000000" w:usb1="00000000" w:usb2="00000016" w:usb3="00000000" w:csb0="0004000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汉仪书宋二简">
    <w:altName w:val="宋体"/>
    <w:panose1 w:val="02010600000101010101"/>
    <w:charset w:val="86"/>
    <w:family w:val="auto"/>
    <w:pitch w:val="default"/>
    <w:sig w:usb0="00000000" w:usb1="00000000" w:usb2="00000002"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80C8EA2D-7AB9-4B75-860A-2E1B58B3075C}"/>
  </w:font>
  <w:font w:name="等线 Light">
    <w:altName w:val="宋体"/>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F2650">
    <w:pPr>
      <w:pStyle w:val="24"/>
      <w:framePr w:wrap="around" w:vAnchor="text" w:hAnchor="margin" w:xAlign="center" w:y="1"/>
      <w:rPr>
        <w:rStyle w:val="41"/>
        <w:sz w:val="21"/>
        <w:szCs w:val="21"/>
      </w:rPr>
    </w:pPr>
    <w:r>
      <w:rPr>
        <w:rStyle w:val="41"/>
        <w:sz w:val="21"/>
        <w:szCs w:val="21"/>
      </w:rPr>
      <w:fldChar w:fldCharType="begin"/>
    </w:r>
    <w:r>
      <w:rPr>
        <w:rStyle w:val="41"/>
        <w:sz w:val="21"/>
        <w:szCs w:val="21"/>
      </w:rPr>
      <w:instrText xml:space="preserve">PAGE  </w:instrText>
    </w:r>
    <w:r>
      <w:rPr>
        <w:rStyle w:val="41"/>
        <w:sz w:val="21"/>
        <w:szCs w:val="21"/>
      </w:rPr>
      <w:fldChar w:fldCharType="separate"/>
    </w:r>
    <w:r>
      <w:rPr>
        <w:rStyle w:val="41"/>
        <w:sz w:val="21"/>
        <w:szCs w:val="21"/>
      </w:rPr>
      <w:t>- 25 -</w:t>
    </w:r>
    <w:r>
      <w:rPr>
        <w:rStyle w:val="41"/>
        <w:sz w:val="21"/>
        <w:szCs w:val="21"/>
      </w:rPr>
      <w:fldChar w:fldCharType="end"/>
    </w:r>
  </w:p>
  <w:p w14:paraId="43F0FC7D">
    <w:pPr>
      <w:pStyle w:val="24"/>
    </w:pPr>
    <w:r>
      <w:drawing>
        <wp:anchor distT="0" distB="0" distL="114300" distR="114300" simplePos="0" relativeHeight="251659264" behindDoc="0" locked="0" layoutInCell="1" allowOverlap="1">
          <wp:simplePos x="0" y="0"/>
          <wp:positionH relativeFrom="column">
            <wp:posOffset>11152505</wp:posOffset>
          </wp:positionH>
          <wp:positionV relativeFrom="paragraph">
            <wp:posOffset>85090</wp:posOffset>
          </wp:positionV>
          <wp:extent cx="272415" cy="272415"/>
          <wp:effectExtent l="0" t="0" r="0" b="0"/>
          <wp:wrapNone/>
          <wp:docPr id="1956731091" name="图片 195673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31091" name="图片 1956731091"/>
                  <pic:cNvPicPr>
                    <a:picLocks noChangeAspect="1"/>
                  </pic:cNvPicPr>
                </pic:nvPicPr>
                <pic:blipFill>
                  <a:blip r:embed="rId1" cstate="print">
                    <a:extLst>
                      <a:ext uri="{BEBA8EAE-BF5A-486C-A8C5-ECC9F3942E4B}">
                        <a14:imgProps xmlns:a14="http://schemas.microsoft.com/office/drawing/2010/main">
                          <a14:imgLayer r:embed="rId2">
                            <a14:imgEffect>
                              <a14:backgroundRemoval t="10000" b="90000" l="10000" r="90000">
                                <a14:foregroundMark x1="35360" y1="33559" x2="35360" y2="0"/>
                              </a14:backgroundRemoval>
                            </a14:imgEffect>
                          </a14:imgLayer>
                        </a14:imgProps>
                      </a:ext>
                      <a:ext uri="{28A0092B-C50C-407E-A947-70E740481C1C}">
                        <a14:useLocalDpi xmlns:a14="http://schemas.microsoft.com/office/drawing/2010/main" val="0"/>
                      </a:ext>
                    </a:extLst>
                  </a:blip>
                  <a:stretch>
                    <a:fillRect/>
                  </a:stretch>
                </pic:blipFill>
                <pic:spPr>
                  <a:xfrm>
                    <a:off x="0" y="0"/>
                    <a:ext cx="272105" cy="272105"/>
                  </a:xfrm>
                  <a:prstGeom prst="rect">
                    <a:avLst/>
                  </a:prstGeom>
                </pic:spPr>
              </pic:pic>
            </a:graphicData>
          </a:graphic>
        </wp:anchor>
      </w:drawing>
    </w:r>
  </w:p>
  <w:p w14:paraId="1D32782A">
    <w:pPr>
      <w:pStyle w:val="24"/>
      <w:jc w:val="right"/>
      <w:rPr>
        <w:b/>
        <w:b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9B57B">
    <w:pPr>
      <w:pStyle w:val="24"/>
      <w:framePr w:wrap="around" w:vAnchor="text" w:hAnchor="margin" w:xAlign="center" w:y="1"/>
      <w:rPr>
        <w:rStyle w:val="41"/>
      </w:rPr>
    </w:pPr>
    <w:r>
      <w:rPr>
        <w:rStyle w:val="41"/>
      </w:rPr>
      <w:fldChar w:fldCharType="begin"/>
    </w:r>
    <w:r>
      <w:rPr>
        <w:rStyle w:val="41"/>
      </w:rPr>
      <w:instrText xml:space="preserve">PAGE  </w:instrText>
    </w:r>
    <w:r>
      <w:rPr>
        <w:rStyle w:val="41"/>
      </w:rPr>
      <w:fldChar w:fldCharType="separate"/>
    </w:r>
    <w:r>
      <w:rPr>
        <w:rStyle w:val="41"/>
      </w:rPr>
      <w:t>-5-</w:t>
    </w:r>
    <w:r>
      <w:rPr>
        <w:rStyle w:val="41"/>
      </w:rPr>
      <w:fldChar w:fldCharType="end"/>
    </w:r>
  </w:p>
  <w:p w14:paraId="4CF239ED">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E8CE4">
    <w:pPr>
      <w:pStyle w:val="25"/>
      <w:pBdr>
        <w:bottom w:val="none" w:color="auto" w:sz="0" w:space="1"/>
      </w:pBdr>
    </w:pPr>
    <w: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topMargin">
                <wp:posOffset>168910</wp:posOffset>
              </wp:positionV>
              <wp:extent cx="4940935" cy="414020"/>
              <wp:effectExtent l="0" t="0" r="0" b="5080"/>
              <wp:wrapNone/>
              <wp:docPr id="7" name="组合 7"/>
              <wp:cNvGraphicFramePr/>
              <a:graphic xmlns:a="http://schemas.openxmlformats.org/drawingml/2006/main">
                <a:graphicData uri="http://schemas.microsoft.com/office/word/2010/wordprocessingGroup">
                  <wpg:wgp>
                    <wpg:cNvGrpSpPr/>
                    <wpg:grpSpPr>
                      <a:xfrm>
                        <a:off x="0" y="0"/>
                        <a:ext cx="4940935" cy="414020"/>
                        <a:chOff x="883" y="787"/>
                        <a:chExt cx="7781" cy="652"/>
                      </a:xfrm>
                    </wpg:grpSpPr>
                    <wps:wsp>
                      <wps:cNvPr id="1" name="矩形 1"/>
                      <wps:cNvSpPr/>
                      <wps:spPr>
                        <a:xfrm>
                          <a:off x="883" y="787"/>
                          <a:ext cx="1859" cy="607"/>
                        </a:xfrm>
                        <a:prstGeom prst="rect">
                          <a:avLst/>
                        </a:prstGeom>
                        <a:solidFill>
                          <a:srgbClr val="709F6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 name="文本框 3"/>
                      <wps:cNvSpPr txBox="1"/>
                      <wps:spPr>
                        <a:xfrm>
                          <a:off x="2764" y="823"/>
                          <a:ext cx="5900" cy="61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A97999">
                            <w:pPr>
                              <w:jc w:val="distribute"/>
                              <w:rPr>
                                <w:rFonts w:ascii="微软雅黑" w:hAnsi="微软雅黑" w:eastAsia="微软雅黑" w:cs="微软雅黑"/>
                                <w:b/>
                                <w:bCs/>
                                <w:color w:val="709F6D"/>
                                <w:sz w:val="20"/>
                                <w:szCs w:val="20"/>
                              </w:rPr>
                            </w:pPr>
                            <w:r>
                              <w:rPr>
                                <w:rFonts w:hint="eastAsia" w:ascii="微软雅黑" w:hAnsi="微软雅黑" w:eastAsia="微软雅黑" w:cs="微软雅黑"/>
                                <w:b/>
                                <w:bCs/>
                                <w:color w:val="709F6D"/>
                                <w:sz w:val="20"/>
                                <w:szCs w:val="20"/>
                              </w:rPr>
                              <w:t>玉溪市气象探测环境保护专项规划（2025-2035年）</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0pt;margin-top:13.3pt;height:32.6pt;width:389.05pt;mso-position-horizontal-relative:page;mso-position-vertical-relative:page;z-index:251661312;mso-width-relative:page;mso-height-relative:page;" coordorigin="883,787" coordsize="7781,652" o:gfxdata="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NxKfiPXAAAA&#10;BgEAAA8AAAAAAAAAAQAgAAAAIgAAAGRycy9kb3ducmV2LnhtbFBLAQIUABQAAAAIAIdO4kCzQaRZ&#10;OwMAAGYIAAAOAAAAAAAAAAEAIAAAACYBAABkcnMvZTJvRG9jLnhtbFBLBQYAAAAABgAGAFkBAADT&#10;BgAAAAA=&#10;">
              <o:lock v:ext="edit" aspectratio="f"/>
              <v:rect id="_x0000_s1026" o:spid="_x0000_s1026" o:spt="1" style="position:absolute;left:883;top:787;height:607;width:1859;v-text-anchor:middle;" fillcolor="#709F6D" filled="t" stroked="f" coordsize="21600,21600" o:gfxdata="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CI3LsAAADa&#10;AAAADwAAAAAAAAABACAAAAAiAAAAZHJzL2Rvd25yZXYueG1sUEsBAhQAFAAAAAgAh07iQDMvBZ47&#10;AAAAOQAAABAAAAAAAAAAAQAgAAAACgEAAGRycy9zaGFwZXhtbC54bWxQSwUGAAAAAAYABgBbAQAA&#10;tAMAAAAA&#10;">
                <v:fill on="t" focussize="0,0"/>
                <v:stroke on="f" weight="2pt"/>
                <v:imagedata o:title=""/>
                <o:lock v:ext="edit" aspectratio="f"/>
              </v:rect>
              <v:shape id="_x0000_s1026" o:spid="_x0000_s1026" o:spt="202" type="#_x0000_t202" style="position:absolute;left:2764;top:823;height:616;width:5900;" filled="f" stroked="f" coordsize="21600,21600" o:gfxdata="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zsFPO/&#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AA97999">
                      <w:pPr>
                        <w:jc w:val="distribute"/>
                        <w:rPr>
                          <w:rFonts w:ascii="微软雅黑" w:hAnsi="微软雅黑" w:eastAsia="微软雅黑" w:cs="微软雅黑"/>
                          <w:b/>
                          <w:bCs/>
                          <w:color w:val="709F6D"/>
                          <w:sz w:val="20"/>
                          <w:szCs w:val="20"/>
                        </w:rPr>
                      </w:pPr>
                      <w:r>
                        <w:rPr>
                          <w:rFonts w:hint="eastAsia" w:ascii="微软雅黑" w:hAnsi="微软雅黑" w:eastAsia="微软雅黑" w:cs="微软雅黑"/>
                          <w:b/>
                          <w:bCs/>
                          <w:color w:val="709F6D"/>
                          <w:sz w:val="20"/>
                          <w:szCs w:val="20"/>
                        </w:rPr>
                        <w:t>玉溪市气象探测环境保护专项规划（2025-2035年）</w:t>
                      </w:r>
                    </w:p>
                  </w:txbxContent>
                </v:textbox>
              </v:shape>
            </v:group>
          </w:pict>
        </mc:Fallback>
      </mc:AlternateContent>
    </w:r>
    <w:r>
      <mc:AlternateContent>
        <mc:Choice Requires="wps">
          <w:drawing>
            <wp:anchor distT="0" distB="0" distL="114300" distR="114300" simplePos="0" relativeHeight="251660288" behindDoc="0" locked="0" layoutInCell="1" allowOverlap="1">
              <wp:simplePos x="0" y="0"/>
              <wp:positionH relativeFrom="rightMargin">
                <wp:align>right</wp:align>
              </wp:positionH>
              <wp:positionV relativeFrom="topMargin">
                <wp:align>center</wp:align>
              </wp:positionV>
              <wp:extent cx="203200" cy="385445"/>
              <wp:effectExtent l="0" t="0" r="6350" b="14605"/>
              <wp:wrapNone/>
              <wp:docPr id="6" name="矩形 6"/>
              <wp:cNvGraphicFramePr/>
              <a:graphic xmlns:a="http://schemas.openxmlformats.org/drawingml/2006/main">
                <a:graphicData uri="http://schemas.microsoft.com/office/word/2010/wordprocessingShape">
                  <wps:wsp>
                    <wps:cNvSpPr/>
                    <wps:spPr>
                      <a:xfrm>
                        <a:off x="0" y="0"/>
                        <a:ext cx="203200" cy="385445"/>
                      </a:xfrm>
                      <a:prstGeom prst="rect">
                        <a:avLst/>
                      </a:prstGeom>
                      <a:solidFill>
                        <a:srgbClr val="709F6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8.8pt;margin-top:12.6pt;height:30.35pt;width:16pt;mso-position-horizontal-relative:page;mso-position-vertical-relative:page;z-index:251660288;v-text-anchor:middle;mso-width-relative:page;mso-height-relative:page;" fillcolor="#709F6D" filled="t" stroked="f" coordsize="21600,21600" o:gfxdata="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WRxkXT&#10;AAAAAwEAAA8AAAAAAAAAAQAgAAAAIgAAAGRycy9kb3ducmV2LnhtbFBLAQIUABQAAAAIAIdO4kD8&#10;GKOnXgIAALMEAAAOAAAAAAAAAAEAIAAAACIBAABkcnMvZTJvRG9jLnhtbFBLBQYAAAAABgAGAFkB&#10;AADyBQAAAAA=&#10;">
              <v:fill on="t" focussize="0,0"/>
              <v:stroke on="f" weight="2pt"/>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481647"/>
    <w:multiLevelType w:val="singleLevel"/>
    <w:tmpl w:val="85481647"/>
    <w:lvl w:ilvl="0" w:tentative="0">
      <w:start w:val="1"/>
      <w:numFmt w:val="decimal"/>
      <w:suff w:val="space"/>
      <w:lvlText w:val="(%1)"/>
      <w:lvlJc w:val="left"/>
      <w:pPr>
        <w:ind w:left="425" w:hanging="425"/>
      </w:pPr>
      <w:rPr>
        <w:rFonts w:hint="default"/>
      </w:rPr>
    </w:lvl>
  </w:abstractNum>
  <w:abstractNum w:abstractNumId="1">
    <w:nsid w:val="9D991A27"/>
    <w:multiLevelType w:val="multilevel"/>
    <w:tmpl w:val="9D991A27"/>
    <w:lvl w:ilvl="0" w:tentative="0">
      <w:start w:val="1"/>
      <w:numFmt w:val="chineseCounting"/>
      <w:pStyle w:val="136"/>
      <w:suff w:val="space"/>
      <w:lvlText w:val="第%1部分 "/>
      <w:lvlJc w:val="left"/>
      <w:pPr>
        <w:tabs>
          <w:tab w:val="left" w:pos="0"/>
        </w:tabs>
        <w:ind w:left="0" w:firstLine="0"/>
      </w:pPr>
      <w:rPr>
        <w:rFonts w:hint="eastAsia" w:ascii="汉仪书宋二简" w:hAnsi="汉仪书宋二简" w:eastAsia="汉仪书宋二简" w:cs="汉仪书宋二简"/>
        <w:b/>
        <w:bCs/>
        <w:i w:val="0"/>
        <w:iCs/>
        <w:color w:val="709F6D"/>
        <w:sz w:val="44"/>
        <w:szCs w:val="44"/>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9EE83F6E"/>
    <w:multiLevelType w:val="multilevel"/>
    <w:tmpl w:val="9EE83F6E"/>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B8D773D2"/>
    <w:multiLevelType w:val="singleLevel"/>
    <w:tmpl w:val="B8D773D2"/>
    <w:lvl w:ilvl="0" w:tentative="0">
      <w:start w:val="1"/>
      <w:numFmt w:val="chineseCounting"/>
      <w:pStyle w:val="135"/>
      <w:lvlText w:val="第%1部分 "/>
      <w:lvlJc w:val="left"/>
      <w:pPr>
        <w:tabs>
          <w:tab w:val="left" w:pos="255"/>
        </w:tabs>
        <w:ind w:left="142" w:firstLine="0"/>
      </w:pPr>
      <w:rPr>
        <w:rFonts w:hint="eastAsia" w:ascii="方正小标宋_GBK" w:hAnsi="方正小标宋_GBK" w:eastAsia="方正小标宋_GBK" w:cs="方正小标宋_GBK"/>
        <w:b/>
        <w:bCs/>
        <w:color w:val="709F6D"/>
        <w:sz w:val="44"/>
        <w:szCs w:val="44"/>
      </w:rPr>
    </w:lvl>
  </w:abstractNum>
  <w:abstractNum w:abstractNumId="4">
    <w:nsid w:val="C6BEC867"/>
    <w:multiLevelType w:val="multilevel"/>
    <w:tmpl w:val="C6BEC867"/>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D418C6A2"/>
    <w:multiLevelType w:val="multilevel"/>
    <w:tmpl w:val="D418C6A2"/>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E1D578E9"/>
    <w:multiLevelType w:val="multilevel"/>
    <w:tmpl w:val="E1D578E9"/>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EA97E2F5"/>
    <w:multiLevelType w:val="multilevel"/>
    <w:tmpl w:val="EA97E2F5"/>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F66BFB2F"/>
    <w:multiLevelType w:val="multilevel"/>
    <w:tmpl w:val="F66BFB2F"/>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005814B4"/>
    <w:multiLevelType w:val="singleLevel"/>
    <w:tmpl w:val="005814B4"/>
    <w:lvl w:ilvl="0" w:tentative="0">
      <w:start w:val="1"/>
      <w:numFmt w:val="decimal"/>
      <w:suff w:val="space"/>
      <w:lvlText w:val="%1."/>
      <w:lvlJc w:val="left"/>
      <w:pPr>
        <w:tabs>
          <w:tab w:val="left" w:pos="0"/>
        </w:tabs>
        <w:ind w:left="0" w:leftChars="0" w:firstLine="0" w:firstLineChars="0"/>
      </w:pPr>
      <w:rPr>
        <w:rFonts w:hint="default"/>
      </w:rPr>
    </w:lvl>
  </w:abstractNum>
  <w:abstractNum w:abstractNumId="10">
    <w:nsid w:val="05A09197"/>
    <w:multiLevelType w:val="singleLevel"/>
    <w:tmpl w:val="05A09197"/>
    <w:lvl w:ilvl="0" w:tentative="0">
      <w:start w:val="1"/>
      <w:numFmt w:val="decimal"/>
      <w:suff w:val="space"/>
      <w:lvlText w:val="(%1)"/>
      <w:lvlJc w:val="left"/>
      <w:pPr>
        <w:ind w:left="425" w:hanging="425"/>
      </w:pPr>
      <w:rPr>
        <w:rFonts w:hint="default"/>
      </w:rPr>
    </w:lvl>
  </w:abstractNum>
  <w:abstractNum w:abstractNumId="11">
    <w:nsid w:val="09BD877E"/>
    <w:multiLevelType w:val="singleLevel"/>
    <w:tmpl w:val="09BD877E"/>
    <w:lvl w:ilvl="0" w:tentative="0">
      <w:start w:val="1"/>
      <w:numFmt w:val="decimal"/>
      <w:suff w:val="space"/>
      <w:lvlText w:val="(%1)"/>
      <w:lvlJc w:val="left"/>
      <w:pPr>
        <w:ind w:left="425" w:hanging="425"/>
      </w:pPr>
      <w:rPr>
        <w:rFonts w:hint="default"/>
      </w:rPr>
    </w:lvl>
  </w:abstractNum>
  <w:abstractNum w:abstractNumId="12">
    <w:nsid w:val="0CAC4F26"/>
    <w:multiLevelType w:val="multilevel"/>
    <w:tmpl w:val="0CAC4F26"/>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3">
    <w:nsid w:val="11662307"/>
    <w:multiLevelType w:val="multilevel"/>
    <w:tmpl w:val="11662307"/>
    <w:lvl w:ilvl="0" w:tentative="0">
      <w:start w:val="1"/>
      <w:numFmt w:val="chineseCountingThousand"/>
      <w:pStyle w:val="3"/>
      <w:lvlText w:val="第%1条"/>
      <w:lvlJc w:val="left"/>
      <w:pPr>
        <w:ind w:left="1007"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4">
    <w:nsid w:val="195E2042"/>
    <w:multiLevelType w:val="singleLevel"/>
    <w:tmpl w:val="195E2042"/>
    <w:lvl w:ilvl="0" w:tentative="0">
      <w:start w:val="1"/>
      <w:numFmt w:val="decimal"/>
      <w:suff w:val="space"/>
      <w:lvlText w:val="(%1)"/>
      <w:lvlJc w:val="left"/>
      <w:pPr>
        <w:ind w:left="425" w:hanging="425"/>
      </w:pPr>
      <w:rPr>
        <w:rFonts w:hint="default"/>
      </w:rPr>
    </w:lvl>
  </w:abstractNum>
  <w:abstractNum w:abstractNumId="15">
    <w:nsid w:val="236C1CDA"/>
    <w:multiLevelType w:val="multilevel"/>
    <w:tmpl w:val="236C1CDA"/>
    <w:lvl w:ilvl="0" w:tentative="0">
      <w:start w:val="1"/>
      <w:numFmt w:val="decimal"/>
      <w:lvlText w:val="（%1）"/>
      <w:lvlJc w:val="left"/>
      <w:pPr>
        <w:ind w:left="920" w:hanging="440"/>
      </w:pPr>
      <w:rPr>
        <w:rFonts w:hint="default"/>
        <w:color w:val="auto"/>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6">
    <w:nsid w:val="25BD9CD2"/>
    <w:multiLevelType w:val="singleLevel"/>
    <w:tmpl w:val="25BD9CD2"/>
    <w:lvl w:ilvl="0" w:tentative="0">
      <w:start w:val="1"/>
      <w:numFmt w:val="decimal"/>
      <w:suff w:val="space"/>
      <w:lvlText w:val="(%1)"/>
      <w:lvlJc w:val="left"/>
      <w:pPr>
        <w:ind w:left="425" w:hanging="425"/>
      </w:pPr>
      <w:rPr>
        <w:rFonts w:hint="default"/>
      </w:rPr>
    </w:lvl>
  </w:abstractNum>
  <w:abstractNum w:abstractNumId="17">
    <w:nsid w:val="2D793854"/>
    <w:multiLevelType w:val="multilevel"/>
    <w:tmpl w:val="2D793854"/>
    <w:lvl w:ilvl="0" w:tentative="0">
      <w:start w:val="1"/>
      <w:numFmt w:val="decimal"/>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8">
    <w:nsid w:val="54D25490"/>
    <w:multiLevelType w:val="multilevel"/>
    <w:tmpl w:val="54D25490"/>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9">
    <w:nsid w:val="59DD3761"/>
    <w:multiLevelType w:val="multilevel"/>
    <w:tmpl w:val="59DD3761"/>
    <w:lvl w:ilvl="0" w:tentative="0">
      <w:start w:val="1"/>
      <w:numFmt w:val="chineseCountingThousand"/>
      <w:lvlText w:val="第%1章 "/>
      <w:lvlJc w:val="left"/>
      <w:pPr>
        <w:ind w:left="1083" w:hanging="440"/>
      </w:pPr>
      <w:rPr>
        <w:rFonts w:hint="default"/>
      </w:r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abstractNum w:abstractNumId="20">
    <w:nsid w:val="6C59F887"/>
    <w:multiLevelType w:val="multilevel"/>
    <w:tmpl w:val="6C59F887"/>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1">
    <w:nsid w:val="74475D55"/>
    <w:multiLevelType w:val="multilevel"/>
    <w:tmpl w:val="74475D55"/>
    <w:lvl w:ilvl="0" w:tentative="0">
      <w:start w:val="1"/>
      <w:numFmt w:val="chineseCounting"/>
      <w:pStyle w:val="133"/>
      <w:suff w:val="space"/>
      <w:lvlText w:val="第%1部分"/>
      <w:lvlJc w:val="left"/>
      <w:pPr>
        <w:tabs>
          <w:tab w:val="left" w:pos="0"/>
        </w:tabs>
        <w:ind w:left="0" w:firstLine="0"/>
      </w:pPr>
      <w:rPr>
        <w:rFonts w:hint="eastAsia" w:ascii="汉仪书宋二简" w:hAnsi="汉仪书宋二简" w:eastAsia="汉仪书宋二简" w:cs="汉仪书宋二简"/>
        <w:i w:val="0"/>
        <w:iCs w:val="0"/>
        <w:color w:val="D99694" w:themeColor="accent2" w:themeTint="99"/>
        <w:sz w:val="44"/>
        <w:szCs w:val="44"/>
        <w14:textFill>
          <w14:solidFill>
            <w14:schemeClr w14:val="accent2">
              <w14:lumMod w14:val="60000"/>
              <w14:lumOff w14:val="40000"/>
            </w14:schemeClr>
          </w14:solidFill>
        </w14:textFill>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2">
    <w:nsid w:val="774D0CDB"/>
    <w:multiLevelType w:val="multilevel"/>
    <w:tmpl w:val="774D0CDB"/>
    <w:lvl w:ilvl="0" w:tentative="0">
      <w:start w:val="1"/>
      <w:numFmt w:val="decimal"/>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3">
    <w:nsid w:val="7A394ED9"/>
    <w:multiLevelType w:val="multilevel"/>
    <w:tmpl w:val="7A394ED9"/>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3"/>
  </w:num>
  <w:num w:numId="2">
    <w:abstractNumId w:val="21"/>
  </w:num>
  <w:num w:numId="3">
    <w:abstractNumId w:val="3"/>
  </w:num>
  <w:num w:numId="4">
    <w:abstractNumId w:val="1"/>
  </w:num>
  <w:num w:numId="5">
    <w:abstractNumId w:val="19"/>
  </w:num>
  <w:num w:numId="6">
    <w:abstractNumId w:val="6"/>
  </w:num>
  <w:num w:numId="7">
    <w:abstractNumId w:val="22"/>
  </w:num>
  <w:num w:numId="8">
    <w:abstractNumId w:val="15"/>
  </w:num>
  <w:num w:numId="9">
    <w:abstractNumId w:val="17"/>
  </w:num>
  <w:num w:numId="10">
    <w:abstractNumId w:val="9"/>
  </w:num>
  <w:num w:numId="11">
    <w:abstractNumId w:val="7"/>
  </w:num>
  <w:num w:numId="12">
    <w:abstractNumId w:val="8"/>
  </w:num>
  <w:num w:numId="13">
    <w:abstractNumId w:val="20"/>
  </w:num>
  <w:num w:numId="14">
    <w:abstractNumId w:val="0"/>
  </w:num>
  <w:num w:numId="15">
    <w:abstractNumId w:val="12"/>
  </w:num>
  <w:num w:numId="16">
    <w:abstractNumId w:val="11"/>
  </w:num>
  <w:num w:numId="17">
    <w:abstractNumId w:val="10"/>
  </w:num>
  <w:num w:numId="18">
    <w:abstractNumId w:val="4"/>
  </w:num>
  <w:num w:numId="19">
    <w:abstractNumId w:val="2"/>
  </w:num>
  <w:num w:numId="20">
    <w:abstractNumId w:val="18"/>
  </w:num>
  <w:num w:numId="21">
    <w:abstractNumId w:val="16"/>
  </w:num>
  <w:num w:numId="22">
    <w:abstractNumId w:val="14"/>
  </w:num>
  <w:num w:numId="23">
    <w:abstractNumId w:val="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1NDJjMDU0NjM0YzM5NjZiZmMxYTQwN2QxOWU0MzMifQ=="/>
  </w:docVars>
  <w:rsids>
    <w:rsidRoot w:val="00172A27"/>
    <w:rsid w:val="0000005F"/>
    <w:rsid w:val="000003E0"/>
    <w:rsid w:val="0000211F"/>
    <w:rsid w:val="00003AAE"/>
    <w:rsid w:val="00003D01"/>
    <w:rsid w:val="00003D0A"/>
    <w:rsid w:val="0000409C"/>
    <w:rsid w:val="0000422A"/>
    <w:rsid w:val="00004572"/>
    <w:rsid w:val="00005475"/>
    <w:rsid w:val="00005C96"/>
    <w:rsid w:val="00006758"/>
    <w:rsid w:val="000070D4"/>
    <w:rsid w:val="000077F9"/>
    <w:rsid w:val="0000781D"/>
    <w:rsid w:val="0001075C"/>
    <w:rsid w:val="00010A34"/>
    <w:rsid w:val="00011CD1"/>
    <w:rsid w:val="000121DE"/>
    <w:rsid w:val="000129C3"/>
    <w:rsid w:val="000139A4"/>
    <w:rsid w:val="00013D0F"/>
    <w:rsid w:val="00014B44"/>
    <w:rsid w:val="0001651F"/>
    <w:rsid w:val="00017349"/>
    <w:rsid w:val="000202BE"/>
    <w:rsid w:val="0002149E"/>
    <w:rsid w:val="00021511"/>
    <w:rsid w:val="00022421"/>
    <w:rsid w:val="000224E7"/>
    <w:rsid w:val="0002274F"/>
    <w:rsid w:val="00023860"/>
    <w:rsid w:val="00023A4C"/>
    <w:rsid w:val="00023CFA"/>
    <w:rsid w:val="000246B8"/>
    <w:rsid w:val="00025703"/>
    <w:rsid w:val="000259B1"/>
    <w:rsid w:val="000261F4"/>
    <w:rsid w:val="0002689D"/>
    <w:rsid w:val="000269A5"/>
    <w:rsid w:val="00026B68"/>
    <w:rsid w:val="000301AC"/>
    <w:rsid w:val="00031E21"/>
    <w:rsid w:val="000332F3"/>
    <w:rsid w:val="0003343C"/>
    <w:rsid w:val="000334AD"/>
    <w:rsid w:val="000355D6"/>
    <w:rsid w:val="00036468"/>
    <w:rsid w:val="00036D26"/>
    <w:rsid w:val="00036E44"/>
    <w:rsid w:val="000410F0"/>
    <w:rsid w:val="000414B2"/>
    <w:rsid w:val="000414CF"/>
    <w:rsid w:val="00041BAC"/>
    <w:rsid w:val="00041EF4"/>
    <w:rsid w:val="00042BA4"/>
    <w:rsid w:val="00043128"/>
    <w:rsid w:val="0004396A"/>
    <w:rsid w:val="00043BDE"/>
    <w:rsid w:val="000444D5"/>
    <w:rsid w:val="00050CA4"/>
    <w:rsid w:val="00050F2A"/>
    <w:rsid w:val="00051199"/>
    <w:rsid w:val="00052A69"/>
    <w:rsid w:val="000541DE"/>
    <w:rsid w:val="000548B3"/>
    <w:rsid w:val="00054965"/>
    <w:rsid w:val="00054BE4"/>
    <w:rsid w:val="00055228"/>
    <w:rsid w:val="00055478"/>
    <w:rsid w:val="000555ED"/>
    <w:rsid w:val="000569AE"/>
    <w:rsid w:val="00057939"/>
    <w:rsid w:val="00060986"/>
    <w:rsid w:val="00063626"/>
    <w:rsid w:val="0006362D"/>
    <w:rsid w:val="00063719"/>
    <w:rsid w:val="00063958"/>
    <w:rsid w:val="00063BFD"/>
    <w:rsid w:val="000640F3"/>
    <w:rsid w:val="00064978"/>
    <w:rsid w:val="00064CF5"/>
    <w:rsid w:val="000655DC"/>
    <w:rsid w:val="00066102"/>
    <w:rsid w:val="000678B6"/>
    <w:rsid w:val="00067983"/>
    <w:rsid w:val="00070527"/>
    <w:rsid w:val="000705BF"/>
    <w:rsid w:val="000715C0"/>
    <w:rsid w:val="00071F1D"/>
    <w:rsid w:val="00072E3F"/>
    <w:rsid w:val="000731F3"/>
    <w:rsid w:val="00075FDE"/>
    <w:rsid w:val="00076FFB"/>
    <w:rsid w:val="00080D2A"/>
    <w:rsid w:val="00081ACB"/>
    <w:rsid w:val="00081B14"/>
    <w:rsid w:val="0008210D"/>
    <w:rsid w:val="000822B7"/>
    <w:rsid w:val="0008348C"/>
    <w:rsid w:val="00084553"/>
    <w:rsid w:val="00084651"/>
    <w:rsid w:val="00084CBF"/>
    <w:rsid w:val="000850DA"/>
    <w:rsid w:val="00085299"/>
    <w:rsid w:val="00085AD2"/>
    <w:rsid w:val="00085FE9"/>
    <w:rsid w:val="00086EFB"/>
    <w:rsid w:val="000879DB"/>
    <w:rsid w:val="0009065B"/>
    <w:rsid w:val="00091929"/>
    <w:rsid w:val="00091E03"/>
    <w:rsid w:val="00093FBB"/>
    <w:rsid w:val="00094B47"/>
    <w:rsid w:val="00094E07"/>
    <w:rsid w:val="00096B3D"/>
    <w:rsid w:val="00096CC6"/>
    <w:rsid w:val="000974AB"/>
    <w:rsid w:val="00097563"/>
    <w:rsid w:val="0009786A"/>
    <w:rsid w:val="00097B67"/>
    <w:rsid w:val="000A017B"/>
    <w:rsid w:val="000A103F"/>
    <w:rsid w:val="000A2146"/>
    <w:rsid w:val="000A2870"/>
    <w:rsid w:val="000A3076"/>
    <w:rsid w:val="000A491E"/>
    <w:rsid w:val="000A57C3"/>
    <w:rsid w:val="000A74CE"/>
    <w:rsid w:val="000A7951"/>
    <w:rsid w:val="000B0630"/>
    <w:rsid w:val="000B1252"/>
    <w:rsid w:val="000B1BC7"/>
    <w:rsid w:val="000B20E0"/>
    <w:rsid w:val="000B2BA4"/>
    <w:rsid w:val="000B2F65"/>
    <w:rsid w:val="000B3FD3"/>
    <w:rsid w:val="000B3FD9"/>
    <w:rsid w:val="000B42C2"/>
    <w:rsid w:val="000B4EAD"/>
    <w:rsid w:val="000B78C9"/>
    <w:rsid w:val="000C01FD"/>
    <w:rsid w:val="000C0529"/>
    <w:rsid w:val="000C1326"/>
    <w:rsid w:val="000C575F"/>
    <w:rsid w:val="000C7019"/>
    <w:rsid w:val="000C7098"/>
    <w:rsid w:val="000D0E8A"/>
    <w:rsid w:val="000D13A2"/>
    <w:rsid w:val="000D297B"/>
    <w:rsid w:val="000D2CDC"/>
    <w:rsid w:val="000D3007"/>
    <w:rsid w:val="000D3E7D"/>
    <w:rsid w:val="000D480C"/>
    <w:rsid w:val="000D5875"/>
    <w:rsid w:val="000D5BAE"/>
    <w:rsid w:val="000D5CEE"/>
    <w:rsid w:val="000D6666"/>
    <w:rsid w:val="000D6B8D"/>
    <w:rsid w:val="000D6BAA"/>
    <w:rsid w:val="000E1AEC"/>
    <w:rsid w:val="000E1DA6"/>
    <w:rsid w:val="000E3CD3"/>
    <w:rsid w:val="000E3FB5"/>
    <w:rsid w:val="000E5AF7"/>
    <w:rsid w:val="000E5ECD"/>
    <w:rsid w:val="000E6932"/>
    <w:rsid w:val="000F0868"/>
    <w:rsid w:val="000F1393"/>
    <w:rsid w:val="000F1457"/>
    <w:rsid w:val="000F18BD"/>
    <w:rsid w:val="000F4067"/>
    <w:rsid w:val="000F4389"/>
    <w:rsid w:val="000F487B"/>
    <w:rsid w:val="000F4C41"/>
    <w:rsid w:val="000F52AB"/>
    <w:rsid w:val="000F5DB4"/>
    <w:rsid w:val="000F6092"/>
    <w:rsid w:val="000F633D"/>
    <w:rsid w:val="000F6C69"/>
    <w:rsid w:val="00100710"/>
    <w:rsid w:val="0010118C"/>
    <w:rsid w:val="001013CE"/>
    <w:rsid w:val="001018FB"/>
    <w:rsid w:val="001019FE"/>
    <w:rsid w:val="0010283A"/>
    <w:rsid w:val="00102904"/>
    <w:rsid w:val="00102909"/>
    <w:rsid w:val="0010329F"/>
    <w:rsid w:val="00103458"/>
    <w:rsid w:val="0010400D"/>
    <w:rsid w:val="0010421A"/>
    <w:rsid w:val="00104433"/>
    <w:rsid w:val="00104B43"/>
    <w:rsid w:val="00105B20"/>
    <w:rsid w:val="00105B4B"/>
    <w:rsid w:val="00105BDC"/>
    <w:rsid w:val="00105D35"/>
    <w:rsid w:val="00105DEB"/>
    <w:rsid w:val="00106D4F"/>
    <w:rsid w:val="00107B2D"/>
    <w:rsid w:val="00110A31"/>
    <w:rsid w:val="00110C04"/>
    <w:rsid w:val="001115CF"/>
    <w:rsid w:val="00111DD8"/>
    <w:rsid w:val="001135B7"/>
    <w:rsid w:val="00113CE5"/>
    <w:rsid w:val="0011565E"/>
    <w:rsid w:val="00115B89"/>
    <w:rsid w:val="00115F05"/>
    <w:rsid w:val="00116D16"/>
    <w:rsid w:val="0011782B"/>
    <w:rsid w:val="001201D9"/>
    <w:rsid w:val="00120EFE"/>
    <w:rsid w:val="001225D8"/>
    <w:rsid w:val="0012390E"/>
    <w:rsid w:val="00124701"/>
    <w:rsid w:val="00124710"/>
    <w:rsid w:val="00125E7D"/>
    <w:rsid w:val="0012676E"/>
    <w:rsid w:val="00126B57"/>
    <w:rsid w:val="0012742A"/>
    <w:rsid w:val="0012750E"/>
    <w:rsid w:val="00130675"/>
    <w:rsid w:val="001306AE"/>
    <w:rsid w:val="001326A2"/>
    <w:rsid w:val="0013277A"/>
    <w:rsid w:val="00133753"/>
    <w:rsid w:val="00135BAE"/>
    <w:rsid w:val="00135BE0"/>
    <w:rsid w:val="00135F51"/>
    <w:rsid w:val="00136680"/>
    <w:rsid w:val="00141F8A"/>
    <w:rsid w:val="00142507"/>
    <w:rsid w:val="00142625"/>
    <w:rsid w:val="00143379"/>
    <w:rsid w:val="00143725"/>
    <w:rsid w:val="00143849"/>
    <w:rsid w:val="00143A1A"/>
    <w:rsid w:val="00143C8F"/>
    <w:rsid w:val="001467CC"/>
    <w:rsid w:val="00146BD3"/>
    <w:rsid w:val="00146C5A"/>
    <w:rsid w:val="00146CEB"/>
    <w:rsid w:val="001501AE"/>
    <w:rsid w:val="00151E89"/>
    <w:rsid w:val="001528D2"/>
    <w:rsid w:val="00152CF6"/>
    <w:rsid w:val="00153A2F"/>
    <w:rsid w:val="00153C3B"/>
    <w:rsid w:val="0015447B"/>
    <w:rsid w:val="00154558"/>
    <w:rsid w:val="0015496E"/>
    <w:rsid w:val="001550FF"/>
    <w:rsid w:val="00155176"/>
    <w:rsid w:val="001551B8"/>
    <w:rsid w:val="00155337"/>
    <w:rsid w:val="00155541"/>
    <w:rsid w:val="0015555B"/>
    <w:rsid w:val="00155A14"/>
    <w:rsid w:val="001560A6"/>
    <w:rsid w:val="00156431"/>
    <w:rsid w:val="001567E9"/>
    <w:rsid w:val="00156A6E"/>
    <w:rsid w:val="00156A86"/>
    <w:rsid w:val="0015745C"/>
    <w:rsid w:val="001575B0"/>
    <w:rsid w:val="00162D3C"/>
    <w:rsid w:val="00163D6D"/>
    <w:rsid w:val="001644D2"/>
    <w:rsid w:val="001647DF"/>
    <w:rsid w:val="0016567D"/>
    <w:rsid w:val="00165D39"/>
    <w:rsid w:val="00165F90"/>
    <w:rsid w:val="001661A8"/>
    <w:rsid w:val="0016719D"/>
    <w:rsid w:val="00167883"/>
    <w:rsid w:val="00167DE0"/>
    <w:rsid w:val="00170354"/>
    <w:rsid w:val="00170AF6"/>
    <w:rsid w:val="00170FF9"/>
    <w:rsid w:val="00171EC3"/>
    <w:rsid w:val="00172A27"/>
    <w:rsid w:val="00173541"/>
    <w:rsid w:val="00173A1E"/>
    <w:rsid w:val="00174A97"/>
    <w:rsid w:val="00174E51"/>
    <w:rsid w:val="00174F64"/>
    <w:rsid w:val="0017671A"/>
    <w:rsid w:val="00180A40"/>
    <w:rsid w:val="00181D50"/>
    <w:rsid w:val="0018204C"/>
    <w:rsid w:val="001822C9"/>
    <w:rsid w:val="0018248B"/>
    <w:rsid w:val="00182BE7"/>
    <w:rsid w:val="00182EEA"/>
    <w:rsid w:val="00183185"/>
    <w:rsid w:val="00183949"/>
    <w:rsid w:val="0018469E"/>
    <w:rsid w:val="001846BD"/>
    <w:rsid w:val="00184D0F"/>
    <w:rsid w:val="001861B7"/>
    <w:rsid w:val="00186549"/>
    <w:rsid w:val="001875C7"/>
    <w:rsid w:val="0018764D"/>
    <w:rsid w:val="00190286"/>
    <w:rsid w:val="00190BB5"/>
    <w:rsid w:val="001915EC"/>
    <w:rsid w:val="00191954"/>
    <w:rsid w:val="00192683"/>
    <w:rsid w:val="001934EC"/>
    <w:rsid w:val="001941B0"/>
    <w:rsid w:val="0019506A"/>
    <w:rsid w:val="00197BDB"/>
    <w:rsid w:val="00197E22"/>
    <w:rsid w:val="001A00E4"/>
    <w:rsid w:val="001A011B"/>
    <w:rsid w:val="001A1724"/>
    <w:rsid w:val="001A1D2D"/>
    <w:rsid w:val="001A290A"/>
    <w:rsid w:val="001A3D8E"/>
    <w:rsid w:val="001A50C8"/>
    <w:rsid w:val="001A53D8"/>
    <w:rsid w:val="001A666A"/>
    <w:rsid w:val="001A695D"/>
    <w:rsid w:val="001A7922"/>
    <w:rsid w:val="001B049A"/>
    <w:rsid w:val="001B0528"/>
    <w:rsid w:val="001B0E08"/>
    <w:rsid w:val="001B182D"/>
    <w:rsid w:val="001B229A"/>
    <w:rsid w:val="001B3AD0"/>
    <w:rsid w:val="001B4614"/>
    <w:rsid w:val="001B4A39"/>
    <w:rsid w:val="001B4B6C"/>
    <w:rsid w:val="001B7524"/>
    <w:rsid w:val="001B755B"/>
    <w:rsid w:val="001B7F2C"/>
    <w:rsid w:val="001C045C"/>
    <w:rsid w:val="001C08D6"/>
    <w:rsid w:val="001C0A92"/>
    <w:rsid w:val="001C161F"/>
    <w:rsid w:val="001C244D"/>
    <w:rsid w:val="001C2803"/>
    <w:rsid w:val="001C2F5F"/>
    <w:rsid w:val="001C5733"/>
    <w:rsid w:val="001C5B61"/>
    <w:rsid w:val="001C6254"/>
    <w:rsid w:val="001C76FF"/>
    <w:rsid w:val="001D04A8"/>
    <w:rsid w:val="001D0A1F"/>
    <w:rsid w:val="001D0FDA"/>
    <w:rsid w:val="001D1D35"/>
    <w:rsid w:val="001D2B04"/>
    <w:rsid w:val="001D41D4"/>
    <w:rsid w:val="001D4F63"/>
    <w:rsid w:val="001D52FE"/>
    <w:rsid w:val="001D5BF4"/>
    <w:rsid w:val="001D7779"/>
    <w:rsid w:val="001D7CF3"/>
    <w:rsid w:val="001E0F25"/>
    <w:rsid w:val="001E1198"/>
    <w:rsid w:val="001E17B7"/>
    <w:rsid w:val="001E2111"/>
    <w:rsid w:val="001E21C1"/>
    <w:rsid w:val="001E249F"/>
    <w:rsid w:val="001E32FD"/>
    <w:rsid w:val="001E70DE"/>
    <w:rsid w:val="001E794C"/>
    <w:rsid w:val="001F07A4"/>
    <w:rsid w:val="001F28E0"/>
    <w:rsid w:val="001F292D"/>
    <w:rsid w:val="001F31DA"/>
    <w:rsid w:val="001F31E3"/>
    <w:rsid w:val="001F33AC"/>
    <w:rsid w:val="001F374B"/>
    <w:rsid w:val="001F4CB3"/>
    <w:rsid w:val="001F4CE3"/>
    <w:rsid w:val="001F5763"/>
    <w:rsid w:val="001F58B3"/>
    <w:rsid w:val="001F652C"/>
    <w:rsid w:val="001F70FE"/>
    <w:rsid w:val="001F7541"/>
    <w:rsid w:val="001F775F"/>
    <w:rsid w:val="001F79BA"/>
    <w:rsid w:val="001F7CFC"/>
    <w:rsid w:val="00200184"/>
    <w:rsid w:val="002003B2"/>
    <w:rsid w:val="002004E1"/>
    <w:rsid w:val="0020064D"/>
    <w:rsid w:val="00201619"/>
    <w:rsid w:val="002025AD"/>
    <w:rsid w:val="00203833"/>
    <w:rsid w:val="00203B88"/>
    <w:rsid w:val="00204014"/>
    <w:rsid w:val="00204243"/>
    <w:rsid w:val="002049A6"/>
    <w:rsid w:val="0020530E"/>
    <w:rsid w:val="00205438"/>
    <w:rsid w:val="002056CB"/>
    <w:rsid w:val="00205825"/>
    <w:rsid w:val="00206D95"/>
    <w:rsid w:val="00210008"/>
    <w:rsid w:val="00210BF1"/>
    <w:rsid w:val="00212422"/>
    <w:rsid w:val="0021345F"/>
    <w:rsid w:val="0021489F"/>
    <w:rsid w:val="00215995"/>
    <w:rsid w:val="002168D6"/>
    <w:rsid w:val="002200D3"/>
    <w:rsid w:val="00220E1B"/>
    <w:rsid w:val="00220E48"/>
    <w:rsid w:val="00220F31"/>
    <w:rsid w:val="00221BCA"/>
    <w:rsid w:val="00222A39"/>
    <w:rsid w:val="00223C80"/>
    <w:rsid w:val="00223EEC"/>
    <w:rsid w:val="0022448E"/>
    <w:rsid w:val="00224ECF"/>
    <w:rsid w:val="002250F4"/>
    <w:rsid w:val="002252CC"/>
    <w:rsid w:val="002257E1"/>
    <w:rsid w:val="00225F5C"/>
    <w:rsid w:val="00227B83"/>
    <w:rsid w:val="002301F0"/>
    <w:rsid w:val="0023093A"/>
    <w:rsid w:val="00231443"/>
    <w:rsid w:val="00233C41"/>
    <w:rsid w:val="00233F06"/>
    <w:rsid w:val="00235C2C"/>
    <w:rsid w:val="00240258"/>
    <w:rsid w:val="0024042C"/>
    <w:rsid w:val="00240E73"/>
    <w:rsid w:val="00240EBC"/>
    <w:rsid w:val="00240EE8"/>
    <w:rsid w:val="00240F71"/>
    <w:rsid w:val="002411F2"/>
    <w:rsid w:val="00241727"/>
    <w:rsid w:val="002421FB"/>
    <w:rsid w:val="002422CF"/>
    <w:rsid w:val="00243516"/>
    <w:rsid w:val="002452E2"/>
    <w:rsid w:val="00245C21"/>
    <w:rsid w:val="0024620E"/>
    <w:rsid w:val="002465EC"/>
    <w:rsid w:val="0024707E"/>
    <w:rsid w:val="002475CC"/>
    <w:rsid w:val="0025023E"/>
    <w:rsid w:val="002507E1"/>
    <w:rsid w:val="00250CB0"/>
    <w:rsid w:val="00250E04"/>
    <w:rsid w:val="002511C2"/>
    <w:rsid w:val="00251AAF"/>
    <w:rsid w:val="00251B0E"/>
    <w:rsid w:val="00252FCA"/>
    <w:rsid w:val="0025386C"/>
    <w:rsid w:val="002539C9"/>
    <w:rsid w:val="00254B49"/>
    <w:rsid w:val="002556ED"/>
    <w:rsid w:val="002557ED"/>
    <w:rsid w:val="00255B66"/>
    <w:rsid w:val="0025658F"/>
    <w:rsid w:val="002606E4"/>
    <w:rsid w:val="00260A4D"/>
    <w:rsid w:val="002622A6"/>
    <w:rsid w:val="002629D4"/>
    <w:rsid w:val="00262C88"/>
    <w:rsid w:val="002648A0"/>
    <w:rsid w:val="002653FB"/>
    <w:rsid w:val="00267FCD"/>
    <w:rsid w:val="002705BC"/>
    <w:rsid w:val="00270BB1"/>
    <w:rsid w:val="00270BFE"/>
    <w:rsid w:val="002717AB"/>
    <w:rsid w:val="00271B74"/>
    <w:rsid w:val="00271D7D"/>
    <w:rsid w:val="00271FA1"/>
    <w:rsid w:val="002730A3"/>
    <w:rsid w:val="00273855"/>
    <w:rsid w:val="0027509E"/>
    <w:rsid w:val="00276023"/>
    <w:rsid w:val="002763AF"/>
    <w:rsid w:val="002769BA"/>
    <w:rsid w:val="0028015B"/>
    <w:rsid w:val="00280738"/>
    <w:rsid w:val="00280B13"/>
    <w:rsid w:val="00280F97"/>
    <w:rsid w:val="00281CFD"/>
    <w:rsid w:val="0028258A"/>
    <w:rsid w:val="002827C9"/>
    <w:rsid w:val="002834B4"/>
    <w:rsid w:val="002837B3"/>
    <w:rsid w:val="002839DD"/>
    <w:rsid w:val="002842DE"/>
    <w:rsid w:val="00284EE5"/>
    <w:rsid w:val="002859B1"/>
    <w:rsid w:val="00285C57"/>
    <w:rsid w:val="00286F60"/>
    <w:rsid w:val="00287C6F"/>
    <w:rsid w:val="00290AFE"/>
    <w:rsid w:val="00290C72"/>
    <w:rsid w:val="00291083"/>
    <w:rsid w:val="00291A7A"/>
    <w:rsid w:val="00292128"/>
    <w:rsid w:val="00292B97"/>
    <w:rsid w:val="00293C68"/>
    <w:rsid w:val="0029492E"/>
    <w:rsid w:val="002960BC"/>
    <w:rsid w:val="00296D17"/>
    <w:rsid w:val="00296EEA"/>
    <w:rsid w:val="00297012"/>
    <w:rsid w:val="0029797D"/>
    <w:rsid w:val="0029799F"/>
    <w:rsid w:val="002A1188"/>
    <w:rsid w:val="002A1AD5"/>
    <w:rsid w:val="002A230B"/>
    <w:rsid w:val="002A37DA"/>
    <w:rsid w:val="002A39BF"/>
    <w:rsid w:val="002A3B21"/>
    <w:rsid w:val="002A3E7B"/>
    <w:rsid w:val="002A5F7B"/>
    <w:rsid w:val="002A713E"/>
    <w:rsid w:val="002A732C"/>
    <w:rsid w:val="002A7C9F"/>
    <w:rsid w:val="002B00CE"/>
    <w:rsid w:val="002B059E"/>
    <w:rsid w:val="002B0C2F"/>
    <w:rsid w:val="002B11EC"/>
    <w:rsid w:val="002B1363"/>
    <w:rsid w:val="002B1A6D"/>
    <w:rsid w:val="002B2733"/>
    <w:rsid w:val="002B57EC"/>
    <w:rsid w:val="002B67CA"/>
    <w:rsid w:val="002B6C9A"/>
    <w:rsid w:val="002B798F"/>
    <w:rsid w:val="002B7D94"/>
    <w:rsid w:val="002C1298"/>
    <w:rsid w:val="002C1542"/>
    <w:rsid w:val="002C1A3B"/>
    <w:rsid w:val="002C20DA"/>
    <w:rsid w:val="002C216C"/>
    <w:rsid w:val="002C22C3"/>
    <w:rsid w:val="002C3315"/>
    <w:rsid w:val="002C35C5"/>
    <w:rsid w:val="002C3745"/>
    <w:rsid w:val="002C43F1"/>
    <w:rsid w:val="002C6DCD"/>
    <w:rsid w:val="002C7748"/>
    <w:rsid w:val="002D1B57"/>
    <w:rsid w:val="002D35F9"/>
    <w:rsid w:val="002D42FB"/>
    <w:rsid w:val="002D436F"/>
    <w:rsid w:val="002D4C4B"/>
    <w:rsid w:val="002D50EE"/>
    <w:rsid w:val="002D51B2"/>
    <w:rsid w:val="002D5918"/>
    <w:rsid w:val="002D6216"/>
    <w:rsid w:val="002D678A"/>
    <w:rsid w:val="002D6BF2"/>
    <w:rsid w:val="002D74E9"/>
    <w:rsid w:val="002E01BF"/>
    <w:rsid w:val="002E0E98"/>
    <w:rsid w:val="002E10E2"/>
    <w:rsid w:val="002E15A0"/>
    <w:rsid w:val="002E28CA"/>
    <w:rsid w:val="002E2C09"/>
    <w:rsid w:val="002E2D66"/>
    <w:rsid w:val="002E3ABE"/>
    <w:rsid w:val="002E48CF"/>
    <w:rsid w:val="002E4AFD"/>
    <w:rsid w:val="002E4E34"/>
    <w:rsid w:val="002E4F64"/>
    <w:rsid w:val="002E567B"/>
    <w:rsid w:val="002E5777"/>
    <w:rsid w:val="002E58A8"/>
    <w:rsid w:val="002E5C5F"/>
    <w:rsid w:val="002E65CC"/>
    <w:rsid w:val="002E685A"/>
    <w:rsid w:val="002E6CCA"/>
    <w:rsid w:val="002E72A7"/>
    <w:rsid w:val="002E7766"/>
    <w:rsid w:val="002F0FB3"/>
    <w:rsid w:val="002F1C49"/>
    <w:rsid w:val="002F3600"/>
    <w:rsid w:val="002F4223"/>
    <w:rsid w:val="002F4457"/>
    <w:rsid w:val="002F5A40"/>
    <w:rsid w:val="002F5CA9"/>
    <w:rsid w:val="002F5EEB"/>
    <w:rsid w:val="002F6ADB"/>
    <w:rsid w:val="002F6FF4"/>
    <w:rsid w:val="002F773C"/>
    <w:rsid w:val="002F7DF9"/>
    <w:rsid w:val="0030090A"/>
    <w:rsid w:val="003019F0"/>
    <w:rsid w:val="003036AA"/>
    <w:rsid w:val="00303992"/>
    <w:rsid w:val="003039FD"/>
    <w:rsid w:val="0030413F"/>
    <w:rsid w:val="00304E2C"/>
    <w:rsid w:val="00304E63"/>
    <w:rsid w:val="003053AA"/>
    <w:rsid w:val="003056B3"/>
    <w:rsid w:val="00305CA4"/>
    <w:rsid w:val="00305D91"/>
    <w:rsid w:val="00306AB3"/>
    <w:rsid w:val="00310CF1"/>
    <w:rsid w:val="00310D80"/>
    <w:rsid w:val="003114E6"/>
    <w:rsid w:val="0031342F"/>
    <w:rsid w:val="003134AA"/>
    <w:rsid w:val="00313693"/>
    <w:rsid w:val="0031729E"/>
    <w:rsid w:val="00317BF8"/>
    <w:rsid w:val="00317E3A"/>
    <w:rsid w:val="003217FB"/>
    <w:rsid w:val="00321C86"/>
    <w:rsid w:val="003230A4"/>
    <w:rsid w:val="00323177"/>
    <w:rsid w:val="00323201"/>
    <w:rsid w:val="00323385"/>
    <w:rsid w:val="003234D3"/>
    <w:rsid w:val="0032354C"/>
    <w:rsid w:val="0032536D"/>
    <w:rsid w:val="00326552"/>
    <w:rsid w:val="00327D0F"/>
    <w:rsid w:val="003309A7"/>
    <w:rsid w:val="00330A53"/>
    <w:rsid w:val="00331341"/>
    <w:rsid w:val="00332163"/>
    <w:rsid w:val="003322AF"/>
    <w:rsid w:val="00332872"/>
    <w:rsid w:val="00332904"/>
    <w:rsid w:val="003339C3"/>
    <w:rsid w:val="003345A4"/>
    <w:rsid w:val="003348F1"/>
    <w:rsid w:val="00334D01"/>
    <w:rsid w:val="00334E8F"/>
    <w:rsid w:val="003353E7"/>
    <w:rsid w:val="003370C4"/>
    <w:rsid w:val="003376EE"/>
    <w:rsid w:val="00337940"/>
    <w:rsid w:val="003402FA"/>
    <w:rsid w:val="00340927"/>
    <w:rsid w:val="00340C60"/>
    <w:rsid w:val="00341215"/>
    <w:rsid w:val="0034243E"/>
    <w:rsid w:val="00343BBA"/>
    <w:rsid w:val="00344214"/>
    <w:rsid w:val="00344271"/>
    <w:rsid w:val="00344456"/>
    <w:rsid w:val="0034493F"/>
    <w:rsid w:val="00345B00"/>
    <w:rsid w:val="003478C4"/>
    <w:rsid w:val="00347B82"/>
    <w:rsid w:val="00347D8D"/>
    <w:rsid w:val="003511C9"/>
    <w:rsid w:val="00351B2B"/>
    <w:rsid w:val="00351E23"/>
    <w:rsid w:val="00352263"/>
    <w:rsid w:val="003531D0"/>
    <w:rsid w:val="00353CCB"/>
    <w:rsid w:val="00355080"/>
    <w:rsid w:val="00355F95"/>
    <w:rsid w:val="0035741F"/>
    <w:rsid w:val="00357691"/>
    <w:rsid w:val="00360913"/>
    <w:rsid w:val="00361816"/>
    <w:rsid w:val="00362EE0"/>
    <w:rsid w:val="00364068"/>
    <w:rsid w:val="0036475E"/>
    <w:rsid w:val="00364D58"/>
    <w:rsid w:val="00365897"/>
    <w:rsid w:val="00366B9A"/>
    <w:rsid w:val="00366CA0"/>
    <w:rsid w:val="00366E35"/>
    <w:rsid w:val="00367126"/>
    <w:rsid w:val="00367E23"/>
    <w:rsid w:val="00370CC0"/>
    <w:rsid w:val="00372774"/>
    <w:rsid w:val="003727BE"/>
    <w:rsid w:val="003733CC"/>
    <w:rsid w:val="00373B49"/>
    <w:rsid w:val="003746E1"/>
    <w:rsid w:val="00374809"/>
    <w:rsid w:val="00374ADC"/>
    <w:rsid w:val="00375172"/>
    <w:rsid w:val="00376430"/>
    <w:rsid w:val="00380928"/>
    <w:rsid w:val="0038276A"/>
    <w:rsid w:val="003832B9"/>
    <w:rsid w:val="00384AC4"/>
    <w:rsid w:val="003856E4"/>
    <w:rsid w:val="003858E1"/>
    <w:rsid w:val="0038654C"/>
    <w:rsid w:val="00386E29"/>
    <w:rsid w:val="003876FD"/>
    <w:rsid w:val="0039254D"/>
    <w:rsid w:val="0039307F"/>
    <w:rsid w:val="003939EE"/>
    <w:rsid w:val="00394495"/>
    <w:rsid w:val="00394568"/>
    <w:rsid w:val="00396428"/>
    <w:rsid w:val="00396781"/>
    <w:rsid w:val="00396D4A"/>
    <w:rsid w:val="00397F67"/>
    <w:rsid w:val="003A0495"/>
    <w:rsid w:val="003A0598"/>
    <w:rsid w:val="003A1A5A"/>
    <w:rsid w:val="003A3E48"/>
    <w:rsid w:val="003A4F6A"/>
    <w:rsid w:val="003A5F7F"/>
    <w:rsid w:val="003A6004"/>
    <w:rsid w:val="003A6821"/>
    <w:rsid w:val="003B0172"/>
    <w:rsid w:val="003B184A"/>
    <w:rsid w:val="003B1D71"/>
    <w:rsid w:val="003B245A"/>
    <w:rsid w:val="003B2DD4"/>
    <w:rsid w:val="003B4969"/>
    <w:rsid w:val="003B4AB9"/>
    <w:rsid w:val="003B5185"/>
    <w:rsid w:val="003B51F3"/>
    <w:rsid w:val="003B5200"/>
    <w:rsid w:val="003B5204"/>
    <w:rsid w:val="003B58D8"/>
    <w:rsid w:val="003B5D2F"/>
    <w:rsid w:val="003B64A8"/>
    <w:rsid w:val="003B6ABC"/>
    <w:rsid w:val="003C037D"/>
    <w:rsid w:val="003C0F95"/>
    <w:rsid w:val="003C1CE4"/>
    <w:rsid w:val="003C2803"/>
    <w:rsid w:val="003C4795"/>
    <w:rsid w:val="003C4AF1"/>
    <w:rsid w:val="003C5FF4"/>
    <w:rsid w:val="003C6CA9"/>
    <w:rsid w:val="003C71F1"/>
    <w:rsid w:val="003D003A"/>
    <w:rsid w:val="003D11BB"/>
    <w:rsid w:val="003D1432"/>
    <w:rsid w:val="003D190F"/>
    <w:rsid w:val="003D244D"/>
    <w:rsid w:val="003D2A05"/>
    <w:rsid w:val="003D4180"/>
    <w:rsid w:val="003D5493"/>
    <w:rsid w:val="003D7AFE"/>
    <w:rsid w:val="003E01A0"/>
    <w:rsid w:val="003E08E9"/>
    <w:rsid w:val="003E30B5"/>
    <w:rsid w:val="003E4299"/>
    <w:rsid w:val="003E5637"/>
    <w:rsid w:val="003E7097"/>
    <w:rsid w:val="003F2E57"/>
    <w:rsid w:val="003F3D87"/>
    <w:rsid w:val="003F3EBD"/>
    <w:rsid w:val="003F3FE1"/>
    <w:rsid w:val="003F5A07"/>
    <w:rsid w:val="003F5F30"/>
    <w:rsid w:val="003F6552"/>
    <w:rsid w:val="003F68A8"/>
    <w:rsid w:val="003F70F8"/>
    <w:rsid w:val="004004E1"/>
    <w:rsid w:val="00400EFE"/>
    <w:rsid w:val="00403C33"/>
    <w:rsid w:val="00404BE8"/>
    <w:rsid w:val="00405029"/>
    <w:rsid w:val="004058AC"/>
    <w:rsid w:val="00405EB4"/>
    <w:rsid w:val="004060CF"/>
    <w:rsid w:val="00406231"/>
    <w:rsid w:val="00407473"/>
    <w:rsid w:val="00407B7F"/>
    <w:rsid w:val="0041058F"/>
    <w:rsid w:val="00412DBC"/>
    <w:rsid w:val="00412FC9"/>
    <w:rsid w:val="00413EAB"/>
    <w:rsid w:val="004150A2"/>
    <w:rsid w:val="004151C7"/>
    <w:rsid w:val="00417309"/>
    <w:rsid w:val="00421D6E"/>
    <w:rsid w:val="00421E17"/>
    <w:rsid w:val="00422332"/>
    <w:rsid w:val="0042241C"/>
    <w:rsid w:val="004226A1"/>
    <w:rsid w:val="00422F38"/>
    <w:rsid w:val="004238AC"/>
    <w:rsid w:val="004247DA"/>
    <w:rsid w:val="00424938"/>
    <w:rsid w:val="00424CBB"/>
    <w:rsid w:val="00425464"/>
    <w:rsid w:val="004254FF"/>
    <w:rsid w:val="00425598"/>
    <w:rsid w:val="00426839"/>
    <w:rsid w:val="00427238"/>
    <w:rsid w:val="00427962"/>
    <w:rsid w:val="004325E9"/>
    <w:rsid w:val="004330DF"/>
    <w:rsid w:val="0043381C"/>
    <w:rsid w:val="004342FB"/>
    <w:rsid w:val="004353BF"/>
    <w:rsid w:val="00435CEB"/>
    <w:rsid w:val="00435D63"/>
    <w:rsid w:val="00435F4C"/>
    <w:rsid w:val="00435F8F"/>
    <w:rsid w:val="00436D29"/>
    <w:rsid w:val="004377D2"/>
    <w:rsid w:val="00437817"/>
    <w:rsid w:val="0044057B"/>
    <w:rsid w:val="00440752"/>
    <w:rsid w:val="004419E1"/>
    <w:rsid w:val="00443D58"/>
    <w:rsid w:val="00443DD6"/>
    <w:rsid w:val="00443FFA"/>
    <w:rsid w:val="004468C8"/>
    <w:rsid w:val="00446B74"/>
    <w:rsid w:val="004472B5"/>
    <w:rsid w:val="004477AA"/>
    <w:rsid w:val="00450665"/>
    <w:rsid w:val="00451CC0"/>
    <w:rsid w:val="00451E17"/>
    <w:rsid w:val="00453EA6"/>
    <w:rsid w:val="0045417F"/>
    <w:rsid w:val="00454389"/>
    <w:rsid w:val="00454647"/>
    <w:rsid w:val="004553FA"/>
    <w:rsid w:val="0045704D"/>
    <w:rsid w:val="004605D7"/>
    <w:rsid w:val="004615C6"/>
    <w:rsid w:val="004628F3"/>
    <w:rsid w:val="00462929"/>
    <w:rsid w:val="00462EFF"/>
    <w:rsid w:val="004639CD"/>
    <w:rsid w:val="00463BC1"/>
    <w:rsid w:val="004645FD"/>
    <w:rsid w:val="004653D7"/>
    <w:rsid w:val="0047117F"/>
    <w:rsid w:val="004719F0"/>
    <w:rsid w:val="00471CC9"/>
    <w:rsid w:val="004721D5"/>
    <w:rsid w:val="0047387E"/>
    <w:rsid w:val="00474065"/>
    <w:rsid w:val="0047588F"/>
    <w:rsid w:val="00475BE7"/>
    <w:rsid w:val="00476F48"/>
    <w:rsid w:val="00480866"/>
    <w:rsid w:val="00480D6F"/>
    <w:rsid w:val="0048153C"/>
    <w:rsid w:val="004828BE"/>
    <w:rsid w:val="00482A8C"/>
    <w:rsid w:val="004839D4"/>
    <w:rsid w:val="00484BEE"/>
    <w:rsid w:val="00484D01"/>
    <w:rsid w:val="00485DFE"/>
    <w:rsid w:val="004863E3"/>
    <w:rsid w:val="00486816"/>
    <w:rsid w:val="00486C25"/>
    <w:rsid w:val="00487312"/>
    <w:rsid w:val="004873A7"/>
    <w:rsid w:val="00487540"/>
    <w:rsid w:val="00490350"/>
    <w:rsid w:val="00490583"/>
    <w:rsid w:val="00490A86"/>
    <w:rsid w:val="00490CCE"/>
    <w:rsid w:val="00491825"/>
    <w:rsid w:val="004918FF"/>
    <w:rsid w:val="00492ACB"/>
    <w:rsid w:val="0049311B"/>
    <w:rsid w:val="004932D0"/>
    <w:rsid w:val="0049447E"/>
    <w:rsid w:val="004947E4"/>
    <w:rsid w:val="00494A21"/>
    <w:rsid w:val="00495228"/>
    <w:rsid w:val="004953A4"/>
    <w:rsid w:val="0049626C"/>
    <w:rsid w:val="00497D8A"/>
    <w:rsid w:val="00497E82"/>
    <w:rsid w:val="004A1C9E"/>
    <w:rsid w:val="004A1D27"/>
    <w:rsid w:val="004A23BB"/>
    <w:rsid w:val="004A24B1"/>
    <w:rsid w:val="004A2629"/>
    <w:rsid w:val="004A288D"/>
    <w:rsid w:val="004A379F"/>
    <w:rsid w:val="004A3815"/>
    <w:rsid w:val="004A47B7"/>
    <w:rsid w:val="004A4E10"/>
    <w:rsid w:val="004A5955"/>
    <w:rsid w:val="004A6534"/>
    <w:rsid w:val="004A6EE4"/>
    <w:rsid w:val="004A7D51"/>
    <w:rsid w:val="004B03ED"/>
    <w:rsid w:val="004B04E8"/>
    <w:rsid w:val="004B050A"/>
    <w:rsid w:val="004B112D"/>
    <w:rsid w:val="004B13DF"/>
    <w:rsid w:val="004B14A7"/>
    <w:rsid w:val="004B14BF"/>
    <w:rsid w:val="004B1B58"/>
    <w:rsid w:val="004B1DD5"/>
    <w:rsid w:val="004B2946"/>
    <w:rsid w:val="004B3EA2"/>
    <w:rsid w:val="004B5900"/>
    <w:rsid w:val="004B60A9"/>
    <w:rsid w:val="004B6A17"/>
    <w:rsid w:val="004C1C09"/>
    <w:rsid w:val="004C2823"/>
    <w:rsid w:val="004C4032"/>
    <w:rsid w:val="004C4A87"/>
    <w:rsid w:val="004C50A7"/>
    <w:rsid w:val="004C52D7"/>
    <w:rsid w:val="004C53DA"/>
    <w:rsid w:val="004C5542"/>
    <w:rsid w:val="004C5B92"/>
    <w:rsid w:val="004C7255"/>
    <w:rsid w:val="004C7355"/>
    <w:rsid w:val="004C741E"/>
    <w:rsid w:val="004D0F7B"/>
    <w:rsid w:val="004D21D4"/>
    <w:rsid w:val="004D39EF"/>
    <w:rsid w:val="004D650C"/>
    <w:rsid w:val="004D657F"/>
    <w:rsid w:val="004D67B0"/>
    <w:rsid w:val="004D747B"/>
    <w:rsid w:val="004D76E0"/>
    <w:rsid w:val="004E06CA"/>
    <w:rsid w:val="004E4350"/>
    <w:rsid w:val="004E49E9"/>
    <w:rsid w:val="004E4DB5"/>
    <w:rsid w:val="004E4FD6"/>
    <w:rsid w:val="004E523C"/>
    <w:rsid w:val="004E5E8B"/>
    <w:rsid w:val="004E6352"/>
    <w:rsid w:val="004E63C2"/>
    <w:rsid w:val="004E79D4"/>
    <w:rsid w:val="004F03E4"/>
    <w:rsid w:val="004F04F5"/>
    <w:rsid w:val="004F06BE"/>
    <w:rsid w:val="004F1865"/>
    <w:rsid w:val="004F1AC6"/>
    <w:rsid w:val="004F2346"/>
    <w:rsid w:val="004F28FE"/>
    <w:rsid w:val="004F316E"/>
    <w:rsid w:val="004F3B4D"/>
    <w:rsid w:val="004F6295"/>
    <w:rsid w:val="004F67AF"/>
    <w:rsid w:val="004F6984"/>
    <w:rsid w:val="004F6B7B"/>
    <w:rsid w:val="00500650"/>
    <w:rsid w:val="00501908"/>
    <w:rsid w:val="00501CAA"/>
    <w:rsid w:val="00502A00"/>
    <w:rsid w:val="005054A7"/>
    <w:rsid w:val="0050577D"/>
    <w:rsid w:val="005060C7"/>
    <w:rsid w:val="00510011"/>
    <w:rsid w:val="00511866"/>
    <w:rsid w:val="00511E4C"/>
    <w:rsid w:val="00511FFA"/>
    <w:rsid w:val="00513FC0"/>
    <w:rsid w:val="00514670"/>
    <w:rsid w:val="0051585B"/>
    <w:rsid w:val="00516BA9"/>
    <w:rsid w:val="005176C9"/>
    <w:rsid w:val="005176E0"/>
    <w:rsid w:val="005177D3"/>
    <w:rsid w:val="00517ACF"/>
    <w:rsid w:val="005203E4"/>
    <w:rsid w:val="00520F68"/>
    <w:rsid w:val="00521027"/>
    <w:rsid w:val="00521217"/>
    <w:rsid w:val="005213AF"/>
    <w:rsid w:val="00521C29"/>
    <w:rsid w:val="00522AE0"/>
    <w:rsid w:val="005238E0"/>
    <w:rsid w:val="0052393E"/>
    <w:rsid w:val="00523A5C"/>
    <w:rsid w:val="00523E18"/>
    <w:rsid w:val="00524C05"/>
    <w:rsid w:val="00524EAC"/>
    <w:rsid w:val="00524EE6"/>
    <w:rsid w:val="00525113"/>
    <w:rsid w:val="005254EE"/>
    <w:rsid w:val="00525590"/>
    <w:rsid w:val="0052570B"/>
    <w:rsid w:val="00525A9B"/>
    <w:rsid w:val="00525BCE"/>
    <w:rsid w:val="00525C0F"/>
    <w:rsid w:val="005261F7"/>
    <w:rsid w:val="00526A60"/>
    <w:rsid w:val="00527D6E"/>
    <w:rsid w:val="00527ED6"/>
    <w:rsid w:val="00530E3F"/>
    <w:rsid w:val="00531AF5"/>
    <w:rsid w:val="00531BAC"/>
    <w:rsid w:val="00533867"/>
    <w:rsid w:val="00534678"/>
    <w:rsid w:val="00534F14"/>
    <w:rsid w:val="00535B01"/>
    <w:rsid w:val="00536994"/>
    <w:rsid w:val="00536E9F"/>
    <w:rsid w:val="00540303"/>
    <w:rsid w:val="005411F1"/>
    <w:rsid w:val="00542AA4"/>
    <w:rsid w:val="00543239"/>
    <w:rsid w:val="00543578"/>
    <w:rsid w:val="0054421A"/>
    <w:rsid w:val="00546980"/>
    <w:rsid w:val="00546A58"/>
    <w:rsid w:val="00547581"/>
    <w:rsid w:val="005503C8"/>
    <w:rsid w:val="00551164"/>
    <w:rsid w:val="00551419"/>
    <w:rsid w:val="00551AFF"/>
    <w:rsid w:val="005552A8"/>
    <w:rsid w:val="005552ED"/>
    <w:rsid w:val="00555982"/>
    <w:rsid w:val="00555AE5"/>
    <w:rsid w:val="00556B7E"/>
    <w:rsid w:val="005604B6"/>
    <w:rsid w:val="00561021"/>
    <w:rsid w:val="00562153"/>
    <w:rsid w:val="00562929"/>
    <w:rsid w:val="00562F91"/>
    <w:rsid w:val="00564939"/>
    <w:rsid w:val="00564980"/>
    <w:rsid w:val="00565111"/>
    <w:rsid w:val="00566A93"/>
    <w:rsid w:val="00566DE9"/>
    <w:rsid w:val="00573F49"/>
    <w:rsid w:val="0057429C"/>
    <w:rsid w:val="005743ED"/>
    <w:rsid w:val="00574ADD"/>
    <w:rsid w:val="00574BB5"/>
    <w:rsid w:val="00574C4B"/>
    <w:rsid w:val="00574DEF"/>
    <w:rsid w:val="005756F7"/>
    <w:rsid w:val="00575A87"/>
    <w:rsid w:val="00575CAD"/>
    <w:rsid w:val="00582147"/>
    <w:rsid w:val="00582833"/>
    <w:rsid w:val="00583BA7"/>
    <w:rsid w:val="00584684"/>
    <w:rsid w:val="00584CE8"/>
    <w:rsid w:val="00584DA0"/>
    <w:rsid w:val="0058508D"/>
    <w:rsid w:val="00586040"/>
    <w:rsid w:val="005867E2"/>
    <w:rsid w:val="00590235"/>
    <w:rsid w:val="0059047A"/>
    <w:rsid w:val="0059095A"/>
    <w:rsid w:val="00591716"/>
    <w:rsid w:val="00591D1D"/>
    <w:rsid w:val="0059212D"/>
    <w:rsid w:val="005924B0"/>
    <w:rsid w:val="005925E7"/>
    <w:rsid w:val="0059302C"/>
    <w:rsid w:val="0059387D"/>
    <w:rsid w:val="005949CB"/>
    <w:rsid w:val="00594E36"/>
    <w:rsid w:val="00595134"/>
    <w:rsid w:val="00596B47"/>
    <w:rsid w:val="00597B53"/>
    <w:rsid w:val="005A0E86"/>
    <w:rsid w:val="005A10A8"/>
    <w:rsid w:val="005A1606"/>
    <w:rsid w:val="005A2D5D"/>
    <w:rsid w:val="005A41C1"/>
    <w:rsid w:val="005A5829"/>
    <w:rsid w:val="005A58A6"/>
    <w:rsid w:val="005A60A7"/>
    <w:rsid w:val="005B0ACF"/>
    <w:rsid w:val="005B23B2"/>
    <w:rsid w:val="005B2532"/>
    <w:rsid w:val="005B2860"/>
    <w:rsid w:val="005B3EFA"/>
    <w:rsid w:val="005B4212"/>
    <w:rsid w:val="005B491C"/>
    <w:rsid w:val="005B5D82"/>
    <w:rsid w:val="005B7701"/>
    <w:rsid w:val="005B7F55"/>
    <w:rsid w:val="005C042D"/>
    <w:rsid w:val="005C0DD4"/>
    <w:rsid w:val="005C13D8"/>
    <w:rsid w:val="005C1746"/>
    <w:rsid w:val="005C2F62"/>
    <w:rsid w:val="005C3470"/>
    <w:rsid w:val="005C3B0F"/>
    <w:rsid w:val="005C5657"/>
    <w:rsid w:val="005C6150"/>
    <w:rsid w:val="005C61AE"/>
    <w:rsid w:val="005C6911"/>
    <w:rsid w:val="005D0412"/>
    <w:rsid w:val="005D0C34"/>
    <w:rsid w:val="005D2C2A"/>
    <w:rsid w:val="005D369A"/>
    <w:rsid w:val="005D3F24"/>
    <w:rsid w:val="005D411B"/>
    <w:rsid w:val="005D474A"/>
    <w:rsid w:val="005D57A3"/>
    <w:rsid w:val="005E0238"/>
    <w:rsid w:val="005E0352"/>
    <w:rsid w:val="005E05C1"/>
    <w:rsid w:val="005E05EC"/>
    <w:rsid w:val="005E194A"/>
    <w:rsid w:val="005E1AA7"/>
    <w:rsid w:val="005E1BBC"/>
    <w:rsid w:val="005E2076"/>
    <w:rsid w:val="005E225A"/>
    <w:rsid w:val="005E4D4A"/>
    <w:rsid w:val="005E56C6"/>
    <w:rsid w:val="005F010E"/>
    <w:rsid w:val="005F0B55"/>
    <w:rsid w:val="005F0E22"/>
    <w:rsid w:val="005F11F3"/>
    <w:rsid w:val="005F173D"/>
    <w:rsid w:val="005F37C0"/>
    <w:rsid w:val="005F3EF7"/>
    <w:rsid w:val="005F480B"/>
    <w:rsid w:val="005F589B"/>
    <w:rsid w:val="005F65E1"/>
    <w:rsid w:val="0060097E"/>
    <w:rsid w:val="006028CE"/>
    <w:rsid w:val="00603FD0"/>
    <w:rsid w:val="006044E0"/>
    <w:rsid w:val="00605513"/>
    <w:rsid w:val="00606361"/>
    <w:rsid w:val="006066B4"/>
    <w:rsid w:val="0060782C"/>
    <w:rsid w:val="00607B85"/>
    <w:rsid w:val="00607C31"/>
    <w:rsid w:val="0061134C"/>
    <w:rsid w:val="0061179C"/>
    <w:rsid w:val="006118F2"/>
    <w:rsid w:val="0061244F"/>
    <w:rsid w:val="00612E0F"/>
    <w:rsid w:val="00613034"/>
    <w:rsid w:val="0061368B"/>
    <w:rsid w:val="00614341"/>
    <w:rsid w:val="00614560"/>
    <w:rsid w:val="00616229"/>
    <w:rsid w:val="00616F08"/>
    <w:rsid w:val="00617E95"/>
    <w:rsid w:val="006214F5"/>
    <w:rsid w:val="00623AD7"/>
    <w:rsid w:val="00624CBA"/>
    <w:rsid w:val="006250DC"/>
    <w:rsid w:val="006254A5"/>
    <w:rsid w:val="00625B73"/>
    <w:rsid w:val="00625E02"/>
    <w:rsid w:val="00625F71"/>
    <w:rsid w:val="00626C38"/>
    <w:rsid w:val="00627CC3"/>
    <w:rsid w:val="00627DF7"/>
    <w:rsid w:val="00630465"/>
    <w:rsid w:val="00631126"/>
    <w:rsid w:val="00631617"/>
    <w:rsid w:val="00632D0D"/>
    <w:rsid w:val="00632F66"/>
    <w:rsid w:val="0063343B"/>
    <w:rsid w:val="00633ACB"/>
    <w:rsid w:val="00633BA5"/>
    <w:rsid w:val="00634000"/>
    <w:rsid w:val="00634E90"/>
    <w:rsid w:val="00635A4A"/>
    <w:rsid w:val="00635E2F"/>
    <w:rsid w:val="00635F8A"/>
    <w:rsid w:val="0063745C"/>
    <w:rsid w:val="006408B7"/>
    <w:rsid w:val="00641278"/>
    <w:rsid w:val="00641A5D"/>
    <w:rsid w:val="006427DF"/>
    <w:rsid w:val="00642827"/>
    <w:rsid w:val="00643C29"/>
    <w:rsid w:val="006441AC"/>
    <w:rsid w:val="00644C86"/>
    <w:rsid w:val="00644CF7"/>
    <w:rsid w:val="006450EE"/>
    <w:rsid w:val="006451F6"/>
    <w:rsid w:val="00645725"/>
    <w:rsid w:val="00645DC7"/>
    <w:rsid w:val="00647C12"/>
    <w:rsid w:val="0065038E"/>
    <w:rsid w:val="00650D0E"/>
    <w:rsid w:val="00651219"/>
    <w:rsid w:val="00651E0C"/>
    <w:rsid w:val="00653830"/>
    <w:rsid w:val="006541FB"/>
    <w:rsid w:val="00655285"/>
    <w:rsid w:val="00655462"/>
    <w:rsid w:val="00656240"/>
    <w:rsid w:val="00656CC9"/>
    <w:rsid w:val="00656F74"/>
    <w:rsid w:val="00657C30"/>
    <w:rsid w:val="0066042D"/>
    <w:rsid w:val="00660487"/>
    <w:rsid w:val="00661300"/>
    <w:rsid w:val="00661381"/>
    <w:rsid w:val="0066254C"/>
    <w:rsid w:val="006651BC"/>
    <w:rsid w:val="00665E58"/>
    <w:rsid w:val="006668C5"/>
    <w:rsid w:val="00666AE3"/>
    <w:rsid w:val="00667002"/>
    <w:rsid w:val="00667054"/>
    <w:rsid w:val="0066707F"/>
    <w:rsid w:val="006671D4"/>
    <w:rsid w:val="00667705"/>
    <w:rsid w:val="00667868"/>
    <w:rsid w:val="006700CB"/>
    <w:rsid w:val="0067017D"/>
    <w:rsid w:val="00670C50"/>
    <w:rsid w:val="00670ED8"/>
    <w:rsid w:val="006712E9"/>
    <w:rsid w:val="00671BF8"/>
    <w:rsid w:val="006721E9"/>
    <w:rsid w:val="006732E2"/>
    <w:rsid w:val="00673695"/>
    <w:rsid w:val="006742E3"/>
    <w:rsid w:val="0067526B"/>
    <w:rsid w:val="006761DC"/>
    <w:rsid w:val="00676215"/>
    <w:rsid w:val="00676F36"/>
    <w:rsid w:val="00677527"/>
    <w:rsid w:val="00677646"/>
    <w:rsid w:val="006809C4"/>
    <w:rsid w:val="00681EC4"/>
    <w:rsid w:val="00682150"/>
    <w:rsid w:val="00682F60"/>
    <w:rsid w:val="00683226"/>
    <w:rsid w:val="00683271"/>
    <w:rsid w:val="006844ED"/>
    <w:rsid w:val="00684E51"/>
    <w:rsid w:val="0068509B"/>
    <w:rsid w:val="00687425"/>
    <w:rsid w:val="0068782D"/>
    <w:rsid w:val="0068786E"/>
    <w:rsid w:val="006906F1"/>
    <w:rsid w:val="00691BBC"/>
    <w:rsid w:val="0069254E"/>
    <w:rsid w:val="00692C53"/>
    <w:rsid w:val="00694949"/>
    <w:rsid w:val="00694DD6"/>
    <w:rsid w:val="00695EFB"/>
    <w:rsid w:val="006967E6"/>
    <w:rsid w:val="00696B61"/>
    <w:rsid w:val="006A017B"/>
    <w:rsid w:val="006A0AAC"/>
    <w:rsid w:val="006A0F3B"/>
    <w:rsid w:val="006A1ACF"/>
    <w:rsid w:val="006A2276"/>
    <w:rsid w:val="006A2830"/>
    <w:rsid w:val="006A33A7"/>
    <w:rsid w:val="006A344A"/>
    <w:rsid w:val="006A359F"/>
    <w:rsid w:val="006A38A9"/>
    <w:rsid w:val="006A3C69"/>
    <w:rsid w:val="006A480D"/>
    <w:rsid w:val="006A4B0D"/>
    <w:rsid w:val="006A505D"/>
    <w:rsid w:val="006A525C"/>
    <w:rsid w:val="006A5750"/>
    <w:rsid w:val="006A679D"/>
    <w:rsid w:val="006A782F"/>
    <w:rsid w:val="006A79D0"/>
    <w:rsid w:val="006B0B3C"/>
    <w:rsid w:val="006B3CAF"/>
    <w:rsid w:val="006B4251"/>
    <w:rsid w:val="006B4816"/>
    <w:rsid w:val="006B4922"/>
    <w:rsid w:val="006B6A37"/>
    <w:rsid w:val="006B6ABE"/>
    <w:rsid w:val="006B7132"/>
    <w:rsid w:val="006B7FE7"/>
    <w:rsid w:val="006C0272"/>
    <w:rsid w:val="006C0C92"/>
    <w:rsid w:val="006C1E56"/>
    <w:rsid w:val="006C2A94"/>
    <w:rsid w:val="006C33CB"/>
    <w:rsid w:val="006C369F"/>
    <w:rsid w:val="006C3D62"/>
    <w:rsid w:val="006C4248"/>
    <w:rsid w:val="006C4B14"/>
    <w:rsid w:val="006C4E54"/>
    <w:rsid w:val="006C5345"/>
    <w:rsid w:val="006C6488"/>
    <w:rsid w:val="006C66B9"/>
    <w:rsid w:val="006C69EF"/>
    <w:rsid w:val="006C7AF8"/>
    <w:rsid w:val="006D0780"/>
    <w:rsid w:val="006D15BD"/>
    <w:rsid w:val="006D2725"/>
    <w:rsid w:val="006D2803"/>
    <w:rsid w:val="006D5691"/>
    <w:rsid w:val="006D695C"/>
    <w:rsid w:val="006D6FEA"/>
    <w:rsid w:val="006E0062"/>
    <w:rsid w:val="006E0945"/>
    <w:rsid w:val="006E0F98"/>
    <w:rsid w:val="006E1BF2"/>
    <w:rsid w:val="006E2788"/>
    <w:rsid w:val="006E27E5"/>
    <w:rsid w:val="006E2EC5"/>
    <w:rsid w:val="006E3950"/>
    <w:rsid w:val="006E396B"/>
    <w:rsid w:val="006E51B0"/>
    <w:rsid w:val="006E5B94"/>
    <w:rsid w:val="006E65B0"/>
    <w:rsid w:val="006E6B70"/>
    <w:rsid w:val="006E6F0F"/>
    <w:rsid w:val="006E73D0"/>
    <w:rsid w:val="006E7628"/>
    <w:rsid w:val="006E7EC1"/>
    <w:rsid w:val="006F0446"/>
    <w:rsid w:val="006F26EC"/>
    <w:rsid w:val="006F424F"/>
    <w:rsid w:val="006F4524"/>
    <w:rsid w:val="006F4890"/>
    <w:rsid w:val="006F4EDE"/>
    <w:rsid w:val="006F500A"/>
    <w:rsid w:val="006F6BA5"/>
    <w:rsid w:val="006F7A49"/>
    <w:rsid w:val="00700A97"/>
    <w:rsid w:val="00701DFF"/>
    <w:rsid w:val="00702D8D"/>
    <w:rsid w:val="00703710"/>
    <w:rsid w:val="00704CFE"/>
    <w:rsid w:val="00705807"/>
    <w:rsid w:val="00705B5E"/>
    <w:rsid w:val="0070614A"/>
    <w:rsid w:val="00707A96"/>
    <w:rsid w:val="0071028B"/>
    <w:rsid w:val="00711A89"/>
    <w:rsid w:val="0071424C"/>
    <w:rsid w:val="0071521D"/>
    <w:rsid w:val="00715825"/>
    <w:rsid w:val="00715CA7"/>
    <w:rsid w:val="00720DC8"/>
    <w:rsid w:val="00721D43"/>
    <w:rsid w:val="00722888"/>
    <w:rsid w:val="00722A33"/>
    <w:rsid w:val="007232A7"/>
    <w:rsid w:val="00723416"/>
    <w:rsid w:val="007239C3"/>
    <w:rsid w:val="00723D66"/>
    <w:rsid w:val="00725269"/>
    <w:rsid w:val="00725616"/>
    <w:rsid w:val="00725A5B"/>
    <w:rsid w:val="00727641"/>
    <w:rsid w:val="0073084D"/>
    <w:rsid w:val="00731314"/>
    <w:rsid w:val="00732709"/>
    <w:rsid w:val="0073322F"/>
    <w:rsid w:val="00733B4D"/>
    <w:rsid w:val="007359BE"/>
    <w:rsid w:val="00735C1E"/>
    <w:rsid w:val="00735F6E"/>
    <w:rsid w:val="00736F88"/>
    <w:rsid w:val="00737080"/>
    <w:rsid w:val="00737661"/>
    <w:rsid w:val="0074078A"/>
    <w:rsid w:val="00740A42"/>
    <w:rsid w:val="00741B3E"/>
    <w:rsid w:val="00741FD9"/>
    <w:rsid w:val="00742C26"/>
    <w:rsid w:val="0074457C"/>
    <w:rsid w:val="007447F4"/>
    <w:rsid w:val="00744D7F"/>
    <w:rsid w:val="00746663"/>
    <w:rsid w:val="00746B9E"/>
    <w:rsid w:val="007478F6"/>
    <w:rsid w:val="00747E3C"/>
    <w:rsid w:val="00747E5C"/>
    <w:rsid w:val="00751551"/>
    <w:rsid w:val="00751A70"/>
    <w:rsid w:val="007526BD"/>
    <w:rsid w:val="00752B43"/>
    <w:rsid w:val="007538EF"/>
    <w:rsid w:val="00753A04"/>
    <w:rsid w:val="007540EB"/>
    <w:rsid w:val="0075470E"/>
    <w:rsid w:val="00754F01"/>
    <w:rsid w:val="00755338"/>
    <w:rsid w:val="00755733"/>
    <w:rsid w:val="00755D04"/>
    <w:rsid w:val="00756A3A"/>
    <w:rsid w:val="0075797E"/>
    <w:rsid w:val="007624FF"/>
    <w:rsid w:val="00762CD6"/>
    <w:rsid w:val="00762D00"/>
    <w:rsid w:val="00762E8F"/>
    <w:rsid w:val="007641A6"/>
    <w:rsid w:val="00765F35"/>
    <w:rsid w:val="00766B5B"/>
    <w:rsid w:val="00766FE7"/>
    <w:rsid w:val="00767AE5"/>
    <w:rsid w:val="00767F6A"/>
    <w:rsid w:val="00770DAB"/>
    <w:rsid w:val="00770EC8"/>
    <w:rsid w:val="0077220C"/>
    <w:rsid w:val="00772FAD"/>
    <w:rsid w:val="00773148"/>
    <w:rsid w:val="00774CFE"/>
    <w:rsid w:val="007761BA"/>
    <w:rsid w:val="00776A5C"/>
    <w:rsid w:val="00776CBF"/>
    <w:rsid w:val="00776D2B"/>
    <w:rsid w:val="007777E3"/>
    <w:rsid w:val="007803E4"/>
    <w:rsid w:val="007809B8"/>
    <w:rsid w:val="00781B2C"/>
    <w:rsid w:val="00781B82"/>
    <w:rsid w:val="00782412"/>
    <w:rsid w:val="007825CB"/>
    <w:rsid w:val="007829BE"/>
    <w:rsid w:val="0078344E"/>
    <w:rsid w:val="007857B4"/>
    <w:rsid w:val="00786F01"/>
    <w:rsid w:val="007875B4"/>
    <w:rsid w:val="007875E8"/>
    <w:rsid w:val="007926BB"/>
    <w:rsid w:val="00792F55"/>
    <w:rsid w:val="0079352D"/>
    <w:rsid w:val="007935A8"/>
    <w:rsid w:val="00793E3E"/>
    <w:rsid w:val="00793EE1"/>
    <w:rsid w:val="007955CA"/>
    <w:rsid w:val="0079638C"/>
    <w:rsid w:val="00797543"/>
    <w:rsid w:val="0079765F"/>
    <w:rsid w:val="00797809"/>
    <w:rsid w:val="007A040B"/>
    <w:rsid w:val="007A1832"/>
    <w:rsid w:val="007A1DDA"/>
    <w:rsid w:val="007A2944"/>
    <w:rsid w:val="007A2D88"/>
    <w:rsid w:val="007A371D"/>
    <w:rsid w:val="007A3BE2"/>
    <w:rsid w:val="007A4236"/>
    <w:rsid w:val="007A4556"/>
    <w:rsid w:val="007A4629"/>
    <w:rsid w:val="007A475F"/>
    <w:rsid w:val="007A4BEA"/>
    <w:rsid w:val="007A508D"/>
    <w:rsid w:val="007A50EB"/>
    <w:rsid w:val="007A516D"/>
    <w:rsid w:val="007A5A62"/>
    <w:rsid w:val="007A6C6D"/>
    <w:rsid w:val="007A6F5D"/>
    <w:rsid w:val="007A7B06"/>
    <w:rsid w:val="007A7BA0"/>
    <w:rsid w:val="007B0055"/>
    <w:rsid w:val="007B02A7"/>
    <w:rsid w:val="007B053E"/>
    <w:rsid w:val="007B17F7"/>
    <w:rsid w:val="007B2376"/>
    <w:rsid w:val="007B2903"/>
    <w:rsid w:val="007B4CF3"/>
    <w:rsid w:val="007B56C4"/>
    <w:rsid w:val="007B67D7"/>
    <w:rsid w:val="007B72F0"/>
    <w:rsid w:val="007C26FE"/>
    <w:rsid w:val="007C2824"/>
    <w:rsid w:val="007C2BB4"/>
    <w:rsid w:val="007C2E05"/>
    <w:rsid w:val="007C3AAC"/>
    <w:rsid w:val="007C3B3C"/>
    <w:rsid w:val="007C3B5F"/>
    <w:rsid w:val="007C416C"/>
    <w:rsid w:val="007C429D"/>
    <w:rsid w:val="007D01B3"/>
    <w:rsid w:val="007D0B46"/>
    <w:rsid w:val="007D11D9"/>
    <w:rsid w:val="007D1DB1"/>
    <w:rsid w:val="007D2683"/>
    <w:rsid w:val="007D28D9"/>
    <w:rsid w:val="007D43A6"/>
    <w:rsid w:val="007D4BEF"/>
    <w:rsid w:val="007D540B"/>
    <w:rsid w:val="007D5851"/>
    <w:rsid w:val="007D6F27"/>
    <w:rsid w:val="007D7143"/>
    <w:rsid w:val="007D73B0"/>
    <w:rsid w:val="007D7DC4"/>
    <w:rsid w:val="007E1AE1"/>
    <w:rsid w:val="007E1FFB"/>
    <w:rsid w:val="007E28C3"/>
    <w:rsid w:val="007E2E01"/>
    <w:rsid w:val="007E2F79"/>
    <w:rsid w:val="007E331B"/>
    <w:rsid w:val="007E3D43"/>
    <w:rsid w:val="007E47BF"/>
    <w:rsid w:val="007E50E9"/>
    <w:rsid w:val="007E6B50"/>
    <w:rsid w:val="007E6CFC"/>
    <w:rsid w:val="007F1260"/>
    <w:rsid w:val="007F1AC6"/>
    <w:rsid w:val="007F244B"/>
    <w:rsid w:val="007F26D0"/>
    <w:rsid w:val="007F29EC"/>
    <w:rsid w:val="007F33BB"/>
    <w:rsid w:val="007F4602"/>
    <w:rsid w:val="007F5F0A"/>
    <w:rsid w:val="007F643E"/>
    <w:rsid w:val="007F6BA4"/>
    <w:rsid w:val="007F7405"/>
    <w:rsid w:val="007F77C7"/>
    <w:rsid w:val="008007C3"/>
    <w:rsid w:val="00800D34"/>
    <w:rsid w:val="00800E41"/>
    <w:rsid w:val="0080112F"/>
    <w:rsid w:val="00801556"/>
    <w:rsid w:val="00801857"/>
    <w:rsid w:val="00803213"/>
    <w:rsid w:val="00804617"/>
    <w:rsid w:val="008049A1"/>
    <w:rsid w:val="00805E55"/>
    <w:rsid w:val="00805FB6"/>
    <w:rsid w:val="00805FEA"/>
    <w:rsid w:val="008062B8"/>
    <w:rsid w:val="008065FB"/>
    <w:rsid w:val="00806A27"/>
    <w:rsid w:val="00807169"/>
    <w:rsid w:val="00807495"/>
    <w:rsid w:val="00807A54"/>
    <w:rsid w:val="00807C17"/>
    <w:rsid w:val="00811866"/>
    <w:rsid w:val="0081195F"/>
    <w:rsid w:val="00812E81"/>
    <w:rsid w:val="00813137"/>
    <w:rsid w:val="0081393B"/>
    <w:rsid w:val="008142FA"/>
    <w:rsid w:val="00815B89"/>
    <w:rsid w:val="00816B85"/>
    <w:rsid w:val="00816DAD"/>
    <w:rsid w:val="0081772F"/>
    <w:rsid w:val="008178E4"/>
    <w:rsid w:val="008211A8"/>
    <w:rsid w:val="0082122D"/>
    <w:rsid w:val="00821D8F"/>
    <w:rsid w:val="00822895"/>
    <w:rsid w:val="00823E87"/>
    <w:rsid w:val="00824069"/>
    <w:rsid w:val="008242E1"/>
    <w:rsid w:val="00824C34"/>
    <w:rsid w:val="00824D37"/>
    <w:rsid w:val="0082533E"/>
    <w:rsid w:val="0082588E"/>
    <w:rsid w:val="0082640B"/>
    <w:rsid w:val="00826E87"/>
    <w:rsid w:val="00827840"/>
    <w:rsid w:val="008302C1"/>
    <w:rsid w:val="00830EAE"/>
    <w:rsid w:val="008310EA"/>
    <w:rsid w:val="008315F0"/>
    <w:rsid w:val="00831ADF"/>
    <w:rsid w:val="00834758"/>
    <w:rsid w:val="00835074"/>
    <w:rsid w:val="00835753"/>
    <w:rsid w:val="00835925"/>
    <w:rsid w:val="008359B7"/>
    <w:rsid w:val="00836338"/>
    <w:rsid w:val="0083652F"/>
    <w:rsid w:val="00836D1E"/>
    <w:rsid w:val="00837A25"/>
    <w:rsid w:val="00837F10"/>
    <w:rsid w:val="00840152"/>
    <w:rsid w:val="00841B48"/>
    <w:rsid w:val="00841E39"/>
    <w:rsid w:val="008421F8"/>
    <w:rsid w:val="00844F93"/>
    <w:rsid w:val="00845CB8"/>
    <w:rsid w:val="0084754B"/>
    <w:rsid w:val="008478D0"/>
    <w:rsid w:val="00847950"/>
    <w:rsid w:val="00847C2F"/>
    <w:rsid w:val="00853F37"/>
    <w:rsid w:val="00856136"/>
    <w:rsid w:val="008562EB"/>
    <w:rsid w:val="008570E6"/>
    <w:rsid w:val="008602AE"/>
    <w:rsid w:val="00860392"/>
    <w:rsid w:val="00860ADC"/>
    <w:rsid w:val="0086130A"/>
    <w:rsid w:val="00861832"/>
    <w:rsid w:val="00861864"/>
    <w:rsid w:val="0086193B"/>
    <w:rsid w:val="008632C0"/>
    <w:rsid w:val="0086335B"/>
    <w:rsid w:val="0086359E"/>
    <w:rsid w:val="008639CD"/>
    <w:rsid w:val="0086476D"/>
    <w:rsid w:val="00864E19"/>
    <w:rsid w:val="00866F84"/>
    <w:rsid w:val="00867775"/>
    <w:rsid w:val="00870CE6"/>
    <w:rsid w:val="00870DFD"/>
    <w:rsid w:val="00870EC4"/>
    <w:rsid w:val="00872697"/>
    <w:rsid w:val="00872CE9"/>
    <w:rsid w:val="00873D9D"/>
    <w:rsid w:val="0087422F"/>
    <w:rsid w:val="0087567C"/>
    <w:rsid w:val="008757C3"/>
    <w:rsid w:val="00876CFF"/>
    <w:rsid w:val="00876FC0"/>
    <w:rsid w:val="008803F5"/>
    <w:rsid w:val="00880752"/>
    <w:rsid w:val="008815E2"/>
    <w:rsid w:val="0088280A"/>
    <w:rsid w:val="008836B1"/>
    <w:rsid w:val="00884178"/>
    <w:rsid w:val="00884D19"/>
    <w:rsid w:val="00885301"/>
    <w:rsid w:val="0088736E"/>
    <w:rsid w:val="008876AA"/>
    <w:rsid w:val="00887D67"/>
    <w:rsid w:val="008915AD"/>
    <w:rsid w:val="0089228A"/>
    <w:rsid w:val="00892606"/>
    <w:rsid w:val="00892774"/>
    <w:rsid w:val="008930D1"/>
    <w:rsid w:val="0089462A"/>
    <w:rsid w:val="00894662"/>
    <w:rsid w:val="0089509E"/>
    <w:rsid w:val="008951FD"/>
    <w:rsid w:val="00895C1A"/>
    <w:rsid w:val="0089659A"/>
    <w:rsid w:val="00896C06"/>
    <w:rsid w:val="00896F42"/>
    <w:rsid w:val="008971B2"/>
    <w:rsid w:val="008A2214"/>
    <w:rsid w:val="008A3216"/>
    <w:rsid w:val="008A379D"/>
    <w:rsid w:val="008A4E22"/>
    <w:rsid w:val="008A7206"/>
    <w:rsid w:val="008A7E12"/>
    <w:rsid w:val="008B0D59"/>
    <w:rsid w:val="008B13A7"/>
    <w:rsid w:val="008B1BB1"/>
    <w:rsid w:val="008B1CC7"/>
    <w:rsid w:val="008B2C36"/>
    <w:rsid w:val="008B3705"/>
    <w:rsid w:val="008B38E3"/>
    <w:rsid w:val="008B4730"/>
    <w:rsid w:val="008B6FE0"/>
    <w:rsid w:val="008C11DD"/>
    <w:rsid w:val="008C2187"/>
    <w:rsid w:val="008C255F"/>
    <w:rsid w:val="008C28D3"/>
    <w:rsid w:val="008C2C4A"/>
    <w:rsid w:val="008C327F"/>
    <w:rsid w:val="008C33A3"/>
    <w:rsid w:val="008C3618"/>
    <w:rsid w:val="008C3CA3"/>
    <w:rsid w:val="008C4713"/>
    <w:rsid w:val="008C49ED"/>
    <w:rsid w:val="008C4E0E"/>
    <w:rsid w:val="008C5CCA"/>
    <w:rsid w:val="008C5D3E"/>
    <w:rsid w:val="008C5D63"/>
    <w:rsid w:val="008C5DD8"/>
    <w:rsid w:val="008C7136"/>
    <w:rsid w:val="008C73C5"/>
    <w:rsid w:val="008D005D"/>
    <w:rsid w:val="008D0E86"/>
    <w:rsid w:val="008D26B4"/>
    <w:rsid w:val="008D2BA8"/>
    <w:rsid w:val="008D3809"/>
    <w:rsid w:val="008D6496"/>
    <w:rsid w:val="008D6F6F"/>
    <w:rsid w:val="008D75F7"/>
    <w:rsid w:val="008D7A93"/>
    <w:rsid w:val="008D7B2F"/>
    <w:rsid w:val="008D7D45"/>
    <w:rsid w:val="008E0752"/>
    <w:rsid w:val="008E093F"/>
    <w:rsid w:val="008E0FE1"/>
    <w:rsid w:val="008E1057"/>
    <w:rsid w:val="008E1387"/>
    <w:rsid w:val="008E29AB"/>
    <w:rsid w:val="008E2E72"/>
    <w:rsid w:val="008E3004"/>
    <w:rsid w:val="008E3828"/>
    <w:rsid w:val="008E398A"/>
    <w:rsid w:val="008E40DC"/>
    <w:rsid w:val="008E46DF"/>
    <w:rsid w:val="008E5CDD"/>
    <w:rsid w:val="008E6C3A"/>
    <w:rsid w:val="008F0992"/>
    <w:rsid w:val="008F0D9B"/>
    <w:rsid w:val="008F3CD0"/>
    <w:rsid w:val="008F3E57"/>
    <w:rsid w:val="008F50FB"/>
    <w:rsid w:val="008F51D8"/>
    <w:rsid w:val="008F53B1"/>
    <w:rsid w:val="008F5572"/>
    <w:rsid w:val="008F58E6"/>
    <w:rsid w:val="008F5DC1"/>
    <w:rsid w:val="008F640E"/>
    <w:rsid w:val="008F74A3"/>
    <w:rsid w:val="008F75E0"/>
    <w:rsid w:val="009015A6"/>
    <w:rsid w:val="00901A75"/>
    <w:rsid w:val="0090295C"/>
    <w:rsid w:val="00902F8F"/>
    <w:rsid w:val="00903761"/>
    <w:rsid w:val="00903E20"/>
    <w:rsid w:val="00904C6F"/>
    <w:rsid w:val="00904F63"/>
    <w:rsid w:val="00904F96"/>
    <w:rsid w:val="009055D7"/>
    <w:rsid w:val="009058FD"/>
    <w:rsid w:val="00905F56"/>
    <w:rsid w:val="00906135"/>
    <w:rsid w:val="009074E7"/>
    <w:rsid w:val="00907596"/>
    <w:rsid w:val="009109C5"/>
    <w:rsid w:val="00911A89"/>
    <w:rsid w:val="00912E98"/>
    <w:rsid w:val="00912F3C"/>
    <w:rsid w:val="00915977"/>
    <w:rsid w:val="00916EA8"/>
    <w:rsid w:val="00920E99"/>
    <w:rsid w:val="009218EF"/>
    <w:rsid w:val="0092206C"/>
    <w:rsid w:val="00922334"/>
    <w:rsid w:val="009237F6"/>
    <w:rsid w:val="00923B0D"/>
    <w:rsid w:val="0092465E"/>
    <w:rsid w:val="009248DA"/>
    <w:rsid w:val="00925730"/>
    <w:rsid w:val="00926729"/>
    <w:rsid w:val="00926C55"/>
    <w:rsid w:val="00926DD6"/>
    <w:rsid w:val="0093119E"/>
    <w:rsid w:val="00931E2F"/>
    <w:rsid w:val="00931EF8"/>
    <w:rsid w:val="009320E3"/>
    <w:rsid w:val="00933379"/>
    <w:rsid w:val="00933637"/>
    <w:rsid w:val="009337A2"/>
    <w:rsid w:val="00935043"/>
    <w:rsid w:val="009352E6"/>
    <w:rsid w:val="009355FD"/>
    <w:rsid w:val="00935843"/>
    <w:rsid w:val="00936881"/>
    <w:rsid w:val="00936CD2"/>
    <w:rsid w:val="00937787"/>
    <w:rsid w:val="00937B31"/>
    <w:rsid w:val="00937D15"/>
    <w:rsid w:val="0094072F"/>
    <w:rsid w:val="0094170C"/>
    <w:rsid w:val="00941D00"/>
    <w:rsid w:val="00942831"/>
    <w:rsid w:val="00942F12"/>
    <w:rsid w:val="0094407D"/>
    <w:rsid w:val="009442B9"/>
    <w:rsid w:val="00945040"/>
    <w:rsid w:val="00945C23"/>
    <w:rsid w:val="009465D3"/>
    <w:rsid w:val="00946983"/>
    <w:rsid w:val="00950E1D"/>
    <w:rsid w:val="009515AA"/>
    <w:rsid w:val="00951A39"/>
    <w:rsid w:val="00951A89"/>
    <w:rsid w:val="0095350A"/>
    <w:rsid w:val="00954240"/>
    <w:rsid w:val="00954C7E"/>
    <w:rsid w:val="009551B4"/>
    <w:rsid w:val="0095588D"/>
    <w:rsid w:val="00955FBC"/>
    <w:rsid w:val="0095675D"/>
    <w:rsid w:val="00956D91"/>
    <w:rsid w:val="0096022D"/>
    <w:rsid w:val="00960E8A"/>
    <w:rsid w:val="00961382"/>
    <w:rsid w:val="00961439"/>
    <w:rsid w:val="00963534"/>
    <w:rsid w:val="00965ED7"/>
    <w:rsid w:val="0096615E"/>
    <w:rsid w:val="00966F1C"/>
    <w:rsid w:val="00967456"/>
    <w:rsid w:val="00971155"/>
    <w:rsid w:val="00972D3C"/>
    <w:rsid w:val="00972DD6"/>
    <w:rsid w:val="009731AF"/>
    <w:rsid w:val="009745C8"/>
    <w:rsid w:val="0097475D"/>
    <w:rsid w:val="0097482E"/>
    <w:rsid w:val="00974898"/>
    <w:rsid w:val="00974AFF"/>
    <w:rsid w:val="00974F37"/>
    <w:rsid w:val="00975420"/>
    <w:rsid w:val="00975776"/>
    <w:rsid w:val="0097578B"/>
    <w:rsid w:val="00975AD7"/>
    <w:rsid w:val="009760E4"/>
    <w:rsid w:val="009761CC"/>
    <w:rsid w:val="0097661F"/>
    <w:rsid w:val="00976C4C"/>
    <w:rsid w:val="00977570"/>
    <w:rsid w:val="00977F65"/>
    <w:rsid w:val="009800DE"/>
    <w:rsid w:val="009804B3"/>
    <w:rsid w:val="00981111"/>
    <w:rsid w:val="00981C60"/>
    <w:rsid w:val="0098263F"/>
    <w:rsid w:val="00982702"/>
    <w:rsid w:val="0098286E"/>
    <w:rsid w:val="00983DA8"/>
    <w:rsid w:val="00984E32"/>
    <w:rsid w:val="00985288"/>
    <w:rsid w:val="00987537"/>
    <w:rsid w:val="00987D68"/>
    <w:rsid w:val="009900C0"/>
    <w:rsid w:val="009902C8"/>
    <w:rsid w:val="009904CA"/>
    <w:rsid w:val="0099063A"/>
    <w:rsid w:val="009910FD"/>
    <w:rsid w:val="00991221"/>
    <w:rsid w:val="009921A0"/>
    <w:rsid w:val="009923EF"/>
    <w:rsid w:val="0099450F"/>
    <w:rsid w:val="00994EAF"/>
    <w:rsid w:val="00995231"/>
    <w:rsid w:val="00996EF3"/>
    <w:rsid w:val="00997171"/>
    <w:rsid w:val="009A017C"/>
    <w:rsid w:val="009A073F"/>
    <w:rsid w:val="009A0914"/>
    <w:rsid w:val="009A0DEF"/>
    <w:rsid w:val="009A19F4"/>
    <w:rsid w:val="009A265B"/>
    <w:rsid w:val="009A2875"/>
    <w:rsid w:val="009A2F2B"/>
    <w:rsid w:val="009A3459"/>
    <w:rsid w:val="009A395A"/>
    <w:rsid w:val="009A504D"/>
    <w:rsid w:val="009A5513"/>
    <w:rsid w:val="009A57C5"/>
    <w:rsid w:val="009A6BE2"/>
    <w:rsid w:val="009A7330"/>
    <w:rsid w:val="009B09AA"/>
    <w:rsid w:val="009B2A2F"/>
    <w:rsid w:val="009B3377"/>
    <w:rsid w:val="009B36C7"/>
    <w:rsid w:val="009B3A57"/>
    <w:rsid w:val="009B5BBD"/>
    <w:rsid w:val="009B6393"/>
    <w:rsid w:val="009B6865"/>
    <w:rsid w:val="009B6EAD"/>
    <w:rsid w:val="009B71B8"/>
    <w:rsid w:val="009B7434"/>
    <w:rsid w:val="009B7445"/>
    <w:rsid w:val="009B775A"/>
    <w:rsid w:val="009B7CAE"/>
    <w:rsid w:val="009C05A7"/>
    <w:rsid w:val="009C05DC"/>
    <w:rsid w:val="009C225F"/>
    <w:rsid w:val="009C2E4D"/>
    <w:rsid w:val="009C535C"/>
    <w:rsid w:val="009C5A6A"/>
    <w:rsid w:val="009C6C43"/>
    <w:rsid w:val="009D095A"/>
    <w:rsid w:val="009D0FE8"/>
    <w:rsid w:val="009D2210"/>
    <w:rsid w:val="009D2EC6"/>
    <w:rsid w:val="009D3A46"/>
    <w:rsid w:val="009D44F4"/>
    <w:rsid w:val="009D478D"/>
    <w:rsid w:val="009D5B92"/>
    <w:rsid w:val="009D5D1A"/>
    <w:rsid w:val="009D6B88"/>
    <w:rsid w:val="009D6E61"/>
    <w:rsid w:val="009D7633"/>
    <w:rsid w:val="009D780C"/>
    <w:rsid w:val="009D7F17"/>
    <w:rsid w:val="009E0EC2"/>
    <w:rsid w:val="009E11DB"/>
    <w:rsid w:val="009E2E05"/>
    <w:rsid w:val="009E4C07"/>
    <w:rsid w:val="009E5FF7"/>
    <w:rsid w:val="009E6FA4"/>
    <w:rsid w:val="009E73CA"/>
    <w:rsid w:val="009F0795"/>
    <w:rsid w:val="009F09A8"/>
    <w:rsid w:val="009F14AB"/>
    <w:rsid w:val="009F1DBF"/>
    <w:rsid w:val="009F2093"/>
    <w:rsid w:val="009F27D7"/>
    <w:rsid w:val="009F284F"/>
    <w:rsid w:val="009F2A3D"/>
    <w:rsid w:val="009F2F2D"/>
    <w:rsid w:val="009F373C"/>
    <w:rsid w:val="009F4533"/>
    <w:rsid w:val="009F614C"/>
    <w:rsid w:val="009F6457"/>
    <w:rsid w:val="00A005FA"/>
    <w:rsid w:val="00A01CE6"/>
    <w:rsid w:val="00A0237A"/>
    <w:rsid w:val="00A02F5F"/>
    <w:rsid w:val="00A031DA"/>
    <w:rsid w:val="00A0333D"/>
    <w:rsid w:val="00A10500"/>
    <w:rsid w:val="00A1251F"/>
    <w:rsid w:val="00A127AC"/>
    <w:rsid w:val="00A12F34"/>
    <w:rsid w:val="00A1326A"/>
    <w:rsid w:val="00A135BF"/>
    <w:rsid w:val="00A13815"/>
    <w:rsid w:val="00A1386C"/>
    <w:rsid w:val="00A13B36"/>
    <w:rsid w:val="00A140EA"/>
    <w:rsid w:val="00A14BC5"/>
    <w:rsid w:val="00A14D0A"/>
    <w:rsid w:val="00A15C5D"/>
    <w:rsid w:val="00A15DAD"/>
    <w:rsid w:val="00A163AE"/>
    <w:rsid w:val="00A1658C"/>
    <w:rsid w:val="00A20756"/>
    <w:rsid w:val="00A20C92"/>
    <w:rsid w:val="00A2128E"/>
    <w:rsid w:val="00A214B2"/>
    <w:rsid w:val="00A21B8B"/>
    <w:rsid w:val="00A221EB"/>
    <w:rsid w:val="00A22E25"/>
    <w:rsid w:val="00A23A09"/>
    <w:rsid w:val="00A23EDE"/>
    <w:rsid w:val="00A24560"/>
    <w:rsid w:val="00A24C4C"/>
    <w:rsid w:val="00A24E72"/>
    <w:rsid w:val="00A24EC0"/>
    <w:rsid w:val="00A253EC"/>
    <w:rsid w:val="00A256B5"/>
    <w:rsid w:val="00A258CA"/>
    <w:rsid w:val="00A25F6A"/>
    <w:rsid w:val="00A26A2D"/>
    <w:rsid w:val="00A27910"/>
    <w:rsid w:val="00A30220"/>
    <w:rsid w:val="00A3151D"/>
    <w:rsid w:val="00A329C5"/>
    <w:rsid w:val="00A3395C"/>
    <w:rsid w:val="00A35946"/>
    <w:rsid w:val="00A36FBD"/>
    <w:rsid w:val="00A37C7F"/>
    <w:rsid w:val="00A37EB1"/>
    <w:rsid w:val="00A40677"/>
    <w:rsid w:val="00A40784"/>
    <w:rsid w:val="00A4080B"/>
    <w:rsid w:val="00A411DE"/>
    <w:rsid w:val="00A4145D"/>
    <w:rsid w:val="00A418E1"/>
    <w:rsid w:val="00A41D7E"/>
    <w:rsid w:val="00A420EE"/>
    <w:rsid w:val="00A42A74"/>
    <w:rsid w:val="00A4319F"/>
    <w:rsid w:val="00A439A5"/>
    <w:rsid w:val="00A4436D"/>
    <w:rsid w:val="00A44984"/>
    <w:rsid w:val="00A44DC7"/>
    <w:rsid w:val="00A44F4D"/>
    <w:rsid w:val="00A457C0"/>
    <w:rsid w:val="00A45AD6"/>
    <w:rsid w:val="00A460EA"/>
    <w:rsid w:val="00A4670E"/>
    <w:rsid w:val="00A46CF8"/>
    <w:rsid w:val="00A47FD5"/>
    <w:rsid w:val="00A507AD"/>
    <w:rsid w:val="00A516E0"/>
    <w:rsid w:val="00A51EA4"/>
    <w:rsid w:val="00A52C2B"/>
    <w:rsid w:val="00A52F46"/>
    <w:rsid w:val="00A53763"/>
    <w:rsid w:val="00A56FF1"/>
    <w:rsid w:val="00A57051"/>
    <w:rsid w:val="00A5715D"/>
    <w:rsid w:val="00A57BBE"/>
    <w:rsid w:val="00A60111"/>
    <w:rsid w:val="00A61706"/>
    <w:rsid w:val="00A61A6A"/>
    <w:rsid w:val="00A62052"/>
    <w:rsid w:val="00A62CA4"/>
    <w:rsid w:val="00A63129"/>
    <w:rsid w:val="00A63190"/>
    <w:rsid w:val="00A631BE"/>
    <w:rsid w:val="00A63376"/>
    <w:rsid w:val="00A638ED"/>
    <w:rsid w:val="00A652C3"/>
    <w:rsid w:val="00A657F0"/>
    <w:rsid w:val="00A65DBA"/>
    <w:rsid w:val="00A679FD"/>
    <w:rsid w:val="00A67C14"/>
    <w:rsid w:val="00A67C2D"/>
    <w:rsid w:val="00A67F23"/>
    <w:rsid w:val="00A703A7"/>
    <w:rsid w:val="00A70AD5"/>
    <w:rsid w:val="00A71183"/>
    <w:rsid w:val="00A71E6A"/>
    <w:rsid w:val="00A71F2C"/>
    <w:rsid w:val="00A72914"/>
    <w:rsid w:val="00A72942"/>
    <w:rsid w:val="00A72BBE"/>
    <w:rsid w:val="00A73CCA"/>
    <w:rsid w:val="00A73F13"/>
    <w:rsid w:val="00A747B0"/>
    <w:rsid w:val="00A751DB"/>
    <w:rsid w:val="00A753D3"/>
    <w:rsid w:val="00A76AEB"/>
    <w:rsid w:val="00A76CCD"/>
    <w:rsid w:val="00A76E4D"/>
    <w:rsid w:val="00A772E8"/>
    <w:rsid w:val="00A77EBC"/>
    <w:rsid w:val="00A8014B"/>
    <w:rsid w:val="00A80D51"/>
    <w:rsid w:val="00A81807"/>
    <w:rsid w:val="00A81D38"/>
    <w:rsid w:val="00A81F22"/>
    <w:rsid w:val="00A81FEA"/>
    <w:rsid w:val="00A82653"/>
    <w:rsid w:val="00A82CD9"/>
    <w:rsid w:val="00A82F10"/>
    <w:rsid w:val="00A852C7"/>
    <w:rsid w:val="00A87645"/>
    <w:rsid w:val="00A876E7"/>
    <w:rsid w:val="00A879E0"/>
    <w:rsid w:val="00A90EE2"/>
    <w:rsid w:val="00A92783"/>
    <w:rsid w:val="00A92A61"/>
    <w:rsid w:val="00A92FC5"/>
    <w:rsid w:val="00A9429C"/>
    <w:rsid w:val="00A9429D"/>
    <w:rsid w:val="00A942A0"/>
    <w:rsid w:val="00A94670"/>
    <w:rsid w:val="00A9554B"/>
    <w:rsid w:val="00A96F4E"/>
    <w:rsid w:val="00AA1969"/>
    <w:rsid w:val="00AA2E3B"/>
    <w:rsid w:val="00AA3C80"/>
    <w:rsid w:val="00AA471B"/>
    <w:rsid w:val="00AA48AB"/>
    <w:rsid w:val="00AA5E3F"/>
    <w:rsid w:val="00AB0E6E"/>
    <w:rsid w:val="00AB21DE"/>
    <w:rsid w:val="00AB253F"/>
    <w:rsid w:val="00AB430C"/>
    <w:rsid w:val="00AB4901"/>
    <w:rsid w:val="00AB4FAF"/>
    <w:rsid w:val="00AB51E3"/>
    <w:rsid w:val="00AB5420"/>
    <w:rsid w:val="00AB59E2"/>
    <w:rsid w:val="00AB6663"/>
    <w:rsid w:val="00AB77FE"/>
    <w:rsid w:val="00AC1990"/>
    <w:rsid w:val="00AC1A31"/>
    <w:rsid w:val="00AC1F78"/>
    <w:rsid w:val="00AC2616"/>
    <w:rsid w:val="00AC36AA"/>
    <w:rsid w:val="00AC3A7C"/>
    <w:rsid w:val="00AC3E42"/>
    <w:rsid w:val="00AC463A"/>
    <w:rsid w:val="00AC4F55"/>
    <w:rsid w:val="00AC6598"/>
    <w:rsid w:val="00AC6B9E"/>
    <w:rsid w:val="00AC73DB"/>
    <w:rsid w:val="00AC7CD0"/>
    <w:rsid w:val="00AD0D23"/>
    <w:rsid w:val="00AD15BB"/>
    <w:rsid w:val="00AD19F1"/>
    <w:rsid w:val="00AD1F0A"/>
    <w:rsid w:val="00AD317A"/>
    <w:rsid w:val="00AD421E"/>
    <w:rsid w:val="00AD4B2A"/>
    <w:rsid w:val="00AD4FA2"/>
    <w:rsid w:val="00AD5BB7"/>
    <w:rsid w:val="00AD5D8D"/>
    <w:rsid w:val="00AD7CE5"/>
    <w:rsid w:val="00AE0119"/>
    <w:rsid w:val="00AE21F3"/>
    <w:rsid w:val="00AE248B"/>
    <w:rsid w:val="00AE2B68"/>
    <w:rsid w:val="00AE3228"/>
    <w:rsid w:val="00AE3345"/>
    <w:rsid w:val="00AE3497"/>
    <w:rsid w:val="00AE45D0"/>
    <w:rsid w:val="00AE497B"/>
    <w:rsid w:val="00AE668D"/>
    <w:rsid w:val="00AE7AC9"/>
    <w:rsid w:val="00AE7B3B"/>
    <w:rsid w:val="00AE7DBA"/>
    <w:rsid w:val="00AF00B4"/>
    <w:rsid w:val="00AF085F"/>
    <w:rsid w:val="00AF0994"/>
    <w:rsid w:val="00AF0C7B"/>
    <w:rsid w:val="00AF0EE4"/>
    <w:rsid w:val="00AF1913"/>
    <w:rsid w:val="00AF1E9B"/>
    <w:rsid w:val="00AF26C3"/>
    <w:rsid w:val="00AF313F"/>
    <w:rsid w:val="00AF3550"/>
    <w:rsid w:val="00AF3556"/>
    <w:rsid w:val="00AF47AA"/>
    <w:rsid w:val="00AF4801"/>
    <w:rsid w:val="00AF5CC0"/>
    <w:rsid w:val="00AF6CFC"/>
    <w:rsid w:val="00AF6EFF"/>
    <w:rsid w:val="00AF6F03"/>
    <w:rsid w:val="00AF70BA"/>
    <w:rsid w:val="00AF74EC"/>
    <w:rsid w:val="00AF7C9E"/>
    <w:rsid w:val="00AF7EC6"/>
    <w:rsid w:val="00B00115"/>
    <w:rsid w:val="00B007E5"/>
    <w:rsid w:val="00B00AF4"/>
    <w:rsid w:val="00B00C8B"/>
    <w:rsid w:val="00B012A9"/>
    <w:rsid w:val="00B05D8E"/>
    <w:rsid w:val="00B0693B"/>
    <w:rsid w:val="00B06AA0"/>
    <w:rsid w:val="00B06BBD"/>
    <w:rsid w:val="00B06E9A"/>
    <w:rsid w:val="00B07215"/>
    <w:rsid w:val="00B07821"/>
    <w:rsid w:val="00B078E7"/>
    <w:rsid w:val="00B07A10"/>
    <w:rsid w:val="00B11D88"/>
    <w:rsid w:val="00B12F36"/>
    <w:rsid w:val="00B132EF"/>
    <w:rsid w:val="00B146A0"/>
    <w:rsid w:val="00B1490A"/>
    <w:rsid w:val="00B14BB0"/>
    <w:rsid w:val="00B15BFA"/>
    <w:rsid w:val="00B15F15"/>
    <w:rsid w:val="00B165A3"/>
    <w:rsid w:val="00B1724F"/>
    <w:rsid w:val="00B17C64"/>
    <w:rsid w:val="00B17ED3"/>
    <w:rsid w:val="00B20614"/>
    <w:rsid w:val="00B206AB"/>
    <w:rsid w:val="00B213D6"/>
    <w:rsid w:val="00B21FA8"/>
    <w:rsid w:val="00B2233A"/>
    <w:rsid w:val="00B22D4C"/>
    <w:rsid w:val="00B235EC"/>
    <w:rsid w:val="00B237D6"/>
    <w:rsid w:val="00B24557"/>
    <w:rsid w:val="00B25A61"/>
    <w:rsid w:val="00B25F78"/>
    <w:rsid w:val="00B26166"/>
    <w:rsid w:val="00B2675D"/>
    <w:rsid w:val="00B272FA"/>
    <w:rsid w:val="00B27632"/>
    <w:rsid w:val="00B278B8"/>
    <w:rsid w:val="00B301F9"/>
    <w:rsid w:val="00B30ACC"/>
    <w:rsid w:val="00B315BA"/>
    <w:rsid w:val="00B31725"/>
    <w:rsid w:val="00B31D9E"/>
    <w:rsid w:val="00B33998"/>
    <w:rsid w:val="00B33B16"/>
    <w:rsid w:val="00B33C70"/>
    <w:rsid w:val="00B33CD4"/>
    <w:rsid w:val="00B3550A"/>
    <w:rsid w:val="00B35AC7"/>
    <w:rsid w:val="00B36456"/>
    <w:rsid w:val="00B3665B"/>
    <w:rsid w:val="00B36FD6"/>
    <w:rsid w:val="00B3748C"/>
    <w:rsid w:val="00B37810"/>
    <w:rsid w:val="00B37B44"/>
    <w:rsid w:val="00B4019F"/>
    <w:rsid w:val="00B4031B"/>
    <w:rsid w:val="00B43136"/>
    <w:rsid w:val="00B4479A"/>
    <w:rsid w:val="00B4521B"/>
    <w:rsid w:val="00B460CD"/>
    <w:rsid w:val="00B46D22"/>
    <w:rsid w:val="00B47E4D"/>
    <w:rsid w:val="00B50369"/>
    <w:rsid w:val="00B50AF0"/>
    <w:rsid w:val="00B518A7"/>
    <w:rsid w:val="00B528D5"/>
    <w:rsid w:val="00B530AF"/>
    <w:rsid w:val="00B53929"/>
    <w:rsid w:val="00B549C5"/>
    <w:rsid w:val="00B5502B"/>
    <w:rsid w:val="00B559D9"/>
    <w:rsid w:val="00B62E84"/>
    <w:rsid w:val="00B632B8"/>
    <w:rsid w:val="00B6355C"/>
    <w:rsid w:val="00B63E15"/>
    <w:rsid w:val="00B6524A"/>
    <w:rsid w:val="00B65555"/>
    <w:rsid w:val="00B65581"/>
    <w:rsid w:val="00B6740E"/>
    <w:rsid w:val="00B678A5"/>
    <w:rsid w:val="00B67B9E"/>
    <w:rsid w:val="00B70319"/>
    <w:rsid w:val="00B70728"/>
    <w:rsid w:val="00B73815"/>
    <w:rsid w:val="00B73FDA"/>
    <w:rsid w:val="00B7443E"/>
    <w:rsid w:val="00B74569"/>
    <w:rsid w:val="00B74E3F"/>
    <w:rsid w:val="00B806BB"/>
    <w:rsid w:val="00B84F0B"/>
    <w:rsid w:val="00B8630A"/>
    <w:rsid w:val="00B86DDB"/>
    <w:rsid w:val="00B906F4"/>
    <w:rsid w:val="00B927EF"/>
    <w:rsid w:val="00B92AC9"/>
    <w:rsid w:val="00B93643"/>
    <w:rsid w:val="00B9385D"/>
    <w:rsid w:val="00B94FC6"/>
    <w:rsid w:val="00B9531C"/>
    <w:rsid w:val="00B95495"/>
    <w:rsid w:val="00B968AB"/>
    <w:rsid w:val="00B96CB0"/>
    <w:rsid w:val="00B96CE8"/>
    <w:rsid w:val="00BA036E"/>
    <w:rsid w:val="00BA1161"/>
    <w:rsid w:val="00BA179D"/>
    <w:rsid w:val="00BA1B33"/>
    <w:rsid w:val="00BA2109"/>
    <w:rsid w:val="00BA2B87"/>
    <w:rsid w:val="00BA2D03"/>
    <w:rsid w:val="00BA40ED"/>
    <w:rsid w:val="00BA5818"/>
    <w:rsid w:val="00BA5A04"/>
    <w:rsid w:val="00BA5C1C"/>
    <w:rsid w:val="00BA622E"/>
    <w:rsid w:val="00BA6F7D"/>
    <w:rsid w:val="00BA721C"/>
    <w:rsid w:val="00BB14EE"/>
    <w:rsid w:val="00BB29B3"/>
    <w:rsid w:val="00BB2DE5"/>
    <w:rsid w:val="00BB3B6C"/>
    <w:rsid w:val="00BB3E2F"/>
    <w:rsid w:val="00BB433D"/>
    <w:rsid w:val="00BB5143"/>
    <w:rsid w:val="00BB5726"/>
    <w:rsid w:val="00BB59B9"/>
    <w:rsid w:val="00BB661D"/>
    <w:rsid w:val="00BB7BBB"/>
    <w:rsid w:val="00BC1B89"/>
    <w:rsid w:val="00BC227A"/>
    <w:rsid w:val="00BC3D47"/>
    <w:rsid w:val="00BC436B"/>
    <w:rsid w:val="00BC515F"/>
    <w:rsid w:val="00BC6D10"/>
    <w:rsid w:val="00BC6E09"/>
    <w:rsid w:val="00BD164F"/>
    <w:rsid w:val="00BD1B17"/>
    <w:rsid w:val="00BD23F7"/>
    <w:rsid w:val="00BD26D8"/>
    <w:rsid w:val="00BD29DB"/>
    <w:rsid w:val="00BD3440"/>
    <w:rsid w:val="00BD37EC"/>
    <w:rsid w:val="00BD3AAD"/>
    <w:rsid w:val="00BD3B07"/>
    <w:rsid w:val="00BD4118"/>
    <w:rsid w:val="00BD41D4"/>
    <w:rsid w:val="00BD471C"/>
    <w:rsid w:val="00BD6543"/>
    <w:rsid w:val="00BD7ED6"/>
    <w:rsid w:val="00BE00AC"/>
    <w:rsid w:val="00BE050C"/>
    <w:rsid w:val="00BE0D24"/>
    <w:rsid w:val="00BE0EF6"/>
    <w:rsid w:val="00BE22CC"/>
    <w:rsid w:val="00BE2DB4"/>
    <w:rsid w:val="00BE2F1B"/>
    <w:rsid w:val="00BE36DE"/>
    <w:rsid w:val="00BE38FC"/>
    <w:rsid w:val="00BE4572"/>
    <w:rsid w:val="00BF0448"/>
    <w:rsid w:val="00BF04CD"/>
    <w:rsid w:val="00BF1047"/>
    <w:rsid w:val="00BF1870"/>
    <w:rsid w:val="00BF2B29"/>
    <w:rsid w:val="00BF3460"/>
    <w:rsid w:val="00BF3B8B"/>
    <w:rsid w:val="00BF4BA5"/>
    <w:rsid w:val="00BF4D51"/>
    <w:rsid w:val="00BF6CB9"/>
    <w:rsid w:val="00BF6F59"/>
    <w:rsid w:val="00BF7081"/>
    <w:rsid w:val="00BF7C23"/>
    <w:rsid w:val="00C00A5A"/>
    <w:rsid w:val="00C01272"/>
    <w:rsid w:val="00C01609"/>
    <w:rsid w:val="00C021A9"/>
    <w:rsid w:val="00C02AC2"/>
    <w:rsid w:val="00C02B9D"/>
    <w:rsid w:val="00C03EED"/>
    <w:rsid w:val="00C03F18"/>
    <w:rsid w:val="00C04944"/>
    <w:rsid w:val="00C054E9"/>
    <w:rsid w:val="00C06630"/>
    <w:rsid w:val="00C06F8C"/>
    <w:rsid w:val="00C07AC7"/>
    <w:rsid w:val="00C104F3"/>
    <w:rsid w:val="00C10F34"/>
    <w:rsid w:val="00C1183D"/>
    <w:rsid w:val="00C11E4B"/>
    <w:rsid w:val="00C17506"/>
    <w:rsid w:val="00C17A68"/>
    <w:rsid w:val="00C21026"/>
    <w:rsid w:val="00C22058"/>
    <w:rsid w:val="00C227AC"/>
    <w:rsid w:val="00C23F95"/>
    <w:rsid w:val="00C243C3"/>
    <w:rsid w:val="00C24D08"/>
    <w:rsid w:val="00C25847"/>
    <w:rsid w:val="00C27067"/>
    <w:rsid w:val="00C301ED"/>
    <w:rsid w:val="00C30DB4"/>
    <w:rsid w:val="00C30E0E"/>
    <w:rsid w:val="00C30EA2"/>
    <w:rsid w:val="00C31344"/>
    <w:rsid w:val="00C318F8"/>
    <w:rsid w:val="00C31F57"/>
    <w:rsid w:val="00C321DF"/>
    <w:rsid w:val="00C323AC"/>
    <w:rsid w:val="00C323CE"/>
    <w:rsid w:val="00C3330B"/>
    <w:rsid w:val="00C33DDF"/>
    <w:rsid w:val="00C34D9E"/>
    <w:rsid w:val="00C3553D"/>
    <w:rsid w:val="00C363E2"/>
    <w:rsid w:val="00C37213"/>
    <w:rsid w:val="00C41EBA"/>
    <w:rsid w:val="00C4353A"/>
    <w:rsid w:val="00C44D8E"/>
    <w:rsid w:val="00C44E3D"/>
    <w:rsid w:val="00C45060"/>
    <w:rsid w:val="00C45C1B"/>
    <w:rsid w:val="00C45E93"/>
    <w:rsid w:val="00C46628"/>
    <w:rsid w:val="00C47932"/>
    <w:rsid w:val="00C51E8D"/>
    <w:rsid w:val="00C52F02"/>
    <w:rsid w:val="00C5337A"/>
    <w:rsid w:val="00C53FE1"/>
    <w:rsid w:val="00C54AB6"/>
    <w:rsid w:val="00C54BDD"/>
    <w:rsid w:val="00C54C8F"/>
    <w:rsid w:val="00C5647D"/>
    <w:rsid w:val="00C60086"/>
    <w:rsid w:val="00C60D7B"/>
    <w:rsid w:val="00C6160F"/>
    <w:rsid w:val="00C61F90"/>
    <w:rsid w:val="00C62D9E"/>
    <w:rsid w:val="00C6313E"/>
    <w:rsid w:val="00C6318B"/>
    <w:rsid w:val="00C64261"/>
    <w:rsid w:val="00C649A5"/>
    <w:rsid w:val="00C64E04"/>
    <w:rsid w:val="00C64E51"/>
    <w:rsid w:val="00C650C4"/>
    <w:rsid w:val="00C65A05"/>
    <w:rsid w:val="00C65A47"/>
    <w:rsid w:val="00C6651A"/>
    <w:rsid w:val="00C6654F"/>
    <w:rsid w:val="00C66689"/>
    <w:rsid w:val="00C66AAB"/>
    <w:rsid w:val="00C7074E"/>
    <w:rsid w:val="00C7289B"/>
    <w:rsid w:val="00C732F7"/>
    <w:rsid w:val="00C73957"/>
    <w:rsid w:val="00C74058"/>
    <w:rsid w:val="00C750C5"/>
    <w:rsid w:val="00C7615B"/>
    <w:rsid w:val="00C76240"/>
    <w:rsid w:val="00C7657D"/>
    <w:rsid w:val="00C76E2D"/>
    <w:rsid w:val="00C77037"/>
    <w:rsid w:val="00C77AC4"/>
    <w:rsid w:val="00C805C1"/>
    <w:rsid w:val="00C82243"/>
    <w:rsid w:val="00C825E7"/>
    <w:rsid w:val="00C827B7"/>
    <w:rsid w:val="00C82CB2"/>
    <w:rsid w:val="00C83864"/>
    <w:rsid w:val="00C843C6"/>
    <w:rsid w:val="00C8441E"/>
    <w:rsid w:val="00C846BE"/>
    <w:rsid w:val="00C84B79"/>
    <w:rsid w:val="00C852DA"/>
    <w:rsid w:val="00C856BC"/>
    <w:rsid w:val="00C85ADB"/>
    <w:rsid w:val="00C85B7F"/>
    <w:rsid w:val="00C86925"/>
    <w:rsid w:val="00C86D92"/>
    <w:rsid w:val="00C86F24"/>
    <w:rsid w:val="00C87083"/>
    <w:rsid w:val="00C907AC"/>
    <w:rsid w:val="00C90C85"/>
    <w:rsid w:val="00C90FFB"/>
    <w:rsid w:val="00C910DC"/>
    <w:rsid w:val="00C91101"/>
    <w:rsid w:val="00C9206D"/>
    <w:rsid w:val="00C921AC"/>
    <w:rsid w:val="00C92551"/>
    <w:rsid w:val="00C925D5"/>
    <w:rsid w:val="00C92849"/>
    <w:rsid w:val="00C9344F"/>
    <w:rsid w:val="00C942C7"/>
    <w:rsid w:val="00C943B2"/>
    <w:rsid w:val="00C94BFC"/>
    <w:rsid w:val="00C96F1B"/>
    <w:rsid w:val="00C972B9"/>
    <w:rsid w:val="00CA00B8"/>
    <w:rsid w:val="00CA191C"/>
    <w:rsid w:val="00CA352F"/>
    <w:rsid w:val="00CA3C62"/>
    <w:rsid w:val="00CA45A0"/>
    <w:rsid w:val="00CA5A1F"/>
    <w:rsid w:val="00CA60B7"/>
    <w:rsid w:val="00CB0628"/>
    <w:rsid w:val="00CB1144"/>
    <w:rsid w:val="00CB118B"/>
    <w:rsid w:val="00CB15DA"/>
    <w:rsid w:val="00CB2242"/>
    <w:rsid w:val="00CB43C2"/>
    <w:rsid w:val="00CB63DF"/>
    <w:rsid w:val="00CB6F0B"/>
    <w:rsid w:val="00CB77F5"/>
    <w:rsid w:val="00CB7FF1"/>
    <w:rsid w:val="00CC0458"/>
    <w:rsid w:val="00CC0581"/>
    <w:rsid w:val="00CC173E"/>
    <w:rsid w:val="00CC2406"/>
    <w:rsid w:val="00CC2633"/>
    <w:rsid w:val="00CC2F2A"/>
    <w:rsid w:val="00CC3466"/>
    <w:rsid w:val="00CC3686"/>
    <w:rsid w:val="00CC505A"/>
    <w:rsid w:val="00CC5227"/>
    <w:rsid w:val="00CC681A"/>
    <w:rsid w:val="00CC6F00"/>
    <w:rsid w:val="00CD041F"/>
    <w:rsid w:val="00CD2403"/>
    <w:rsid w:val="00CD245D"/>
    <w:rsid w:val="00CD33F2"/>
    <w:rsid w:val="00CD39A4"/>
    <w:rsid w:val="00CD3B11"/>
    <w:rsid w:val="00CD491F"/>
    <w:rsid w:val="00CD56FA"/>
    <w:rsid w:val="00CD5D1C"/>
    <w:rsid w:val="00CD5D2F"/>
    <w:rsid w:val="00CD6B71"/>
    <w:rsid w:val="00CD6F27"/>
    <w:rsid w:val="00CE0BED"/>
    <w:rsid w:val="00CE0DCD"/>
    <w:rsid w:val="00CE1590"/>
    <w:rsid w:val="00CE169E"/>
    <w:rsid w:val="00CE20FB"/>
    <w:rsid w:val="00CE2D46"/>
    <w:rsid w:val="00CE3331"/>
    <w:rsid w:val="00CE3626"/>
    <w:rsid w:val="00CE3C7B"/>
    <w:rsid w:val="00CE42F1"/>
    <w:rsid w:val="00CE42F5"/>
    <w:rsid w:val="00CE50B4"/>
    <w:rsid w:val="00CE6523"/>
    <w:rsid w:val="00CF0CBC"/>
    <w:rsid w:val="00CF148A"/>
    <w:rsid w:val="00CF2506"/>
    <w:rsid w:val="00CF3BB8"/>
    <w:rsid w:val="00CF46A6"/>
    <w:rsid w:val="00CF5F8C"/>
    <w:rsid w:val="00CF6278"/>
    <w:rsid w:val="00CF776C"/>
    <w:rsid w:val="00D01C78"/>
    <w:rsid w:val="00D03437"/>
    <w:rsid w:val="00D035AD"/>
    <w:rsid w:val="00D03C80"/>
    <w:rsid w:val="00D03F9E"/>
    <w:rsid w:val="00D0423A"/>
    <w:rsid w:val="00D04CE0"/>
    <w:rsid w:val="00D051D5"/>
    <w:rsid w:val="00D052AF"/>
    <w:rsid w:val="00D060AA"/>
    <w:rsid w:val="00D07698"/>
    <w:rsid w:val="00D11C58"/>
    <w:rsid w:val="00D12A55"/>
    <w:rsid w:val="00D12BF6"/>
    <w:rsid w:val="00D13446"/>
    <w:rsid w:val="00D137AF"/>
    <w:rsid w:val="00D13BAE"/>
    <w:rsid w:val="00D14134"/>
    <w:rsid w:val="00D151D8"/>
    <w:rsid w:val="00D15402"/>
    <w:rsid w:val="00D15B3C"/>
    <w:rsid w:val="00D166E7"/>
    <w:rsid w:val="00D17802"/>
    <w:rsid w:val="00D17AA4"/>
    <w:rsid w:val="00D17FC5"/>
    <w:rsid w:val="00D20248"/>
    <w:rsid w:val="00D22FEF"/>
    <w:rsid w:val="00D233E3"/>
    <w:rsid w:val="00D24F5F"/>
    <w:rsid w:val="00D250F9"/>
    <w:rsid w:val="00D269A7"/>
    <w:rsid w:val="00D26D3E"/>
    <w:rsid w:val="00D301C7"/>
    <w:rsid w:val="00D30463"/>
    <w:rsid w:val="00D3276A"/>
    <w:rsid w:val="00D32DF1"/>
    <w:rsid w:val="00D33C7A"/>
    <w:rsid w:val="00D351ED"/>
    <w:rsid w:val="00D36257"/>
    <w:rsid w:val="00D36934"/>
    <w:rsid w:val="00D36D4F"/>
    <w:rsid w:val="00D376ED"/>
    <w:rsid w:val="00D3789B"/>
    <w:rsid w:val="00D3793F"/>
    <w:rsid w:val="00D40B37"/>
    <w:rsid w:val="00D41132"/>
    <w:rsid w:val="00D44C4F"/>
    <w:rsid w:val="00D44F1A"/>
    <w:rsid w:val="00D4583D"/>
    <w:rsid w:val="00D4598A"/>
    <w:rsid w:val="00D45DB1"/>
    <w:rsid w:val="00D45EB5"/>
    <w:rsid w:val="00D51620"/>
    <w:rsid w:val="00D520ED"/>
    <w:rsid w:val="00D527EA"/>
    <w:rsid w:val="00D52FBC"/>
    <w:rsid w:val="00D52FF2"/>
    <w:rsid w:val="00D544F8"/>
    <w:rsid w:val="00D55508"/>
    <w:rsid w:val="00D56803"/>
    <w:rsid w:val="00D56BD5"/>
    <w:rsid w:val="00D56F67"/>
    <w:rsid w:val="00D57C1B"/>
    <w:rsid w:val="00D57CA7"/>
    <w:rsid w:val="00D60459"/>
    <w:rsid w:val="00D60CD0"/>
    <w:rsid w:val="00D60CD7"/>
    <w:rsid w:val="00D60E5A"/>
    <w:rsid w:val="00D60E8B"/>
    <w:rsid w:val="00D6109E"/>
    <w:rsid w:val="00D616AB"/>
    <w:rsid w:val="00D66F85"/>
    <w:rsid w:val="00D671B1"/>
    <w:rsid w:val="00D678D0"/>
    <w:rsid w:val="00D704F9"/>
    <w:rsid w:val="00D70708"/>
    <w:rsid w:val="00D70873"/>
    <w:rsid w:val="00D70B1A"/>
    <w:rsid w:val="00D7121B"/>
    <w:rsid w:val="00D71C49"/>
    <w:rsid w:val="00D72754"/>
    <w:rsid w:val="00D72E7A"/>
    <w:rsid w:val="00D73368"/>
    <w:rsid w:val="00D73DF6"/>
    <w:rsid w:val="00D73F5D"/>
    <w:rsid w:val="00D74F7E"/>
    <w:rsid w:val="00D75BBE"/>
    <w:rsid w:val="00D76078"/>
    <w:rsid w:val="00D77110"/>
    <w:rsid w:val="00D7731A"/>
    <w:rsid w:val="00D77FC3"/>
    <w:rsid w:val="00D81991"/>
    <w:rsid w:val="00D81A07"/>
    <w:rsid w:val="00D81BD8"/>
    <w:rsid w:val="00D83160"/>
    <w:rsid w:val="00D85511"/>
    <w:rsid w:val="00D87EED"/>
    <w:rsid w:val="00D91336"/>
    <w:rsid w:val="00D91ACB"/>
    <w:rsid w:val="00D91B3E"/>
    <w:rsid w:val="00D920D8"/>
    <w:rsid w:val="00D92FB6"/>
    <w:rsid w:val="00D93746"/>
    <w:rsid w:val="00D93A9C"/>
    <w:rsid w:val="00D93FA3"/>
    <w:rsid w:val="00D93FE6"/>
    <w:rsid w:val="00D94295"/>
    <w:rsid w:val="00D944A0"/>
    <w:rsid w:val="00D944A1"/>
    <w:rsid w:val="00D94774"/>
    <w:rsid w:val="00D948EA"/>
    <w:rsid w:val="00D9529A"/>
    <w:rsid w:val="00D97582"/>
    <w:rsid w:val="00D976D2"/>
    <w:rsid w:val="00D97DEE"/>
    <w:rsid w:val="00DA002D"/>
    <w:rsid w:val="00DA1AF1"/>
    <w:rsid w:val="00DA22F0"/>
    <w:rsid w:val="00DA33C2"/>
    <w:rsid w:val="00DA4100"/>
    <w:rsid w:val="00DA4C77"/>
    <w:rsid w:val="00DA64EB"/>
    <w:rsid w:val="00DA705E"/>
    <w:rsid w:val="00DB0C83"/>
    <w:rsid w:val="00DB204C"/>
    <w:rsid w:val="00DB3BBA"/>
    <w:rsid w:val="00DB3F60"/>
    <w:rsid w:val="00DB42BA"/>
    <w:rsid w:val="00DB53FF"/>
    <w:rsid w:val="00DB60CF"/>
    <w:rsid w:val="00DB61EF"/>
    <w:rsid w:val="00DB73C7"/>
    <w:rsid w:val="00DB7C6D"/>
    <w:rsid w:val="00DC0D44"/>
    <w:rsid w:val="00DC0DA2"/>
    <w:rsid w:val="00DC2252"/>
    <w:rsid w:val="00DC3285"/>
    <w:rsid w:val="00DC38E6"/>
    <w:rsid w:val="00DC3F7E"/>
    <w:rsid w:val="00DC4E96"/>
    <w:rsid w:val="00DC55C6"/>
    <w:rsid w:val="00DC5B49"/>
    <w:rsid w:val="00DC6C9A"/>
    <w:rsid w:val="00DD048E"/>
    <w:rsid w:val="00DD19B2"/>
    <w:rsid w:val="00DD363A"/>
    <w:rsid w:val="00DD4856"/>
    <w:rsid w:val="00DD4C61"/>
    <w:rsid w:val="00DD58E0"/>
    <w:rsid w:val="00DD62F5"/>
    <w:rsid w:val="00DD63F2"/>
    <w:rsid w:val="00DD72D8"/>
    <w:rsid w:val="00DE0DF9"/>
    <w:rsid w:val="00DE1154"/>
    <w:rsid w:val="00DE1DA3"/>
    <w:rsid w:val="00DE2FB9"/>
    <w:rsid w:val="00DE33D0"/>
    <w:rsid w:val="00DE47FE"/>
    <w:rsid w:val="00DE4A74"/>
    <w:rsid w:val="00DE4FC0"/>
    <w:rsid w:val="00DE5ABD"/>
    <w:rsid w:val="00DE693A"/>
    <w:rsid w:val="00DE6ED1"/>
    <w:rsid w:val="00DE7A6A"/>
    <w:rsid w:val="00DF33D9"/>
    <w:rsid w:val="00DF4B5F"/>
    <w:rsid w:val="00DF4C77"/>
    <w:rsid w:val="00DF5AB7"/>
    <w:rsid w:val="00DF6181"/>
    <w:rsid w:val="00DF6816"/>
    <w:rsid w:val="00DF75B3"/>
    <w:rsid w:val="00DF76F9"/>
    <w:rsid w:val="00E00085"/>
    <w:rsid w:val="00E008C9"/>
    <w:rsid w:val="00E00F22"/>
    <w:rsid w:val="00E01126"/>
    <w:rsid w:val="00E02304"/>
    <w:rsid w:val="00E024AE"/>
    <w:rsid w:val="00E024D8"/>
    <w:rsid w:val="00E02696"/>
    <w:rsid w:val="00E02727"/>
    <w:rsid w:val="00E02776"/>
    <w:rsid w:val="00E04B8B"/>
    <w:rsid w:val="00E04CD7"/>
    <w:rsid w:val="00E05241"/>
    <w:rsid w:val="00E10092"/>
    <w:rsid w:val="00E1078A"/>
    <w:rsid w:val="00E1164D"/>
    <w:rsid w:val="00E1218E"/>
    <w:rsid w:val="00E122B8"/>
    <w:rsid w:val="00E1311F"/>
    <w:rsid w:val="00E13E1E"/>
    <w:rsid w:val="00E142DB"/>
    <w:rsid w:val="00E16166"/>
    <w:rsid w:val="00E16609"/>
    <w:rsid w:val="00E166A8"/>
    <w:rsid w:val="00E16912"/>
    <w:rsid w:val="00E172F7"/>
    <w:rsid w:val="00E20007"/>
    <w:rsid w:val="00E202B8"/>
    <w:rsid w:val="00E202BB"/>
    <w:rsid w:val="00E21268"/>
    <w:rsid w:val="00E219C3"/>
    <w:rsid w:val="00E21F5F"/>
    <w:rsid w:val="00E22075"/>
    <w:rsid w:val="00E22879"/>
    <w:rsid w:val="00E22CC7"/>
    <w:rsid w:val="00E239FC"/>
    <w:rsid w:val="00E2484E"/>
    <w:rsid w:val="00E24B79"/>
    <w:rsid w:val="00E24C06"/>
    <w:rsid w:val="00E24C88"/>
    <w:rsid w:val="00E24D95"/>
    <w:rsid w:val="00E26BF7"/>
    <w:rsid w:val="00E272E0"/>
    <w:rsid w:val="00E27D10"/>
    <w:rsid w:val="00E31F2C"/>
    <w:rsid w:val="00E32FF0"/>
    <w:rsid w:val="00E33BA7"/>
    <w:rsid w:val="00E3422C"/>
    <w:rsid w:val="00E349CC"/>
    <w:rsid w:val="00E34F52"/>
    <w:rsid w:val="00E35744"/>
    <w:rsid w:val="00E365FF"/>
    <w:rsid w:val="00E36813"/>
    <w:rsid w:val="00E3709E"/>
    <w:rsid w:val="00E3787C"/>
    <w:rsid w:val="00E378DB"/>
    <w:rsid w:val="00E4029C"/>
    <w:rsid w:val="00E4184C"/>
    <w:rsid w:val="00E422BD"/>
    <w:rsid w:val="00E43F06"/>
    <w:rsid w:val="00E46543"/>
    <w:rsid w:val="00E467D8"/>
    <w:rsid w:val="00E46895"/>
    <w:rsid w:val="00E476C3"/>
    <w:rsid w:val="00E47B29"/>
    <w:rsid w:val="00E47BC2"/>
    <w:rsid w:val="00E529CB"/>
    <w:rsid w:val="00E52CC8"/>
    <w:rsid w:val="00E534F7"/>
    <w:rsid w:val="00E53CA2"/>
    <w:rsid w:val="00E53E92"/>
    <w:rsid w:val="00E54F6A"/>
    <w:rsid w:val="00E56364"/>
    <w:rsid w:val="00E56AA3"/>
    <w:rsid w:val="00E573D6"/>
    <w:rsid w:val="00E60078"/>
    <w:rsid w:val="00E600DF"/>
    <w:rsid w:val="00E6015F"/>
    <w:rsid w:val="00E607B2"/>
    <w:rsid w:val="00E612AF"/>
    <w:rsid w:val="00E61A80"/>
    <w:rsid w:val="00E620F8"/>
    <w:rsid w:val="00E62BA4"/>
    <w:rsid w:val="00E630AD"/>
    <w:rsid w:val="00E6404F"/>
    <w:rsid w:val="00E64732"/>
    <w:rsid w:val="00E64D8D"/>
    <w:rsid w:val="00E65F8C"/>
    <w:rsid w:val="00E66F6E"/>
    <w:rsid w:val="00E673A7"/>
    <w:rsid w:val="00E6790B"/>
    <w:rsid w:val="00E67A95"/>
    <w:rsid w:val="00E7009F"/>
    <w:rsid w:val="00E71703"/>
    <w:rsid w:val="00E71E0C"/>
    <w:rsid w:val="00E71E64"/>
    <w:rsid w:val="00E727BC"/>
    <w:rsid w:val="00E72EF6"/>
    <w:rsid w:val="00E73013"/>
    <w:rsid w:val="00E73124"/>
    <w:rsid w:val="00E73710"/>
    <w:rsid w:val="00E73D51"/>
    <w:rsid w:val="00E73E08"/>
    <w:rsid w:val="00E74191"/>
    <w:rsid w:val="00E741F5"/>
    <w:rsid w:val="00E748F3"/>
    <w:rsid w:val="00E74D51"/>
    <w:rsid w:val="00E74DF7"/>
    <w:rsid w:val="00E75B27"/>
    <w:rsid w:val="00E76CBB"/>
    <w:rsid w:val="00E772E7"/>
    <w:rsid w:val="00E774A0"/>
    <w:rsid w:val="00E7782E"/>
    <w:rsid w:val="00E82EE0"/>
    <w:rsid w:val="00E82EEF"/>
    <w:rsid w:val="00E83A8E"/>
    <w:rsid w:val="00E844ED"/>
    <w:rsid w:val="00E84CA0"/>
    <w:rsid w:val="00E84D5E"/>
    <w:rsid w:val="00E856DF"/>
    <w:rsid w:val="00E86027"/>
    <w:rsid w:val="00E8728B"/>
    <w:rsid w:val="00E87665"/>
    <w:rsid w:val="00E907F9"/>
    <w:rsid w:val="00E918BE"/>
    <w:rsid w:val="00E95257"/>
    <w:rsid w:val="00E95303"/>
    <w:rsid w:val="00E95C6B"/>
    <w:rsid w:val="00E97DFE"/>
    <w:rsid w:val="00E97E06"/>
    <w:rsid w:val="00EA1167"/>
    <w:rsid w:val="00EA2B16"/>
    <w:rsid w:val="00EA2C3E"/>
    <w:rsid w:val="00EA4471"/>
    <w:rsid w:val="00EA492B"/>
    <w:rsid w:val="00EA4B76"/>
    <w:rsid w:val="00EA5B1E"/>
    <w:rsid w:val="00EA5C4E"/>
    <w:rsid w:val="00EA781E"/>
    <w:rsid w:val="00EB008E"/>
    <w:rsid w:val="00EB045D"/>
    <w:rsid w:val="00EB090C"/>
    <w:rsid w:val="00EB0C09"/>
    <w:rsid w:val="00EB112F"/>
    <w:rsid w:val="00EB11F9"/>
    <w:rsid w:val="00EB134C"/>
    <w:rsid w:val="00EB1753"/>
    <w:rsid w:val="00EB189C"/>
    <w:rsid w:val="00EB1922"/>
    <w:rsid w:val="00EB2459"/>
    <w:rsid w:val="00EB2E7A"/>
    <w:rsid w:val="00EB2F21"/>
    <w:rsid w:val="00EB3DBF"/>
    <w:rsid w:val="00EB3F0E"/>
    <w:rsid w:val="00EB41C0"/>
    <w:rsid w:val="00EB42F7"/>
    <w:rsid w:val="00EB4D1B"/>
    <w:rsid w:val="00EB5238"/>
    <w:rsid w:val="00EB554B"/>
    <w:rsid w:val="00EB5C9D"/>
    <w:rsid w:val="00EB5D18"/>
    <w:rsid w:val="00EB644D"/>
    <w:rsid w:val="00EB7966"/>
    <w:rsid w:val="00EC425A"/>
    <w:rsid w:val="00EC4700"/>
    <w:rsid w:val="00EC4C1D"/>
    <w:rsid w:val="00EC58AA"/>
    <w:rsid w:val="00EC58BA"/>
    <w:rsid w:val="00EC6860"/>
    <w:rsid w:val="00EC7388"/>
    <w:rsid w:val="00ED0846"/>
    <w:rsid w:val="00ED0B7F"/>
    <w:rsid w:val="00ED2587"/>
    <w:rsid w:val="00ED294C"/>
    <w:rsid w:val="00ED3C38"/>
    <w:rsid w:val="00ED3E69"/>
    <w:rsid w:val="00ED47F0"/>
    <w:rsid w:val="00ED4AC3"/>
    <w:rsid w:val="00ED5AE2"/>
    <w:rsid w:val="00ED5BE1"/>
    <w:rsid w:val="00ED5C97"/>
    <w:rsid w:val="00ED5D37"/>
    <w:rsid w:val="00ED623B"/>
    <w:rsid w:val="00ED711B"/>
    <w:rsid w:val="00EE156A"/>
    <w:rsid w:val="00EE17CE"/>
    <w:rsid w:val="00EE18DC"/>
    <w:rsid w:val="00EE23A3"/>
    <w:rsid w:val="00EE2D45"/>
    <w:rsid w:val="00EE2FBB"/>
    <w:rsid w:val="00EE3580"/>
    <w:rsid w:val="00EE3FED"/>
    <w:rsid w:val="00EE63BE"/>
    <w:rsid w:val="00EE6494"/>
    <w:rsid w:val="00EE6BE3"/>
    <w:rsid w:val="00EE7386"/>
    <w:rsid w:val="00EE7A03"/>
    <w:rsid w:val="00EF020C"/>
    <w:rsid w:val="00EF1A05"/>
    <w:rsid w:val="00EF294C"/>
    <w:rsid w:val="00EF3B91"/>
    <w:rsid w:val="00EF4F39"/>
    <w:rsid w:val="00EF5B3C"/>
    <w:rsid w:val="00EF7004"/>
    <w:rsid w:val="00EF7FB7"/>
    <w:rsid w:val="00F0007E"/>
    <w:rsid w:val="00F009DF"/>
    <w:rsid w:val="00F00E88"/>
    <w:rsid w:val="00F013C0"/>
    <w:rsid w:val="00F02467"/>
    <w:rsid w:val="00F03ACD"/>
    <w:rsid w:val="00F04C26"/>
    <w:rsid w:val="00F05858"/>
    <w:rsid w:val="00F05ECB"/>
    <w:rsid w:val="00F0667F"/>
    <w:rsid w:val="00F07792"/>
    <w:rsid w:val="00F07D98"/>
    <w:rsid w:val="00F10E1F"/>
    <w:rsid w:val="00F12447"/>
    <w:rsid w:val="00F12EFA"/>
    <w:rsid w:val="00F12F2A"/>
    <w:rsid w:val="00F12F72"/>
    <w:rsid w:val="00F14627"/>
    <w:rsid w:val="00F14EC3"/>
    <w:rsid w:val="00F16B14"/>
    <w:rsid w:val="00F16B16"/>
    <w:rsid w:val="00F16C29"/>
    <w:rsid w:val="00F16D03"/>
    <w:rsid w:val="00F16F1E"/>
    <w:rsid w:val="00F17D87"/>
    <w:rsid w:val="00F21634"/>
    <w:rsid w:val="00F21F64"/>
    <w:rsid w:val="00F22216"/>
    <w:rsid w:val="00F227DE"/>
    <w:rsid w:val="00F22D07"/>
    <w:rsid w:val="00F2343D"/>
    <w:rsid w:val="00F23A0B"/>
    <w:rsid w:val="00F24CAF"/>
    <w:rsid w:val="00F254E5"/>
    <w:rsid w:val="00F26260"/>
    <w:rsid w:val="00F2705A"/>
    <w:rsid w:val="00F27C79"/>
    <w:rsid w:val="00F27EC6"/>
    <w:rsid w:val="00F31CB5"/>
    <w:rsid w:val="00F326FA"/>
    <w:rsid w:val="00F32C0B"/>
    <w:rsid w:val="00F330E1"/>
    <w:rsid w:val="00F33BEA"/>
    <w:rsid w:val="00F351C9"/>
    <w:rsid w:val="00F35341"/>
    <w:rsid w:val="00F361D1"/>
    <w:rsid w:val="00F37720"/>
    <w:rsid w:val="00F37F77"/>
    <w:rsid w:val="00F40BA1"/>
    <w:rsid w:val="00F40E5F"/>
    <w:rsid w:val="00F40F91"/>
    <w:rsid w:val="00F4266C"/>
    <w:rsid w:val="00F43C73"/>
    <w:rsid w:val="00F44578"/>
    <w:rsid w:val="00F45ECF"/>
    <w:rsid w:val="00F463DD"/>
    <w:rsid w:val="00F4660B"/>
    <w:rsid w:val="00F47390"/>
    <w:rsid w:val="00F473E1"/>
    <w:rsid w:val="00F479FD"/>
    <w:rsid w:val="00F47B64"/>
    <w:rsid w:val="00F506C7"/>
    <w:rsid w:val="00F50C99"/>
    <w:rsid w:val="00F52373"/>
    <w:rsid w:val="00F5266C"/>
    <w:rsid w:val="00F5326F"/>
    <w:rsid w:val="00F53625"/>
    <w:rsid w:val="00F54144"/>
    <w:rsid w:val="00F54182"/>
    <w:rsid w:val="00F54C9B"/>
    <w:rsid w:val="00F55879"/>
    <w:rsid w:val="00F565BB"/>
    <w:rsid w:val="00F579CB"/>
    <w:rsid w:val="00F57B28"/>
    <w:rsid w:val="00F61068"/>
    <w:rsid w:val="00F62509"/>
    <w:rsid w:val="00F6321F"/>
    <w:rsid w:val="00F638F6"/>
    <w:rsid w:val="00F63E62"/>
    <w:rsid w:val="00F64325"/>
    <w:rsid w:val="00F648EA"/>
    <w:rsid w:val="00F65241"/>
    <w:rsid w:val="00F65408"/>
    <w:rsid w:val="00F65FBC"/>
    <w:rsid w:val="00F66240"/>
    <w:rsid w:val="00F67B39"/>
    <w:rsid w:val="00F705C8"/>
    <w:rsid w:val="00F72165"/>
    <w:rsid w:val="00F72E37"/>
    <w:rsid w:val="00F73193"/>
    <w:rsid w:val="00F73BE7"/>
    <w:rsid w:val="00F764F7"/>
    <w:rsid w:val="00F764FA"/>
    <w:rsid w:val="00F80F43"/>
    <w:rsid w:val="00F81853"/>
    <w:rsid w:val="00F8189C"/>
    <w:rsid w:val="00F826D1"/>
    <w:rsid w:val="00F82E91"/>
    <w:rsid w:val="00F834BB"/>
    <w:rsid w:val="00F842EE"/>
    <w:rsid w:val="00F85480"/>
    <w:rsid w:val="00F854B3"/>
    <w:rsid w:val="00F85A5F"/>
    <w:rsid w:val="00F85F6E"/>
    <w:rsid w:val="00F860B9"/>
    <w:rsid w:val="00F87724"/>
    <w:rsid w:val="00F878E1"/>
    <w:rsid w:val="00F87F87"/>
    <w:rsid w:val="00F910A5"/>
    <w:rsid w:val="00F91215"/>
    <w:rsid w:val="00F914FB"/>
    <w:rsid w:val="00F92BDB"/>
    <w:rsid w:val="00F92C4D"/>
    <w:rsid w:val="00F93BEC"/>
    <w:rsid w:val="00F94246"/>
    <w:rsid w:val="00F94442"/>
    <w:rsid w:val="00F95E0F"/>
    <w:rsid w:val="00F95F95"/>
    <w:rsid w:val="00F968A2"/>
    <w:rsid w:val="00FA0627"/>
    <w:rsid w:val="00FA145A"/>
    <w:rsid w:val="00FA2655"/>
    <w:rsid w:val="00FA33E1"/>
    <w:rsid w:val="00FA3C9F"/>
    <w:rsid w:val="00FA3D87"/>
    <w:rsid w:val="00FA4BD8"/>
    <w:rsid w:val="00FA506E"/>
    <w:rsid w:val="00FA5152"/>
    <w:rsid w:val="00FA524E"/>
    <w:rsid w:val="00FA5C52"/>
    <w:rsid w:val="00FA68FA"/>
    <w:rsid w:val="00FA6B23"/>
    <w:rsid w:val="00FA7290"/>
    <w:rsid w:val="00FA7B34"/>
    <w:rsid w:val="00FB1DE4"/>
    <w:rsid w:val="00FB4892"/>
    <w:rsid w:val="00FB5231"/>
    <w:rsid w:val="00FB5C2C"/>
    <w:rsid w:val="00FB5F4F"/>
    <w:rsid w:val="00FB5FC5"/>
    <w:rsid w:val="00FB6AD5"/>
    <w:rsid w:val="00FC05FF"/>
    <w:rsid w:val="00FC3CC0"/>
    <w:rsid w:val="00FC4296"/>
    <w:rsid w:val="00FC595C"/>
    <w:rsid w:val="00FC5A68"/>
    <w:rsid w:val="00FC5ED5"/>
    <w:rsid w:val="00FC6E55"/>
    <w:rsid w:val="00FD07AD"/>
    <w:rsid w:val="00FD1237"/>
    <w:rsid w:val="00FD275E"/>
    <w:rsid w:val="00FD2910"/>
    <w:rsid w:val="00FD2A31"/>
    <w:rsid w:val="00FD2EA4"/>
    <w:rsid w:val="00FD3D80"/>
    <w:rsid w:val="00FD5A8B"/>
    <w:rsid w:val="00FD6661"/>
    <w:rsid w:val="00FD69F8"/>
    <w:rsid w:val="00FD7860"/>
    <w:rsid w:val="00FD7A5E"/>
    <w:rsid w:val="00FD7BEA"/>
    <w:rsid w:val="00FD7F1C"/>
    <w:rsid w:val="00FE0170"/>
    <w:rsid w:val="00FE0218"/>
    <w:rsid w:val="00FE0CDF"/>
    <w:rsid w:val="00FE0D36"/>
    <w:rsid w:val="00FE26C3"/>
    <w:rsid w:val="00FE3731"/>
    <w:rsid w:val="00FE3C83"/>
    <w:rsid w:val="00FE41C5"/>
    <w:rsid w:val="00FE51F9"/>
    <w:rsid w:val="00FE5EF1"/>
    <w:rsid w:val="00FE68B0"/>
    <w:rsid w:val="00FE70F3"/>
    <w:rsid w:val="00FE76BE"/>
    <w:rsid w:val="00FF0B80"/>
    <w:rsid w:val="00FF0D9D"/>
    <w:rsid w:val="00FF2481"/>
    <w:rsid w:val="00FF2690"/>
    <w:rsid w:val="00FF38B8"/>
    <w:rsid w:val="00FF40F2"/>
    <w:rsid w:val="00FF4E46"/>
    <w:rsid w:val="00FF55B9"/>
    <w:rsid w:val="00FF6C1B"/>
    <w:rsid w:val="018B2C9D"/>
    <w:rsid w:val="01C50469"/>
    <w:rsid w:val="02355D08"/>
    <w:rsid w:val="024767CB"/>
    <w:rsid w:val="030C484B"/>
    <w:rsid w:val="03C7005D"/>
    <w:rsid w:val="042518DB"/>
    <w:rsid w:val="05445BA3"/>
    <w:rsid w:val="05DC5737"/>
    <w:rsid w:val="065A067A"/>
    <w:rsid w:val="099866AB"/>
    <w:rsid w:val="0B282BE7"/>
    <w:rsid w:val="0B604455"/>
    <w:rsid w:val="0BD32543"/>
    <w:rsid w:val="0C127A13"/>
    <w:rsid w:val="0CB71EF7"/>
    <w:rsid w:val="0CBE467B"/>
    <w:rsid w:val="0D3D37F2"/>
    <w:rsid w:val="0E0031E2"/>
    <w:rsid w:val="0E481301"/>
    <w:rsid w:val="0EAB4785"/>
    <w:rsid w:val="0F1E7653"/>
    <w:rsid w:val="0F26793A"/>
    <w:rsid w:val="0F6A0FEE"/>
    <w:rsid w:val="10A872BC"/>
    <w:rsid w:val="11D706B9"/>
    <w:rsid w:val="121970F6"/>
    <w:rsid w:val="12412C67"/>
    <w:rsid w:val="129F1DAE"/>
    <w:rsid w:val="13C94031"/>
    <w:rsid w:val="13CA6D9F"/>
    <w:rsid w:val="148A7C64"/>
    <w:rsid w:val="149E1EB3"/>
    <w:rsid w:val="15010EA8"/>
    <w:rsid w:val="161C15DF"/>
    <w:rsid w:val="164019D0"/>
    <w:rsid w:val="166717DC"/>
    <w:rsid w:val="168757DA"/>
    <w:rsid w:val="17D23DC1"/>
    <w:rsid w:val="17EF4EC4"/>
    <w:rsid w:val="18CB5D00"/>
    <w:rsid w:val="194C1DC3"/>
    <w:rsid w:val="1A1E58C0"/>
    <w:rsid w:val="1A7C6386"/>
    <w:rsid w:val="1A9C1B14"/>
    <w:rsid w:val="1A9D4067"/>
    <w:rsid w:val="1BBE6445"/>
    <w:rsid w:val="1BDF3C40"/>
    <w:rsid w:val="1D6A6B1C"/>
    <w:rsid w:val="1D91077F"/>
    <w:rsid w:val="1FD3246B"/>
    <w:rsid w:val="20DB1357"/>
    <w:rsid w:val="21167ED3"/>
    <w:rsid w:val="221926EA"/>
    <w:rsid w:val="22193D30"/>
    <w:rsid w:val="221C314F"/>
    <w:rsid w:val="223E5D1B"/>
    <w:rsid w:val="226F6C02"/>
    <w:rsid w:val="229B128E"/>
    <w:rsid w:val="229F6CAC"/>
    <w:rsid w:val="22BE520C"/>
    <w:rsid w:val="22FD1499"/>
    <w:rsid w:val="24221DC1"/>
    <w:rsid w:val="24985208"/>
    <w:rsid w:val="24A97798"/>
    <w:rsid w:val="25021168"/>
    <w:rsid w:val="255942D7"/>
    <w:rsid w:val="25916979"/>
    <w:rsid w:val="26986131"/>
    <w:rsid w:val="285B6F3A"/>
    <w:rsid w:val="28F038CF"/>
    <w:rsid w:val="28FD6E52"/>
    <w:rsid w:val="290E6C33"/>
    <w:rsid w:val="2A067935"/>
    <w:rsid w:val="2A4F7BD7"/>
    <w:rsid w:val="2BB67B43"/>
    <w:rsid w:val="2BFF158C"/>
    <w:rsid w:val="2C504E98"/>
    <w:rsid w:val="2D502CB6"/>
    <w:rsid w:val="2ED2428A"/>
    <w:rsid w:val="2F57478F"/>
    <w:rsid w:val="2FA716F7"/>
    <w:rsid w:val="2FD2041C"/>
    <w:rsid w:val="301414EE"/>
    <w:rsid w:val="301A3783"/>
    <w:rsid w:val="318C4BC4"/>
    <w:rsid w:val="31920CD9"/>
    <w:rsid w:val="31D70D15"/>
    <w:rsid w:val="322555EA"/>
    <w:rsid w:val="325A6FBA"/>
    <w:rsid w:val="325B6344"/>
    <w:rsid w:val="32791764"/>
    <w:rsid w:val="32B36180"/>
    <w:rsid w:val="32CD4009"/>
    <w:rsid w:val="32F57DFA"/>
    <w:rsid w:val="33EF74C0"/>
    <w:rsid w:val="345A6A47"/>
    <w:rsid w:val="34763909"/>
    <w:rsid w:val="34D31495"/>
    <w:rsid w:val="352537B0"/>
    <w:rsid w:val="35507CB7"/>
    <w:rsid w:val="35BF770A"/>
    <w:rsid w:val="360C62D3"/>
    <w:rsid w:val="3623727D"/>
    <w:rsid w:val="369B7657"/>
    <w:rsid w:val="385E6B8E"/>
    <w:rsid w:val="38756AC2"/>
    <w:rsid w:val="38E226F5"/>
    <w:rsid w:val="38EE1EB9"/>
    <w:rsid w:val="3A4D20AB"/>
    <w:rsid w:val="3AA840F1"/>
    <w:rsid w:val="3BCD6D76"/>
    <w:rsid w:val="3BDB756A"/>
    <w:rsid w:val="3CF43CF3"/>
    <w:rsid w:val="3FE43E1D"/>
    <w:rsid w:val="404B7BB6"/>
    <w:rsid w:val="408847A8"/>
    <w:rsid w:val="4525403E"/>
    <w:rsid w:val="46712FE6"/>
    <w:rsid w:val="47730B9F"/>
    <w:rsid w:val="47A54FEA"/>
    <w:rsid w:val="48703796"/>
    <w:rsid w:val="490231AB"/>
    <w:rsid w:val="4910575F"/>
    <w:rsid w:val="4C180B4C"/>
    <w:rsid w:val="4C5B7215"/>
    <w:rsid w:val="4C6814D6"/>
    <w:rsid w:val="4D075C93"/>
    <w:rsid w:val="4D333CEE"/>
    <w:rsid w:val="4D8D364F"/>
    <w:rsid w:val="4E223559"/>
    <w:rsid w:val="4EB01C0C"/>
    <w:rsid w:val="4F0973FC"/>
    <w:rsid w:val="4F753587"/>
    <w:rsid w:val="500D6A78"/>
    <w:rsid w:val="50D06520"/>
    <w:rsid w:val="531C1EB0"/>
    <w:rsid w:val="53FD74E0"/>
    <w:rsid w:val="54562D72"/>
    <w:rsid w:val="54FD319B"/>
    <w:rsid w:val="56917C17"/>
    <w:rsid w:val="576B029A"/>
    <w:rsid w:val="57992CCB"/>
    <w:rsid w:val="57AC44CB"/>
    <w:rsid w:val="57CE5F02"/>
    <w:rsid w:val="58A85949"/>
    <w:rsid w:val="596F1435"/>
    <w:rsid w:val="59B27037"/>
    <w:rsid w:val="59BC3F9E"/>
    <w:rsid w:val="5ACC5627"/>
    <w:rsid w:val="5AE05210"/>
    <w:rsid w:val="5BFE62CB"/>
    <w:rsid w:val="5C367A10"/>
    <w:rsid w:val="5D801AE2"/>
    <w:rsid w:val="5E616C4C"/>
    <w:rsid w:val="5F4872AB"/>
    <w:rsid w:val="60023900"/>
    <w:rsid w:val="60807311"/>
    <w:rsid w:val="6171498D"/>
    <w:rsid w:val="61722BDF"/>
    <w:rsid w:val="623B7475"/>
    <w:rsid w:val="623E21B8"/>
    <w:rsid w:val="62830E1C"/>
    <w:rsid w:val="62A05742"/>
    <w:rsid w:val="62CC4571"/>
    <w:rsid w:val="62FC3643"/>
    <w:rsid w:val="63C00461"/>
    <w:rsid w:val="63EE0AC0"/>
    <w:rsid w:val="64325CBA"/>
    <w:rsid w:val="64425476"/>
    <w:rsid w:val="64713622"/>
    <w:rsid w:val="648669A1"/>
    <w:rsid w:val="64901169"/>
    <w:rsid w:val="64BF3358"/>
    <w:rsid w:val="64CE267E"/>
    <w:rsid w:val="653528B9"/>
    <w:rsid w:val="658F24CC"/>
    <w:rsid w:val="66A55474"/>
    <w:rsid w:val="66A615D0"/>
    <w:rsid w:val="67341A51"/>
    <w:rsid w:val="67424E02"/>
    <w:rsid w:val="68F33602"/>
    <w:rsid w:val="69741D51"/>
    <w:rsid w:val="6A367BF0"/>
    <w:rsid w:val="6BA6738C"/>
    <w:rsid w:val="6C253715"/>
    <w:rsid w:val="6D723BB9"/>
    <w:rsid w:val="6E09781C"/>
    <w:rsid w:val="6E0F17B6"/>
    <w:rsid w:val="6FC40E69"/>
    <w:rsid w:val="705129C0"/>
    <w:rsid w:val="70D936A9"/>
    <w:rsid w:val="714A48A5"/>
    <w:rsid w:val="719C7A54"/>
    <w:rsid w:val="72CB7C1B"/>
    <w:rsid w:val="736211D7"/>
    <w:rsid w:val="73FB6A64"/>
    <w:rsid w:val="740822C7"/>
    <w:rsid w:val="743D3263"/>
    <w:rsid w:val="74AD7AC1"/>
    <w:rsid w:val="75091655"/>
    <w:rsid w:val="75524B28"/>
    <w:rsid w:val="76023D14"/>
    <w:rsid w:val="761B4BB7"/>
    <w:rsid w:val="778F0713"/>
    <w:rsid w:val="78827754"/>
    <w:rsid w:val="78954206"/>
    <w:rsid w:val="78993BD8"/>
    <w:rsid w:val="796F78A6"/>
    <w:rsid w:val="7A9935C9"/>
    <w:rsid w:val="7B16616D"/>
    <w:rsid w:val="7C394E4D"/>
    <w:rsid w:val="7C7B7BD6"/>
    <w:rsid w:val="7D5D253D"/>
    <w:rsid w:val="7E7200FE"/>
    <w:rsid w:val="7EEF2B30"/>
    <w:rsid w:val="7F211B45"/>
    <w:rsid w:val="7FE2091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iPriority="99" w:name="index 8"/>
    <w:lsdException w:uiPriority="0" w:name="index 9"/>
    <w:lsdException w:qFormat="1"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99" w:semiHidden="0" w:name="footnote reference"/>
    <w:lsdException w:qFormat="1" w:uiPriority="99" w:semiHidden="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99"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uiPriority="0" w:name="HTML Typewriter"/>
    <w:lsdException w:qFormat="1" w:uiPriority="99"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6"/>
    <w:qFormat/>
    <w:uiPriority w:val="0"/>
    <w:pPr>
      <w:keepNext/>
      <w:keepLines/>
      <w:spacing w:before="340" w:after="330" w:line="578" w:lineRule="auto"/>
      <w:outlineLvl w:val="0"/>
    </w:pPr>
    <w:rPr>
      <w:b/>
      <w:bCs/>
      <w:kern w:val="44"/>
      <w:sz w:val="32"/>
      <w:szCs w:val="44"/>
    </w:rPr>
  </w:style>
  <w:style w:type="paragraph" w:styleId="3">
    <w:name w:val="heading 2"/>
    <w:basedOn w:val="1"/>
    <w:next w:val="1"/>
    <w:link w:val="113"/>
    <w:qFormat/>
    <w:uiPriority w:val="9"/>
    <w:pPr>
      <w:keepNext/>
      <w:keepLines/>
      <w:numPr>
        <w:ilvl w:val="0"/>
        <w:numId w:val="1"/>
      </w:numPr>
      <w:spacing w:before="260" w:after="260" w:line="416" w:lineRule="auto"/>
      <w:outlineLvl w:val="1"/>
    </w:pPr>
    <w:rPr>
      <w:rFonts w:ascii="Arial" w:hAnsi="Arial" w:eastAsia="黑体"/>
      <w:b/>
      <w:bCs/>
      <w:sz w:val="30"/>
      <w:szCs w:val="32"/>
    </w:rPr>
  </w:style>
  <w:style w:type="paragraph" w:styleId="4">
    <w:name w:val="heading 3"/>
    <w:basedOn w:val="1"/>
    <w:next w:val="1"/>
    <w:link w:val="142"/>
    <w:qFormat/>
    <w:uiPriority w:val="9"/>
    <w:pPr>
      <w:keepNext/>
      <w:keepLines/>
      <w:spacing w:line="416" w:lineRule="auto"/>
      <w:outlineLvl w:val="2"/>
    </w:pPr>
    <w:rPr>
      <w:b/>
      <w:bCs/>
      <w:sz w:val="28"/>
      <w:szCs w:val="32"/>
    </w:rPr>
  </w:style>
  <w:style w:type="paragraph" w:styleId="5">
    <w:name w:val="heading 4"/>
    <w:basedOn w:val="1"/>
    <w:next w:val="1"/>
    <w:link w:val="100"/>
    <w:semiHidden/>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10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102"/>
    <w:semiHidden/>
    <w:unhideWhenUsed/>
    <w:qFormat/>
    <w:uiPriority w:val="0"/>
    <w:pPr>
      <w:keepNext/>
      <w:keepLines/>
      <w:spacing w:before="240" w:after="64" w:line="320" w:lineRule="auto"/>
      <w:outlineLvl w:val="5"/>
    </w:pPr>
    <w:rPr>
      <w:rFonts w:ascii="Cambria" w:hAnsi="Cambria"/>
      <w:b/>
      <w:bCs/>
      <w:sz w:val="24"/>
    </w:rPr>
  </w:style>
  <w:style w:type="paragraph" w:styleId="8">
    <w:name w:val="heading 7"/>
    <w:basedOn w:val="1"/>
    <w:next w:val="1"/>
    <w:link w:val="103"/>
    <w:semiHidden/>
    <w:unhideWhenUsed/>
    <w:qFormat/>
    <w:uiPriority w:val="0"/>
    <w:pPr>
      <w:keepNext/>
      <w:keepLines/>
      <w:spacing w:before="240" w:after="64" w:line="320" w:lineRule="auto"/>
      <w:outlineLvl w:val="6"/>
    </w:pPr>
    <w:rPr>
      <w:b/>
      <w:bCs/>
      <w:sz w:val="24"/>
    </w:rPr>
  </w:style>
  <w:style w:type="paragraph" w:styleId="9">
    <w:name w:val="heading 8"/>
    <w:basedOn w:val="1"/>
    <w:next w:val="1"/>
    <w:link w:val="104"/>
    <w:semiHidden/>
    <w:unhideWhenUsed/>
    <w:qFormat/>
    <w:uiPriority w:val="0"/>
    <w:pPr>
      <w:keepNext/>
      <w:keepLines/>
      <w:spacing w:before="240" w:after="64" w:line="320" w:lineRule="auto"/>
      <w:outlineLvl w:val="7"/>
    </w:pPr>
    <w:rPr>
      <w:rFonts w:ascii="Cambria" w:hAnsi="Cambria"/>
      <w:sz w:val="24"/>
    </w:rPr>
  </w:style>
  <w:style w:type="paragraph" w:styleId="10">
    <w:name w:val="heading 9"/>
    <w:basedOn w:val="1"/>
    <w:next w:val="1"/>
    <w:link w:val="105"/>
    <w:semiHidden/>
    <w:unhideWhenUsed/>
    <w:qFormat/>
    <w:uiPriority w:val="0"/>
    <w:pPr>
      <w:keepNext/>
      <w:keepLines/>
      <w:spacing w:before="240" w:after="64" w:line="320" w:lineRule="auto"/>
      <w:outlineLvl w:val="8"/>
    </w:pPr>
    <w:rPr>
      <w:rFonts w:ascii="Cambria" w:hAnsi="Cambria"/>
      <w:szCs w:val="21"/>
    </w:rPr>
  </w:style>
  <w:style w:type="character" w:default="1" w:styleId="39">
    <w:name w:val="Default Paragraph Font"/>
    <w:semiHidden/>
    <w:unhideWhenUsed/>
    <w:qFormat/>
    <w:uiPriority w:val="1"/>
  </w:style>
  <w:style w:type="table" w:default="1" w:styleId="3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rFonts w:asciiTheme="minorHAnsi" w:hAnsiTheme="minorHAnsi"/>
      <w:sz w:val="18"/>
      <w:szCs w:val="18"/>
    </w:rPr>
  </w:style>
  <w:style w:type="paragraph" w:styleId="12">
    <w:name w:val="index 8"/>
    <w:basedOn w:val="1"/>
    <w:next w:val="1"/>
    <w:semiHidden/>
    <w:unhideWhenUsed/>
    <w:qFormat/>
    <w:uiPriority w:val="99"/>
    <w:pPr>
      <w:ind w:left="1400" w:leftChars="1400"/>
    </w:pPr>
  </w:style>
  <w:style w:type="paragraph" w:styleId="13">
    <w:name w:val="Normal Indent"/>
    <w:basedOn w:val="1"/>
    <w:link w:val="55"/>
    <w:qFormat/>
    <w:uiPriority w:val="0"/>
    <w:pPr>
      <w:ind w:firstLine="420"/>
    </w:pPr>
    <w:rPr>
      <w:szCs w:val="20"/>
    </w:rPr>
  </w:style>
  <w:style w:type="paragraph" w:styleId="14">
    <w:name w:val="Document Map"/>
    <w:basedOn w:val="1"/>
    <w:link w:val="106"/>
    <w:qFormat/>
    <w:uiPriority w:val="0"/>
    <w:rPr>
      <w:rFonts w:ascii="宋体"/>
      <w:sz w:val="18"/>
      <w:szCs w:val="18"/>
    </w:rPr>
  </w:style>
  <w:style w:type="paragraph" w:styleId="15">
    <w:name w:val="annotation text"/>
    <w:basedOn w:val="1"/>
    <w:link w:val="96"/>
    <w:unhideWhenUsed/>
    <w:qFormat/>
    <w:uiPriority w:val="99"/>
    <w:pPr>
      <w:jc w:val="left"/>
    </w:pPr>
    <w:rPr>
      <w:szCs w:val="20"/>
    </w:rPr>
  </w:style>
  <w:style w:type="paragraph" w:styleId="16">
    <w:name w:val="Body Text"/>
    <w:basedOn w:val="1"/>
    <w:next w:val="12"/>
    <w:qFormat/>
    <w:uiPriority w:val="0"/>
    <w:pPr>
      <w:widowControl/>
    </w:pPr>
    <w:rPr>
      <w:kern w:val="0"/>
      <w:sz w:val="24"/>
      <w:szCs w:val="20"/>
    </w:rPr>
  </w:style>
  <w:style w:type="paragraph" w:styleId="17">
    <w:name w:val="Body Text Indent"/>
    <w:basedOn w:val="1"/>
    <w:qFormat/>
    <w:uiPriority w:val="0"/>
    <w:pPr>
      <w:spacing w:after="120"/>
      <w:ind w:left="420" w:leftChars="200"/>
    </w:pPr>
  </w:style>
  <w:style w:type="paragraph" w:styleId="18">
    <w:name w:val="toc 5"/>
    <w:basedOn w:val="1"/>
    <w:next w:val="1"/>
    <w:unhideWhenUsed/>
    <w:qFormat/>
    <w:uiPriority w:val="39"/>
    <w:pPr>
      <w:ind w:left="840"/>
      <w:jc w:val="left"/>
    </w:pPr>
    <w:rPr>
      <w:rFonts w:asciiTheme="minorHAnsi" w:hAnsiTheme="minorHAnsi"/>
      <w:sz w:val="18"/>
      <w:szCs w:val="18"/>
    </w:rPr>
  </w:style>
  <w:style w:type="paragraph" w:styleId="19">
    <w:name w:val="toc 3"/>
    <w:basedOn w:val="1"/>
    <w:next w:val="1"/>
    <w:autoRedefine/>
    <w:qFormat/>
    <w:uiPriority w:val="39"/>
    <w:pPr>
      <w:ind w:left="420"/>
      <w:jc w:val="left"/>
    </w:pPr>
    <w:rPr>
      <w:rFonts w:asciiTheme="minorHAnsi" w:hAnsiTheme="minorHAnsi"/>
      <w:i/>
      <w:iCs/>
      <w:sz w:val="20"/>
      <w:szCs w:val="20"/>
    </w:rPr>
  </w:style>
  <w:style w:type="paragraph" w:styleId="20">
    <w:name w:val="Plain Text"/>
    <w:basedOn w:val="1"/>
    <w:qFormat/>
    <w:uiPriority w:val="0"/>
    <w:rPr>
      <w:rFonts w:ascii="宋体" w:hAnsi="Courier New"/>
      <w:sz w:val="28"/>
      <w:szCs w:val="20"/>
    </w:rPr>
  </w:style>
  <w:style w:type="paragraph" w:styleId="21">
    <w:name w:val="toc 8"/>
    <w:basedOn w:val="1"/>
    <w:next w:val="1"/>
    <w:unhideWhenUsed/>
    <w:qFormat/>
    <w:uiPriority w:val="39"/>
    <w:pPr>
      <w:ind w:left="1470"/>
      <w:jc w:val="left"/>
    </w:pPr>
    <w:rPr>
      <w:rFonts w:asciiTheme="minorHAnsi" w:hAnsiTheme="minorHAnsi"/>
      <w:sz w:val="18"/>
      <w:szCs w:val="18"/>
    </w:rPr>
  </w:style>
  <w:style w:type="paragraph" w:styleId="22">
    <w:name w:val="Body Text Indent 2"/>
    <w:basedOn w:val="1"/>
    <w:link w:val="58"/>
    <w:qFormat/>
    <w:uiPriority w:val="99"/>
    <w:pPr>
      <w:spacing w:after="120" w:line="480" w:lineRule="auto"/>
      <w:ind w:left="420" w:leftChars="200"/>
    </w:pPr>
  </w:style>
  <w:style w:type="paragraph" w:styleId="23">
    <w:name w:val="Balloon Text"/>
    <w:basedOn w:val="1"/>
    <w:link w:val="95"/>
    <w:unhideWhenUsed/>
    <w:qFormat/>
    <w:uiPriority w:val="99"/>
    <w:rPr>
      <w:sz w:val="18"/>
      <w:szCs w:val="18"/>
    </w:rPr>
  </w:style>
  <w:style w:type="paragraph" w:styleId="24">
    <w:name w:val="footer"/>
    <w:basedOn w:val="1"/>
    <w:link w:val="132"/>
    <w:qFormat/>
    <w:uiPriority w:val="0"/>
    <w:pPr>
      <w:tabs>
        <w:tab w:val="center" w:pos="4153"/>
        <w:tab w:val="right" w:pos="8306"/>
      </w:tabs>
      <w:snapToGrid w:val="0"/>
      <w:jc w:val="left"/>
    </w:pPr>
    <w:rPr>
      <w:sz w:val="18"/>
      <w:szCs w:val="18"/>
    </w:rPr>
  </w:style>
  <w:style w:type="paragraph" w:styleId="25">
    <w:name w:val="header"/>
    <w:basedOn w:val="1"/>
    <w:link w:val="107"/>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unhideWhenUsed/>
    <w:qFormat/>
    <w:uiPriority w:val="39"/>
    <w:pPr>
      <w:spacing w:before="120" w:after="120"/>
      <w:jc w:val="left"/>
    </w:pPr>
    <w:rPr>
      <w:rFonts w:asciiTheme="minorHAnsi" w:hAnsiTheme="minorHAnsi"/>
      <w:b/>
      <w:bCs/>
      <w:caps/>
      <w:sz w:val="20"/>
      <w:szCs w:val="20"/>
    </w:rPr>
  </w:style>
  <w:style w:type="paragraph" w:styleId="27">
    <w:name w:val="toc 4"/>
    <w:basedOn w:val="1"/>
    <w:next w:val="1"/>
    <w:unhideWhenUsed/>
    <w:qFormat/>
    <w:uiPriority w:val="39"/>
    <w:pPr>
      <w:ind w:left="630"/>
      <w:jc w:val="left"/>
    </w:pPr>
    <w:rPr>
      <w:rFonts w:asciiTheme="minorHAnsi" w:hAnsiTheme="minorHAnsi"/>
      <w:sz w:val="18"/>
      <w:szCs w:val="18"/>
    </w:rPr>
  </w:style>
  <w:style w:type="paragraph" w:styleId="28">
    <w:name w:val="footnote text"/>
    <w:basedOn w:val="1"/>
    <w:link w:val="91"/>
    <w:unhideWhenUsed/>
    <w:qFormat/>
    <w:uiPriority w:val="99"/>
    <w:pPr>
      <w:snapToGrid w:val="0"/>
      <w:jc w:val="left"/>
    </w:pPr>
    <w:rPr>
      <w:sz w:val="18"/>
      <w:szCs w:val="18"/>
    </w:rPr>
  </w:style>
  <w:style w:type="paragraph" w:styleId="29">
    <w:name w:val="toc 6"/>
    <w:basedOn w:val="1"/>
    <w:next w:val="1"/>
    <w:unhideWhenUsed/>
    <w:qFormat/>
    <w:uiPriority w:val="39"/>
    <w:pPr>
      <w:ind w:left="1050"/>
      <w:jc w:val="left"/>
    </w:pPr>
    <w:rPr>
      <w:rFonts w:asciiTheme="minorHAnsi" w:hAnsiTheme="minorHAnsi"/>
      <w:sz w:val="18"/>
      <w:szCs w:val="18"/>
    </w:rPr>
  </w:style>
  <w:style w:type="paragraph" w:styleId="30">
    <w:name w:val="Body Text Indent 3"/>
    <w:basedOn w:val="1"/>
    <w:link w:val="108"/>
    <w:qFormat/>
    <w:uiPriority w:val="0"/>
    <w:pPr>
      <w:spacing w:after="120"/>
      <w:ind w:left="420" w:leftChars="200"/>
    </w:pPr>
    <w:rPr>
      <w:sz w:val="16"/>
      <w:szCs w:val="16"/>
    </w:rPr>
  </w:style>
  <w:style w:type="paragraph" w:styleId="31">
    <w:name w:val="toc 2"/>
    <w:basedOn w:val="1"/>
    <w:next w:val="1"/>
    <w:autoRedefine/>
    <w:qFormat/>
    <w:uiPriority w:val="39"/>
    <w:pPr>
      <w:ind w:left="210"/>
      <w:jc w:val="left"/>
    </w:pPr>
    <w:rPr>
      <w:rFonts w:asciiTheme="minorHAnsi" w:hAnsiTheme="minorHAnsi"/>
      <w:smallCaps/>
      <w:sz w:val="20"/>
      <w:szCs w:val="20"/>
    </w:rPr>
  </w:style>
  <w:style w:type="paragraph" w:styleId="32">
    <w:name w:val="toc 9"/>
    <w:basedOn w:val="1"/>
    <w:next w:val="1"/>
    <w:unhideWhenUsed/>
    <w:qFormat/>
    <w:uiPriority w:val="39"/>
    <w:pPr>
      <w:ind w:left="1680"/>
      <w:jc w:val="left"/>
    </w:pPr>
    <w:rPr>
      <w:rFonts w:asciiTheme="minorHAnsi" w:hAnsiTheme="minorHAnsi"/>
      <w:sz w:val="18"/>
      <w:szCs w:val="18"/>
    </w:rPr>
  </w:style>
  <w:style w:type="paragraph" w:styleId="3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34">
    <w:name w:val="Normal (Web)"/>
    <w:basedOn w:val="1"/>
    <w:unhideWhenUsed/>
    <w:qFormat/>
    <w:uiPriority w:val="99"/>
    <w:pPr>
      <w:widowControl/>
      <w:spacing w:before="100" w:beforeAutospacing="1" w:after="100" w:afterAutospacing="1"/>
      <w:jc w:val="left"/>
    </w:pPr>
    <w:rPr>
      <w:rFonts w:ascii="宋体" w:hAnsi="宋体"/>
      <w:kern w:val="0"/>
      <w:sz w:val="24"/>
      <w:szCs w:val="20"/>
    </w:rPr>
  </w:style>
  <w:style w:type="paragraph" w:styleId="35">
    <w:name w:val="Title"/>
    <w:basedOn w:val="1"/>
    <w:next w:val="1"/>
    <w:link w:val="116"/>
    <w:qFormat/>
    <w:uiPriority w:val="0"/>
    <w:pPr>
      <w:spacing w:before="240" w:after="60"/>
      <w:jc w:val="center"/>
      <w:outlineLvl w:val="0"/>
    </w:pPr>
    <w:rPr>
      <w:rFonts w:asciiTheme="majorHAnsi" w:hAnsiTheme="majorHAnsi" w:eastAsiaTheme="majorEastAsia" w:cstheme="majorBidi"/>
      <w:b/>
      <w:bCs/>
      <w:sz w:val="44"/>
      <w:szCs w:val="32"/>
    </w:rPr>
  </w:style>
  <w:style w:type="paragraph" w:styleId="36">
    <w:name w:val="annotation subject"/>
    <w:basedOn w:val="15"/>
    <w:next w:val="15"/>
    <w:link w:val="97"/>
    <w:unhideWhenUsed/>
    <w:qFormat/>
    <w:uiPriority w:val="99"/>
    <w:rPr>
      <w:b/>
      <w:bCs/>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basedOn w:val="39"/>
    <w:qFormat/>
    <w:uiPriority w:val="0"/>
    <w:rPr>
      <w:b/>
      <w:bCs/>
    </w:rPr>
  </w:style>
  <w:style w:type="character" w:styleId="41">
    <w:name w:val="page number"/>
    <w:basedOn w:val="39"/>
    <w:qFormat/>
    <w:uiPriority w:val="99"/>
  </w:style>
  <w:style w:type="character" w:styleId="42">
    <w:name w:val="FollowedHyperlink"/>
    <w:basedOn w:val="39"/>
    <w:unhideWhenUsed/>
    <w:qFormat/>
    <w:uiPriority w:val="99"/>
    <w:rPr>
      <w:color w:val="2B2B2B"/>
      <w:u w:val="single"/>
    </w:rPr>
  </w:style>
  <w:style w:type="character" w:styleId="43">
    <w:name w:val="Emphasis"/>
    <w:basedOn w:val="39"/>
    <w:qFormat/>
    <w:uiPriority w:val="20"/>
  </w:style>
  <w:style w:type="character" w:styleId="44">
    <w:name w:val="HTML Definition"/>
    <w:basedOn w:val="39"/>
    <w:unhideWhenUsed/>
    <w:qFormat/>
    <w:uiPriority w:val="99"/>
  </w:style>
  <w:style w:type="character" w:styleId="45">
    <w:name w:val="HTML Variable"/>
    <w:basedOn w:val="39"/>
    <w:unhideWhenUsed/>
    <w:qFormat/>
    <w:uiPriority w:val="99"/>
  </w:style>
  <w:style w:type="character" w:styleId="46">
    <w:name w:val="Hyperlink"/>
    <w:basedOn w:val="39"/>
    <w:qFormat/>
    <w:uiPriority w:val="99"/>
    <w:rPr>
      <w:color w:val="0000FF"/>
      <w:u w:val="single"/>
    </w:rPr>
  </w:style>
  <w:style w:type="character" w:styleId="47">
    <w:name w:val="HTML Code"/>
    <w:basedOn w:val="39"/>
    <w:unhideWhenUsed/>
    <w:qFormat/>
    <w:uiPriority w:val="99"/>
    <w:rPr>
      <w:rFonts w:ascii="Courier New" w:hAnsi="Courier New" w:eastAsia="Courier New" w:cs="Courier New"/>
      <w:sz w:val="20"/>
    </w:rPr>
  </w:style>
  <w:style w:type="character" w:styleId="48">
    <w:name w:val="annotation reference"/>
    <w:basedOn w:val="39"/>
    <w:unhideWhenUsed/>
    <w:qFormat/>
    <w:uiPriority w:val="99"/>
    <w:rPr>
      <w:sz w:val="21"/>
      <w:szCs w:val="21"/>
    </w:rPr>
  </w:style>
  <w:style w:type="character" w:styleId="49">
    <w:name w:val="HTML Cite"/>
    <w:basedOn w:val="39"/>
    <w:unhideWhenUsed/>
    <w:qFormat/>
    <w:uiPriority w:val="99"/>
  </w:style>
  <w:style w:type="character" w:styleId="50">
    <w:name w:val="footnote reference"/>
    <w:unhideWhenUsed/>
    <w:qFormat/>
    <w:uiPriority w:val="99"/>
    <w:rPr>
      <w:vertAlign w:val="superscript"/>
    </w:rPr>
  </w:style>
  <w:style w:type="character" w:styleId="51">
    <w:name w:val="HTML Keyboard"/>
    <w:basedOn w:val="39"/>
    <w:unhideWhenUsed/>
    <w:qFormat/>
    <w:uiPriority w:val="99"/>
    <w:rPr>
      <w:rFonts w:ascii="Courier New" w:hAnsi="Courier New" w:eastAsia="Courier New" w:cs="Courier New"/>
      <w:sz w:val="20"/>
    </w:rPr>
  </w:style>
  <w:style w:type="character" w:styleId="52">
    <w:name w:val="HTML Sample"/>
    <w:basedOn w:val="39"/>
    <w:unhideWhenUsed/>
    <w:qFormat/>
    <w:uiPriority w:val="99"/>
    <w:rPr>
      <w:rFonts w:ascii="Courier New" w:hAnsi="Courier New" w:eastAsia="Courier New" w:cs="Courier New"/>
    </w:rPr>
  </w:style>
  <w:style w:type="paragraph" w:customStyle="1" w:styleId="53">
    <w:name w:val="样式 四号 行距: 固定值 30 磅 首行缩进:  2 字符1"/>
    <w:basedOn w:val="1"/>
    <w:autoRedefine/>
    <w:qFormat/>
    <w:uiPriority w:val="0"/>
    <w:pPr>
      <w:spacing w:line="580" w:lineRule="exact"/>
      <w:ind w:firstLine="406" w:firstLineChars="145"/>
    </w:pPr>
    <w:rPr>
      <w:rFonts w:ascii="宋体" w:hAnsi="宋体"/>
      <w:bCs/>
      <w:sz w:val="28"/>
      <w:szCs w:val="28"/>
    </w:rPr>
  </w:style>
  <w:style w:type="paragraph" w:customStyle="1" w:styleId="54">
    <w:name w:val="Char"/>
    <w:basedOn w:val="1"/>
    <w:semiHidden/>
    <w:qFormat/>
    <w:uiPriority w:val="0"/>
    <w:rPr>
      <w:szCs w:val="28"/>
    </w:rPr>
  </w:style>
  <w:style w:type="character" w:customStyle="1" w:styleId="55">
    <w:name w:val="正文缩进 Char"/>
    <w:basedOn w:val="39"/>
    <w:link w:val="13"/>
    <w:qFormat/>
    <w:uiPriority w:val="0"/>
    <w:rPr>
      <w:szCs w:val="20"/>
    </w:rPr>
  </w:style>
  <w:style w:type="character" w:customStyle="1" w:styleId="56">
    <w:name w:val="标题 1 Char"/>
    <w:basedOn w:val="39"/>
    <w:link w:val="2"/>
    <w:qFormat/>
    <w:uiPriority w:val="0"/>
    <w:rPr>
      <w:b/>
      <w:bCs/>
      <w:kern w:val="44"/>
      <w:sz w:val="32"/>
      <w:szCs w:val="44"/>
    </w:rPr>
  </w:style>
  <w:style w:type="paragraph" w:styleId="57">
    <w:name w:val="List Paragraph"/>
    <w:basedOn w:val="1"/>
    <w:qFormat/>
    <w:uiPriority w:val="34"/>
    <w:pPr>
      <w:ind w:firstLine="420" w:firstLineChars="200"/>
    </w:pPr>
  </w:style>
  <w:style w:type="character" w:customStyle="1" w:styleId="58">
    <w:name w:val="正文文本缩进 2 Char"/>
    <w:basedOn w:val="39"/>
    <w:link w:val="22"/>
    <w:qFormat/>
    <w:uiPriority w:val="0"/>
  </w:style>
  <w:style w:type="character" w:customStyle="1" w:styleId="59">
    <w:name w:val="bds_nopic1"/>
    <w:basedOn w:val="39"/>
    <w:qFormat/>
    <w:uiPriority w:val="0"/>
  </w:style>
  <w:style w:type="character" w:customStyle="1" w:styleId="60">
    <w:name w:val="cmt"/>
    <w:basedOn w:val="39"/>
    <w:qFormat/>
    <w:uiPriority w:val="0"/>
  </w:style>
  <w:style w:type="character" w:customStyle="1" w:styleId="61">
    <w:name w:val="sidecatalog-index2"/>
    <w:basedOn w:val="39"/>
    <w:qFormat/>
    <w:uiPriority w:val="0"/>
    <w:rPr>
      <w:rFonts w:ascii="Arail" w:hAnsi="Arail" w:eastAsia="Arail" w:cs="Arail"/>
      <w:color w:val="999999"/>
      <w:sz w:val="21"/>
      <w:szCs w:val="21"/>
    </w:rPr>
  </w:style>
  <w:style w:type="character" w:customStyle="1" w:styleId="62">
    <w:name w:val="ifenglogo"/>
    <w:basedOn w:val="39"/>
    <w:qFormat/>
    <w:uiPriority w:val="0"/>
  </w:style>
  <w:style w:type="character" w:customStyle="1" w:styleId="63">
    <w:name w:val="headline-content5"/>
    <w:basedOn w:val="39"/>
    <w:qFormat/>
    <w:uiPriority w:val="0"/>
    <w:rPr>
      <w:sz w:val="28"/>
      <w:szCs w:val="28"/>
    </w:rPr>
  </w:style>
  <w:style w:type="character" w:customStyle="1" w:styleId="64">
    <w:name w:val="current"/>
    <w:basedOn w:val="39"/>
    <w:qFormat/>
    <w:uiPriority w:val="0"/>
    <w:rPr>
      <w:b/>
      <w:color w:val="FFFFFF"/>
      <w:bdr w:val="single" w:color="8F1D22" w:sz="6" w:space="0"/>
      <w:shd w:val="clear" w:color="auto" w:fill="BA2737"/>
    </w:rPr>
  </w:style>
  <w:style w:type="character" w:customStyle="1" w:styleId="65">
    <w:name w:val="polysemyexp"/>
    <w:basedOn w:val="39"/>
    <w:qFormat/>
    <w:uiPriority w:val="0"/>
    <w:rPr>
      <w:color w:val="136EC2"/>
      <w:sz w:val="18"/>
      <w:szCs w:val="18"/>
      <w:u w:val="single"/>
    </w:rPr>
  </w:style>
  <w:style w:type="character" w:customStyle="1" w:styleId="66">
    <w:name w:val="sidecatalog-index1"/>
    <w:basedOn w:val="39"/>
    <w:qFormat/>
    <w:uiPriority w:val="0"/>
    <w:rPr>
      <w:rFonts w:ascii="Arial" w:hAnsi="Arial" w:cs="Arial"/>
      <w:b/>
      <w:color w:val="999999"/>
      <w:sz w:val="21"/>
      <w:szCs w:val="21"/>
    </w:rPr>
  </w:style>
  <w:style w:type="character" w:customStyle="1" w:styleId="67">
    <w:name w:val="bds_more3"/>
    <w:basedOn w:val="39"/>
    <w:qFormat/>
    <w:uiPriority w:val="0"/>
  </w:style>
  <w:style w:type="character" w:customStyle="1" w:styleId="68">
    <w:name w:val="forword"/>
    <w:basedOn w:val="39"/>
    <w:qFormat/>
    <w:uiPriority w:val="0"/>
  </w:style>
  <w:style w:type="character" w:customStyle="1" w:styleId="69">
    <w:name w:val="legend"/>
    <w:basedOn w:val="39"/>
    <w:qFormat/>
    <w:uiPriority w:val="0"/>
    <w:rPr>
      <w:color w:val="73B304"/>
      <w:shd w:val="clear" w:color="auto" w:fill="FFFFFF"/>
    </w:rPr>
  </w:style>
  <w:style w:type="character" w:customStyle="1" w:styleId="70">
    <w:name w:val="sidecatalog-dot"/>
    <w:basedOn w:val="39"/>
    <w:qFormat/>
    <w:uiPriority w:val="0"/>
  </w:style>
  <w:style w:type="character" w:customStyle="1" w:styleId="71">
    <w:name w:val="per"/>
    <w:basedOn w:val="39"/>
    <w:qFormat/>
    <w:uiPriority w:val="0"/>
    <w:rPr>
      <w:rFonts w:ascii="Arial" w:hAnsi="Arial" w:cs="Arial"/>
      <w:color w:val="CC0001"/>
      <w:sz w:val="19"/>
      <w:szCs w:val="19"/>
    </w:rPr>
  </w:style>
  <w:style w:type="character" w:customStyle="1" w:styleId="72">
    <w:name w:val="bds_nopic"/>
    <w:basedOn w:val="39"/>
    <w:qFormat/>
    <w:uiPriority w:val="0"/>
  </w:style>
  <w:style w:type="character" w:customStyle="1" w:styleId="73">
    <w:name w:val="sidecatalog-dot1"/>
    <w:basedOn w:val="39"/>
    <w:qFormat/>
    <w:uiPriority w:val="0"/>
  </w:style>
  <w:style w:type="character" w:customStyle="1" w:styleId="74">
    <w:name w:val="num2"/>
    <w:basedOn w:val="39"/>
    <w:qFormat/>
    <w:uiPriority w:val="0"/>
    <w:rPr>
      <w:rFonts w:ascii="Arial" w:hAnsi="Arial" w:cs="Arial"/>
      <w:color w:val="FFFFFF"/>
      <w:sz w:val="18"/>
      <w:szCs w:val="18"/>
    </w:rPr>
  </w:style>
  <w:style w:type="character" w:customStyle="1" w:styleId="75">
    <w:name w:val="polysemyred"/>
    <w:basedOn w:val="39"/>
    <w:qFormat/>
    <w:uiPriority w:val="0"/>
    <w:rPr>
      <w:color w:val="FF6666"/>
      <w:sz w:val="18"/>
      <w:szCs w:val="18"/>
    </w:rPr>
  </w:style>
  <w:style w:type="character" w:customStyle="1" w:styleId="76">
    <w:name w:val="sort"/>
    <w:basedOn w:val="39"/>
    <w:qFormat/>
    <w:uiPriority w:val="0"/>
    <w:rPr>
      <w:color w:val="FFFFFF"/>
      <w:bdr w:val="single" w:color="auto" w:sz="24" w:space="0"/>
    </w:rPr>
  </w:style>
  <w:style w:type="character" w:customStyle="1" w:styleId="77">
    <w:name w:val="bds_more"/>
    <w:basedOn w:val="39"/>
    <w:qFormat/>
    <w:uiPriority w:val="0"/>
    <w:rPr>
      <w:rFonts w:hint="eastAsia" w:ascii="宋体" w:hAnsi="宋体" w:eastAsia="宋体" w:cs="宋体"/>
    </w:rPr>
  </w:style>
  <w:style w:type="character" w:customStyle="1" w:styleId="78">
    <w:name w:val="desc"/>
    <w:basedOn w:val="39"/>
    <w:qFormat/>
    <w:uiPriority w:val="0"/>
    <w:rPr>
      <w:color w:val="000000"/>
      <w:sz w:val="18"/>
      <w:szCs w:val="18"/>
    </w:rPr>
  </w:style>
  <w:style w:type="character" w:customStyle="1" w:styleId="79">
    <w:name w:val="print"/>
    <w:basedOn w:val="39"/>
    <w:qFormat/>
    <w:uiPriority w:val="0"/>
  </w:style>
  <w:style w:type="character" w:customStyle="1" w:styleId="80">
    <w:name w:val="num"/>
    <w:basedOn w:val="39"/>
    <w:qFormat/>
    <w:uiPriority w:val="0"/>
    <w:rPr>
      <w:b/>
      <w:color w:val="FF7800"/>
    </w:rPr>
  </w:style>
  <w:style w:type="character" w:customStyle="1" w:styleId="81">
    <w:name w:val="bds_more2"/>
    <w:basedOn w:val="39"/>
    <w:qFormat/>
    <w:uiPriority w:val="0"/>
  </w:style>
  <w:style w:type="character" w:customStyle="1" w:styleId="82">
    <w:name w:val="release-day"/>
    <w:basedOn w:val="39"/>
    <w:qFormat/>
    <w:uiPriority w:val="0"/>
    <w:rPr>
      <w:bdr w:val="single" w:color="BDEBB0" w:sz="6" w:space="0"/>
      <w:shd w:val="clear" w:color="auto" w:fill="F5FFF1"/>
    </w:rPr>
  </w:style>
  <w:style w:type="character" w:customStyle="1" w:styleId="83">
    <w:name w:val="morelink-item"/>
    <w:basedOn w:val="39"/>
    <w:qFormat/>
    <w:uiPriority w:val="0"/>
  </w:style>
  <w:style w:type="character" w:customStyle="1" w:styleId="84">
    <w:name w:val="plus"/>
    <w:basedOn w:val="39"/>
    <w:qFormat/>
    <w:uiPriority w:val="0"/>
    <w:rPr>
      <w:b/>
      <w:vanish/>
      <w:color w:val="1F8DEF"/>
      <w:sz w:val="24"/>
      <w:szCs w:val="24"/>
    </w:rPr>
  </w:style>
  <w:style w:type="character" w:customStyle="1" w:styleId="85">
    <w:name w:val="lemmatitleh12"/>
    <w:basedOn w:val="39"/>
    <w:qFormat/>
    <w:uiPriority w:val="0"/>
  </w:style>
  <w:style w:type="character" w:customStyle="1" w:styleId="86">
    <w:name w:val="bds_nopic2"/>
    <w:basedOn w:val="39"/>
    <w:qFormat/>
    <w:uiPriority w:val="0"/>
  </w:style>
  <w:style w:type="character" w:customStyle="1" w:styleId="87">
    <w:name w:val="bds_more4"/>
    <w:basedOn w:val="39"/>
    <w:qFormat/>
    <w:uiPriority w:val="0"/>
  </w:style>
  <w:style w:type="character" w:customStyle="1" w:styleId="88">
    <w:name w:val="bds_more1"/>
    <w:basedOn w:val="39"/>
    <w:qFormat/>
    <w:uiPriority w:val="0"/>
  </w:style>
  <w:style w:type="character" w:customStyle="1" w:styleId="89">
    <w:name w:val="more"/>
    <w:basedOn w:val="39"/>
    <w:qFormat/>
    <w:uiPriority w:val="0"/>
  </w:style>
  <w:style w:type="character" w:customStyle="1" w:styleId="90">
    <w:name w:val="sort1"/>
    <w:basedOn w:val="39"/>
    <w:qFormat/>
    <w:uiPriority w:val="0"/>
  </w:style>
  <w:style w:type="character" w:customStyle="1" w:styleId="91">
    <w:name w:val="脚注文本 Char"/>
    <w:basedOn w:val="39"/>
    <w:link w:val="28"/>
    <w:qFormat/>
    <w:uiPriority w:val="99"/>
    <w:rPr>
      <w:sz w:val="18"/>
      <w:szCs w:val="18"/>
    </w:rPr>
  </w:style>
  <w:style w:type="paragraph" w:customStyle="1" w:styleId="92">
    <w:name w:val="样式3"/>
    <w:next w:val="1"/>
    <w:qFormat/>
    <w:uiPriority w:val="0"/>
    <w:pPr>
      <w:spacing w:line="360" w:lineRule="auto"/>
      <w:ind w:firstLine="422" w:firstLineChars="200"/>
    </w:pPr>
    <w:rPr>
      <w:rFonts w:ascii="宋体" w:hAnsi="宋体" w:eastAsia="宋体" w:cs="Times New Roman"/>
      <w:b/>
      <w:bCs/>
      <w:kern w:val="32"/>
      <w:sz w:val="32"/>
      <w:szCs w:val="21"/>
      <w:lang w:val="en-US" w:eastAsia="en-US" w:bidi="ar-SA"/>
    </w:rPr>
  </w:style>
  <w:style w:type="paragraph" w:customStyle="1" w:styleId="93">
    <w:name w:val="A正文"/>
    <w:basedOn w:val="1"/>
    <w:qFormat/>
    <w:uiPriority w:val="0"/>
    <w:pPr>
      <w:spacing w:line="360" w:lineRule="auto"/>
      <w:ind w:firstLine="200" w:firstLineChars="200"/>
    </w:pPr>
    <w:rPr>
      <w:rFonts w:eastAsia="华文细黑"/>
      <w:szCs w:val="21"/>
    </w:rPr>
  </w:style>
  <w:style w:type="paragraph" w:customStyle="1" w:styleId="94">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95">
    <w:name w:val="批注框文本 Char"/>
    <w:basedOn w:val="39"/>
    <w:link w:val="23"/>
    <w:qFormat/>
    <w:uiPriority w:val="99"/>
    <w:rPr>
      <w:sz w:val="18"/>
      <w:szCs w:val="18"/>
    </w:rPr>
  </w:style>
  <w:style w:type="character" w:customStyle="1" w:styleId="96">
    <w:name w:val="批注文字 Char"/>
    <w:basedOn w:val="39"/>
    <w:link w:val="15"/>
    <w:qFormat/>
    <w:uiPriority w:val="99"/>
    <w:rPr>
      <w:szCs w:val="20"/>
    </w:rPr>
  </w:style>
  <w:style w:type="character" w:customStyle="1" w:styleId="97">
    <w:name w:val="批注主题 Char"/>
    <w:basedOn w:val="96"/>
    <w:link w:val="36"/>
    <w:qFormat/>
    <w:uiPriority w:val="99"/>
    <w:rPr>
      <w:b/>
      <w:bCs/>
      <w:szCs w:val="20"/>
    </w:rPr>
  </w:style>
  <w:style w:type="paragraph" w:customStyle="1" w:styleId="98">
    <w:name w:val="样式5"/>
    <w:basedOn w:val="1"/>
    <w:qFormat/>
    <w:uiPriority w:val="0"/>
    <w:pPr>
      <w:widowControl/>
      <w:jc w:val="left"/>
    </w:pPr>
    <w:rPr>
      <w:rFonts w:ascii="宋体" w:hAnsi="宋体" w:cs="宋体"/>
      <w:kern w:val="0"/>
      <w:sz w:val="24"/>
      <w:szCs w:val="32"/>
    </w:rPr>
  </w:style>
  <w:style w:type="paragraph" w:customStyle="1" w:styleId="99">
    <w:name w:val="p0"/>
    <w:basedOn w:val="1"/>
    <w:qFormat/>
    <w:uiPriority w:val="0"/>
    <w:pPr>
      <w:widowControl/>
      <w:jc w:val="left"/>
    </w:pPr>
    <w:rPr>
      <w:rFonts w:ascii="宋体" w:hAnsi="宋体" w:cs="宋体"/>
      <w:kern w:val="0"/>
      <w:sz w:val="24"/>
      <w:szCs w:val="21"/>
    </w:rPr>
  </w:style>
  <w:style w:type="character" w:customStyle="1" w:styleId="100">
    <w:name w:val="标题 4 Char"/>
    <w:basedOn w:val="39"/>
    <w:link w:val="5"/>
    <w:semiHidden/>
    <w:qFormat/>
    <w:uiPriority w:val="0"/>
    <w:rPr>
      <w:rFonts w:ascii="Cambria" w:hAnsi="Cambria"/>
      <w:b/>
      <w:bCs/>
      <w:sz w:val="28"/>
      <w:szCs w:val="28"/>
    </w:rPr>
  </w:style>
  <w:style w:type="character" w:customStyle="1" w:styleId="101">
    <w:name w:val="标题 5 Char"/>
    <w:basedOn w:val="39"/>
    <w:link w:val="6"/>
    <w:semiHidden/>
    <w:qFormat/>
    <w:uiPriority w:val="0"/>
    <w:rPr>
      <w:b/>
      <w:bCs/>
      <w:sz w:val="28"/>
      <w:szCs w:val="28"/>
    </w:rPr>
  </w:style>
  <w:style w:type="character" w:customStyle="1" w:styleId="102">
    <w:name w:val="标题 6 Char"/>
    <w:basedOn w:val="39"/>
    <w:link w:val="7"/>
    <w:semiHidden/>
    <w:qFormat/>
    <w:uiPriority w:val="0"/>
    <w:rPr>
      <w:rFonts w:ascii="Cambria" w:hAnsi="Cambria"/>
      <w:b/>
      <w:bCs/>
      <w:sz w:val="24"/>
    </w:rPr>
  </w:style>
  <w:style w:type="character" w:customStyle="1" w:styleId="103">
    <w:name w:val="标题 7 Char"/>
    <w:basedOn w:val="39"/>
    <w:link w:val="8"/>
    <w:semiHidden/>
    <w:qFormat/>
    <w:uiPriority w:val="0"/>
    <w:rPr>
      <w:b/>
      <w:bCs/>
      <w:sz w:val="24"/>
    </w:rPr>
  </w:style>
  <w:style w:type="character" w:customStyle="1" w:styleId="104">
    <w:name w:val="标题 8 Char"/>
    <w:basedOn w:val="39"/>
    <w:link w:val="9"/>
    <w:semiHidden/>
    <w:qFormat/>
    <w:uiPriority w:val="0"/>
    <w:rPr>
      <w:rFonts w:ascii="Cambria" w:hAnsi="Cambria"/>
      <w:sz w:val="24"/>
    </w:rPr>
  </w:style>
  <w:style w:type="character" w:customStyle="1" w:styleId="105">
    <w:name w:val="标题 9 Char"/>
    <w:basedOn w:val="39"/>
    <w:link w:val="10"/>
    <w:semiHidden/>
    <w:qFormat/>
    <w:uiPriority w:val="0"/>
    <w:rPr>
      <w:rFonts w:ascii="Cambria" w:hAnsi="Cambria"/>
      <w:szCs w:val="21"/>
    </w:rPr>
  </w:style>
  <w:style w:type="character" w:customStyle="1" w:styleId="106">
    <w:name w:val="文档结构图 Char"/>
    <w:basedOn w:val="39"/>
    <w:link w:val="14"/>
    <w:qFormat/>
    <w:uiPriority w:val="0"/>
    <w:rPr>
      <w:rFonts w:ascii="宋体"/>
      <w:sz w:val="18"/>
      <w:szCs w:val="18"/>
    </w:rPr>
  </w:style>
  <w:style w:type="character" w:customStyle="1" w:styleId="107">
    <w:name w:val="页眉 Char"/>
    <w:link w:val="25"/>
    <w:qFormat/>
    <w:uiPriority w:val="0"/>
    <w:rPr>
      <w:sz w:val="18"/>
      <w:szCs w:val="18"/>
    </w:rPr>
  </w:style>
  <w:style w:type="character" w:customStyle="1" w:styleId="108">
    <w:name w:val="正文文本缩进 3 Char"/>
    <w:basedOn w:val="39"/>
    <w:link w:val="30"/>
    <w:qFormat/>
    <w:uiPriority w:val="0"/>
    <w:rPr>
      <w:sz w:val="16"/>
      <w:szCs w:val="16"/>
    </w:rPr>
  </w:style>
  <w:style w:type="paragraph" w:customStyle="1" w:styleId="109">
    <w:name w:val="_Style 2"/>
    <w:basedOn w:val="1"/>
    <w:qFormat/>
    <w:uiPriority w:val="0"/>
  </w:style>
  <w:style w:type="paragraph" w:customStyle="1" w:styleId="11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11">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Cs w:val="32"/>
    </w:rPr>
  </w:style>
  <w:style w:type="character" w:customStyle="1" w:styleId="112">
    <w:name w:val="标题 3 Char"/>
    <w:basedOn w:val="39"/>
    <w:link w:val="4"/>
    <w:qFormat/>
    <w:uiPriority w:val="9"/>
    <w:rPr>
      <w:b/>
      <w:bCs/>
      <w:sz w:val="28"/>
      <w:szCs w:val="32"/>
    </w:rPr>
  </w:style>
  <w:style w:type="character" w:customStyle="1" w:styleId="113">
    <w:name w:val="标题 2 Char"/>
    <w:basedOn w:val="39"/>
    <w:link w:val="3"/>
    <w:qFormat/>
    <w:uiPriority w:val="9"/>
    <w:rPr>
      <w:rFonts w:ascii="Arial" w:hAnsi="Arial" w:eastAsia="黑体"/>
      <w:b/>
      <w:bCs/>
      <w:sz w:val="30"/>
      <w:szCs w:val="32"/>
    </w:rPr>
  </w:style>
  <w:style w:type="table" w:customStyle="1" w:styleId="114">
    <w:name w:val="网格型1"/>
    <w:basedOn w:val="37"/>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5">
    <w:name w:val="网格型2"/>
    <w:basedOn w:val="37"/>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6">
    <w:name w:val="标题 Char"/>
    <w:basedOn w:val="39"/>
    <w:link w:val="35"/>
    <w:qFormat/>
    <w:uiPriority w:val="0"/>
    <w:rPr>
      <w:rFonts w:asciiTheme="majorHAnsi" w:hAnsiTheme="majorHAnsi" w:eastAsiaTheme="majorEastAsia" w:cstheme="majorBidi"/>
      <w:b/>
      <w:bCs/>
      <w:sz w:val="44"/>
      <w:szCs w:val="32"/>
    </w:rPr>
  </w:style>
  <w:style w:type="paragraph" w:customStyle="1" w:styleId="117">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18">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19">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2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1">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2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23">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24">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25">
    <w:name w:val="_Style 13"/>
    <w:qFormat/>
    <w:uiPriority w:val="0"/>
    <w:pPr>
      <w:spacing w:before="120" w:after="120" w:line="288" w:lineRule="auto"/>
    </w:pPr>
    <w:rPr>
      <w:rFonts w:ascii="Arial" w:hAnsi="Arial" w:eastAsia="等线" w:cs="Arial"/>
      <w:sz w:val="22"/>
      <w:szCs w:val="22"/>
      <w:lang w:val="en-US" w:eastAsia="zh-CN" w:bidi="ar-SA"/>
    </w:rPr>
  </w:style>
  <w:style w:type="character" w:customStyle="1" w:styleId="126">
    <w:name w:val="font21"/>
    <w:basedOn w:val="39"/>
    <w:qFormat/>
    <w:uiPriority w:val="0"/>
    <w:rPr>
      <w:rFonts w:hint="eastAsia" w:ascii="方正仿宋_GB2312" w:eastAsia="方正仿宋_GB2312" w:cs="方正仿宋_GB2312"/>
      <w:color w:val="000000"/>
      <w:sz w:val="28"/>
      <w:szCs w:val="28"/>
      <w:u w:val="none"/>
    </w:rPr>
  </w:style>
  <w:style w:type="character" w:customStyle="1" w:styleId="127">
    <w:name w:val="font41"/>
    <w:basedOn w:val="39"/>
    <w:qFormat/>
    <w:uiPriority w:val="0"/>
    <w:rPr>
      <w:rFonts w:hint="eastAsia" w:ascii="宋体" w:hAnsi="宋体" w:eastAsia="宋体" w:cs="宋体"/>
      <w:color w:val="000000"/>
      <w:sz w:val="28"/>
      <w:szCs w:val="28"/>
      <w:u w:val="none"/>
    </w:rPr>
  </w:style>
  <w:style w:type="character" w:customStyle="1" w:styleId="128">
    <w:name w:val="font31"/>
    <w:basedOn w:val="39"/>
    <w:qFormat/>
    <w:uiPriority w:val="0"/>
    <w:rPr>
      <w:rFonts w:hint="default" w:ascii="Times New Roman" w:hAnsi="Times New Roman" w:cs="Times New Roman"/>
      <w:color w:val="000000"/>
      <w:sz w:val="28"/>
      <w:szCs w:val="28"/>
      <w:u w:val="none"/>
    </w:rPr>
  </w:style>
  <w:style w:type="paragraph" w:customStyle="1" w:styleId="129">
    <w:name w:val="BodyText"/>
    <w:basedOn w:val="1"/>
    <w:qFormat/>
    <w:uiPriority w:val="0"/>
    <w:rPr>
      <w:rFonts w:ascii="微软雅黑" w:eastAsia="微软雅黑" w:cs="微软雅黑"/>
      <w:sz w:val="32"/>
      <w:szCs w:val="32"/>
      <w:lang w:val="zh-CN"/>
    </w:rPr>
  </w:style>
  <w:style w:type="character" w:customStyle="1" w:styleId="130">
    <w:name w:val="font11"/>
    <w:basedOn w:val="39"/>
    <w:qFormat/>
    <w:uiPriority w:val="0"/>
    <w:rPr>
      <w:rFonts w:hint="eastAsia" w:ascii="黑体" w:hAnsi="宋体" w:eastAsia="黑体" w:cs="黑体"/>
      <w:color w:val="000000"/>
      <w:sz w:val="28"/>
      <w:szCs w:val="28"/>
      <w:u w:val="none"/>
    </w:rPr>
  </w:style>
  <w:style w:type="table" w:customStyle="1" w:styleId="131">
    <w:name w:val="Table Normal"/>
    <w:unhideWhenUsed/>
    <w:qFormat/>
    <w:uiPriority w:val="0"/>
    <w:tblPr>
      <w:tblCellMar>
        <w:top w:w="0" w:type="dxa"/>
        <w:left w:w="0" w:type="dxa"/>
        <w:bottom w:w="0" w:type="dxa"/>
        <w:right w:w="0" w:type="dxa"/>
      </w:tblCellMar>
    </w:tblPr>
  </w:style>
  <w:style w:type="character" w:customStyle="1" w:styleId="132">
    <w:name w:val="页脚 Char"/>
    <w:link w:val="24"/>
    <w:qFormat/>
    <w:uiPriority w:val="0"/>
    <w:rPr>
      <w:sz w:val="18"/>
      <w:szCs w:val="18"/>
    </w:rPr>
  </w:style>
  <w:style w:type="paragraph" w:customStyle="1" w:styleId="133">
    <w:name w:val="内容块-38-a"/>
    <w:next w:val="1"/>
    <w:qFormat/>
    <w:uiPriority w:val="0"/>
    <w:pPr>
      <w:numPr>
        <w:ilvl w:val="0"/>
        <w:numId w:val="2"/>
      </w:numPr>
      <w:pBdr>
        <w:top w:val="none" w:color="4F81BD" w:themeColor="accent1" w:sz="0" w:space="1"/>
        <w:left w:val="none" w:color="4F81BD" w:themeColor="accent1" w:sz="0" w:space="4"/>
        <w:bottom w:val="single" w:color="C0E2EB" w:themeColor="accent5" w:themeTint="59" w:sz="12" w:space="10"/>
        <w:right w:val="none" w:color="4F81BD" w:themeColor="accent1" w:sz="0" w:space="4"/>
      </w:pBdr>
      <w:adjustRightInd w:val="0"/>
      <w:snapToGrid w:val="0"/>
      <w:spacing w:before="100" w:beforeLines="100" w:after="100" w:afterLines="100"/>
      <w:textAlignment w:val="center"/>
    </w:pPr>
    <w:rPr>
      <w:rFonts w:ascii="汉仪书宋二简" w:hAnsi="汉仪书宋二简" w:eastAsia="汉仪书宋二简" w:cstheme="minorBidi"/>
      <w:color w:val="0D0D0D" w:themeColor="text1" w:themeTint="F2"/>
      <w:sz w:val="44"/>
      <w:szCs w:val="44"/>
      <w:lang w:val="en-US" w:eastAsia="zh-CN" w:bidi="ar-SA"/>
      <w14:textFill>
        <w14:solidFill>
          <w14:schemeClr w14:val="tx1">
            <w14:lumMod w14:val="95000"/>
            <w14:lumOff w14:val="5000"/>
          </w14:schemeClr>
        </w14:solidFill>
      </w14:textFill>
    </w:rPr>
  </w:style>
  <w:style w:type="paragraph" w:customStyle="1" w:styleId="134">
    <w:name w:val="内容块-06-a"/>
    <w:basedOn w:val="1"/>
    <w:next w:val="1"/>
    <w:qFormat/>
    <w:uiPriority w:val="0"/>
    <w:pPr>
      <w:pBdr>
        <w:left w:val="single" w:color="4F81BD" w:themeColor="accent1" w:sz="12" w:space="10"/>
      </w:pBdr>
      <w:ind w:left="227"/>
      <w:textAlignment w:val="center"/>
    </w:pPr>
    <w:rPr>
      <w:rFonts w:asciiTheme="minorEastAsia" w:hAnsiTheme="minorEastAsia"/>
      <w:color w:val="595959" w:themeColor="text1" w:themeTint="A6"/>
      <w:szCs w:val="21"/>
      <w14:textFill>
        <w14:solidFill>
          <w14:schemeClr w14:val="tx1">
            <w14:lumMod w14:val="65000"/>
            <w14:lumOff w14:val="35000"/>
          </w14:schemeClr>
        </w14:solidFill>
      </w14:textFill>
    </w:rPr>
  </w:style>
  <w:style w:type="paragraph" w:customStyle="1" w:styleId="135">
    <w:name w:val="内容块-25-a"/>
    <w:basedOn w:val="1"/>
    <w:next w:val="1"/>
    <w:qFormat/>
    <w:uiPriority w:val="0"/>
    <w:pPr>
      <w:numPr>
        <w:ilvl w:val="0"/>
        <w:numId w:val="3"/>
      </w:numPr>
      <w:pBdr>
        <w:top w:val="single" w:color="F6F8FB" w:themeColor="accent1" w:themeTint="0D" w:sz="18" w:space="1"/>
        <w:left w:val="single" w:color="F6F8FB" w:themeColor="accent1" w:themeTint="0D" w:sz="18" w:space="8"/>
        <w:bottom w:val="single" w:color="4F81BD" w:themeColor="accent1" w:sz="18" w:space="9"/>
        <w:right w:val="single" w:color="4F81BD" w:themeColor="accent1" w:sz="18" w:space="8"/>
      </w:pBdr>
      <w:shd w:val="clear" w:color="auto" w:fill="F6F8FB" w:themeFill="accent1" w:themeFillTint="0D"/>
      <w:tabs>
        <w:tab w:val="left" w:pos="0"/>
      </w:tabs>
      <w:ind w:right="142"/>
    </w:pPr>
  </w:style>
  <w:style w:type="paragraph" w:customStyle="1" w:styleId="136">
    <w:name w:val="内容块-38-e"/>
    <w:next w:val="1"/>
    <w:qFormat/>
    <w:uiPriority w:val="0"/>
    <w:pPr>
      <w:numPr>
        <w:ilvl w:val="0"/>
        <w:numId w:val="4"/>
      </w:numPr>
      <w:pBdr>
        <w:top w:val="none" w:color="9BBB59" w:themeColor="accent3" w:sz="0" w:space="1"/>
        <w:left w:val="none" w:color="9BBB59" w:themeColor="accent3" w:sz="0" w:space="4"/>
        <w:bottom w:val="single" w:color="DCE7C5" w:themeColor="accent3" w:themeTint="59" w:sz="12" w:space="10"/>
        <w:right w:val="none" w:color="9BBB59" w:themeColor="accent3" w:sz="0" w:space="4"/>
      </w:pBdr>
      <w:adjustRightInd w:val="0"/>
      <w:snapToGrid w:val="0"/>
      <w:spacing w:before="100" w:beforeLines="100" w:after="100" w:afterLines="100"/>
      <w:textAlignment w:val="center"/>
    </w:pPr>
    <w:rPr>
      <w:rFonts w:ascii="汉仪书宋二简" w:hAnsi="汉仪书宋二简" w:eastAsia="汉仪书宋二简" w:cstheme="minorBidi"/>
      <w:color w:val="0D0D0D" w:themeColor="text1" w:themeTint="F2"/>
      <w:sz w:val="44"/>
      <w:szCs w:val="44"/>
      <w:lang w:val="en-US" w:eastAsia="zh-CN" w:bidi="ar-SA"/>
      <w14:textFill>
        <w14:solidFill>
          <w14:schemeClr w14:val="tx1">
            <w14:lumMod w14:val="95000"/>
            <w14:lumOff w14:val="5000"/>
          </w14:schemeClr>
        </w14:solidFill>
      </w14:textFill>
    </w:rPr>
  </w:style>
  <w:style w:type="paragraph" w:customStyle="1" w:styleId="137">
    <w:name w:val="内容块-22-e"/>
    <w:basedOn w:val="1"/>
    <w:next w:val="1"/>
    <w:qFormat/>
    <w:uiPriority w:val="0"/>
    <w:pPr>
      <w:pBdr>
        <w:top w:val="thinThickSmallGap" w:color="9BBB59" w:themeColor="accent3" w:sz="24" w:space="10"/>
        <w:left w:val="single" w:color="FEFEFF" w:themeColor="accent3" w:themeTint="00" w:sz="4" w:space="17"/>
        <w:bottom w:val="thickThinSmallGap" w:color="9BBB59" w:themeColor="accent3" w:sz="24" w:space="10"/>
        <w:right w:val="single" w:color="FEFEFF" w:themeColor="accent3" w:themeTint="00" w:sz="4" w:space="17"/>
      </w:pBdr>
      <w:shd w:val="clear" w:color="auto" w:fill="FBFCF8" w:themeFill="accent3" w:themeFillTint="0A"/>
      <w:ind w:left="351" w:right="351"/>
      <w:textAlignment w:val="center"/>
    </w:pPr>
    <w:rPr>
      <w:color w:val="000000"/>
      <w14:textFill>
        <w14:solidFill>
          <w14:srgbClr w14:val="000000">
            <w14:lumMod w14:val="75000"/>
            <w14:lumOff w14:val="25000"/>
          </w14:srgbClr>
        </w14:solidFill>
      </w14:textFill>
    </w:rPr>
  </w:style>
  <w:style w:type="character" w:customStyle="1" w:styleId="138">
    <w:name w:val="font51"/>
    <w:basedOn w:val="39"/>
    <w:qFormat/>
    <w:uiPriority w:val="0"/>
    <w:rPr>
      <w:rFonts w:hint="eastAsia" w:ascii="黑体" w:hAnsi="宋体" w:eastAsia="黑体" w:cs="黑体"/>
      <w:color w:val="000000"/>
      <w:sz w:val="28"/>
      <w:szCs w:val="28"/>
      <w:u w:val="none"/>
    </w:rPr>
  </w:style>
  <w:style w:type="character" w:customStyle="1" w:styleId="139">
    <w:name w:val="font61"/>
    <w:basedOn w:val="39"/>
    <w:qFormat/>
    <w:uiPriority w:val="0"/>
    <w:rPr>
      <w:rFonts w:hint="eastAsia" w:ascii="宋体" w:hAnsi="宋体" w:eastAsia="宋体" w:cs="宋体"/>
      <w:color w:val="000000"/>
      <w:sz w:val="28"/>
      <w:szCs w:val="28"/>
      <w:u w:val="none"/>
    </w:rPr>
  </w:style>
  <w:style w:type="character" w:customStyle="1" w:styleId="140">
    <w:name w:val="font81"/>
    <w:basedOn w:val="39"/>
    <w:qFormat/>
    <w:uiPriority w:val="0"/>
    <w:rPr>
      <w:rFonts w:hint="eastAsia" w:ascii="宋体" w:hAnsi="宋体" w:eastAsia="宋体" w:cs="宋体"/>
      <w:color w:val="FF0000"/>
      <w:sz w:val="28"/>
      <w:szCs w:val="28"/>
      <w:u w:val="none"/>
    </w:rPr>
  </w:style>
  <w:style w:type="character" w:customStyle="1" w:styleId="141">
    <w:name w:val="font71"/>
    <w:basedOn w:val="39"/>
    <w:qFormat/>
    <w:uiPriority w:val="0"/>
    <w:rPr>
      <w:rFonts w:hint="eastAsia" w:ascii="宋体" w:hAnsi="宋体" w:eastAsia="宋体" w:cs="宋体"/>
      <w:color w:val="FF0000"/>
      <w:sz w:val="28"/>
      <w:szCs w:val="28"/>
      <w:u w:val="none"/>
    </w:rPr>
  </w:style>
  <w:style w:type="character" w:customStyle="1" w:styleId="142">
    <w:name w:val="标题 3 字符"/>
    <w:basedOn w:val="39"/>
    <w:link w:val="4"/>
    <w:qFormat/>
    <w:uiPriority w:val="0"/>
    <w:rPr>
      <w:rFonts w:ascii="等线 Light" w:hAnsi="等线 Light" w:eastAsia="等线 Light" w:cs="Times New Roman"/>
      <w:color w:val="2F5496"/>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2" Type="http://schemas.microsoft.com/office/2007/relationships/hdphoto" Target="media/image2.wdp"/><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14CF5C-02CC-4949-9914-5CB62114BB1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1211</Words>
  <Characters>1241</Characters>
  <Lines>215</Lines>
  <Paragraphs>60</Paragraphs>
  <TotalTime>7</TotalTime>
  <ScaleCrop>false</ScaleCrop>
  <LinksUpToDate>false</LinksUpToDate>
  <CharactersWithSpaces>1365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2020-08-28T01:16:00Z</dcterms:created>
  <dc:creator>aaa</dc:creator>
  <cp:lastModifiedBy>花开</cp:lastModifiedBy>
  <cp:lastPrinted>2024-01-04T10:15:00Z</cp:lastPrinted>
  <dcterms:modified xsi:type="dcterms:W3CDTF">2025-11-12T01:33:46Z</dcterms:modified>
  <cp:revision>722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00834723EA084ED8AC0B4C01BA2D70BD_13</vt:lpwstr>
  </property>
  <property fmtid="{D5CDD505-2E9C-101B-9397-08002B2CF9AE}" pid="4" name="KSOTemplateDocerSaveRecord">
    <vt:lpwstr>eyJoZGlkIjoiYWY4MzIzMjU0NGQ3NGQyNjBmNTU1NDE5Njk0MmQ0MTEiLCJ1c2VySWQiOiI0MjU2MDI5NjkifQ==</vt:lpwstr>
  </property>
</Properties>
</file>