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BFDD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eastAsia="方正小标宋_GBK" w:cs="Times New Roman"/>
          <w:color w:val="auto"/>
          <w:sz w:val="44"/>
          <w:szCs w:val="44"/>
          <w:lang w:val="en-US" w:eastAsia="zh-CN"/>
        </w:rPr>
      </w:pPr>
      <w:bookmarkStart w:id="0" w:name="_GoBack"/>
      <w:r>
        <w:rPr>
          <w:rFonts w:hint="eastAsia" w:eastAsia="方正小标宋_GBK" w:cs="Times New Roman"/>
          <w:color w:val="auto"/>
          <w:sz w:val="44"/>
          <w:szCs w:val="44"/>
          <w:lang w:val="en-US" w:eastAsia="zh-CN"/>
        </w:rPr>
        <w:t>关于《玉溪市泉域水资源保护条例（草案）》</w:t>
      </w:r>
    </w:p>
    <w:p w14:paraId="36AB3C2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lang w:val="en-US" w:eastAsia="zh-CN"/>
        </w:rPr>
      </w:pPr>
      <w:r>
        <w:rPr>
          <w:rFonts w:hint="eastAsia" w:eastAsia="方正小标宋_GBK" w:cs="Times New Roman"/>
          <w:color w:val="auto"/>
          <w:sz w:val="44"/>
          <w:szCs w:val="44"/>
          <w:lang w:val="en-US" w:eastAsia="zh-CN"/>
        </w:rPr>
        <w:t>（听证稿）</w:t>
      </w:r>
      <w:r>
        <w:rPr>
          <w:rFonts w:hint="default" w:ascii="Times New Roman" w:hAnsi="Times New Roman" w:eastAsia="方正小标宋_GBK" w:cs="Times New Roman"/>
          <w:color w:val="auto"/>
          <w:sz w:val="44"/>
          <w:szCs w:val="44"/>
          <w:lang w:val="en-US" w:eastAsia="zh-CN"/>
        </w:rPr>
        <w:t>起草</w:t>
      </w:r>
      <w:r>
        <w:rPr>
          <w:rFonts w:hint="eastAsia" w:eastAsia="方正小标宋_GBK" w:cs="Times New Roman"/>
          <w:color w:val="auto"/>
          <w:sz w:val="44"/>
          <w:szCs w:val="44"/>
          <w:lang w:val="en-US" w:eastAsia="zh-CN"/>
        </w:rPr>
        <w:t>说明</w:t>
      </w:r>
    </w:p>
    <w:p w14:paraId="44B31F0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p>
    <w:p w14:paraId="10CC03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根据《中华人民共和国立法法》的规定和《玉溪市人民政府立法规定》有关要求，现就《玉溪市泉域水资源保护条例（草案）》（听证稿）</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以下简称《条例》</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作如下说明。</w:t>
      </w:r>
    </w:p>
    <w:p w14:paraId="7EF7551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eastAsia="zh-CN"/>
        </w:rPr>
        <w:t>、起草背景</w:t>
      </w:r>
    </w:p>
    <w:p w14:paraId="63817F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i w:val="0"/>
          <w:iCs w:val="0"/>
          <w:caps w:val="0"/>
          <w:color w:val="181B29"/>
          <w:spacing w:val="0"/>
          <w:kern w:val="0"/>
          <w:sz w:val="32"/>
          <w:szCs w:val="32"/>
          <w:lang w:val="en-US" w:eastAsia="zh-CN" w:bidi="ar"/>
        </w:rPr>
      </w:pPr>
      <w:r>
        <w:rPr>
          <w:rFonts w:hint="eastAsia" w:ascii="Times New Roman" w:hAnsi="Times New Roman" w:eastAsia="方正仿宋_GBK" w:cs="Times New Roman"/>
          <w:color w:val="000000"/>
          <w:sz w:val="32"/>
          <w:szCs w:val="32"/>
          <w:lang w:val="en-US" w:eastAsia="zh-CN"/>
        </w:rPr>
        <w:t>玉溪是一个极度缺水的城市，根据第三次水资源调查评价结果，玉溪市水资源总量42.45亿立方米（含地下水资源量16.29亿立方米），仅占全省水资源总量的2%，多年人均水资源量1403立方米，仅为全省人均水资源量（3799立方米）的37%，全国人均水资源量（2069立方米）的68%。玉溪市现有龙潭泉眼367个，干涸29个，正常使用338个</w:t>
      </w:r>
      <w:r>
        <w:rPr>
          <w:rFonts w:hint="eastAsia"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其中</w:t>
      </w:r>
      <w:r>
        <w:rPr>
          <w:rFonts w:hint="eastAsia"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属于饮用水水源地的</w:t>
      </w:r>
      <w:r>
        <w:rPr>
          <w:rFonts w:hint="eastAsia" w:eastAsia="方正仿宋_GBK" w:cs="Times New Roman"/>
          <w:color w:val="000000"/>
          <w:sz w:val="32"/>
          <w:szCs w:val="32"/>
          <w:lang w:val="en-US" w:eastAsia="zh-CN"/>
        </w:rPr>
        <w:t>有</w:t>
      </w:r>
      <w:r>
        <w:rPr>
          <w:rFonts w:hint="eastAsia" w:ascii="Times New Roman" w:hAnsi="Times New Roman" w:eastAsia="方正仿宋_GBK" w:cs="Times New Roman"/>
          <w:color w:val="000000"/>
          <w:sz w:val="32"/>
          <w:szCs w:val="32"/>
          <w:lang w:val="en-US" w:eastAsia="zh-CN"/>
        </w:rPr>
        <w:t>15个、温泉34处（口）。338个龙潭泉眼年出水总量26017.91万立方米，其中，年出水量在1000万立方米以上的有6个。</w:t>
      </w:r>
      <w:r>
        <w:rPr>
          <w:rFonts w:hint="default" w:ascii="Times New Roman" w:hAnsi="Times New Roman" w:eastAsia="方正仿宋_GBK" w:cs="Times New Roman"/>
          <w:kern w:val="0"/>
          <w:sz w:val="32"/>
          <w:szCs w:val="32"/>
          <w:lang w:val="en-US" w:eastAsia="zh-CN" w:bidi="ar"/>
        </w:rPr>
        <w:t>近年来，市委、市政府一体化推进水资源保护和水环境治理，</w:t>
      </w:r>
      <w:r>
        <w:rPr>
          <w:rFonts w:hint="eastAsia" w:ascii="Times New Roman" w:hAnsi="Times New Roman" w:eastAsia="方正仿宋_GBK" w:cs="Times New Roman"/>
          <w:sz w:val="32"/>
          <w:szCs w:val="32"/>
          <w:highlight w:val="none"/>
          <w:lang w:val="en-US" w:eastAsia="zh-CN"/>
        </w:rPr>
        <w:t>泉域水资源得到有效保护</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color w:val="auto"/>
          <w:sz w:val="32"/>
          <w:szCs w:val="32"/>
          <w:lang w:eastAsia="zh-CN"/>
        </w:rPr>
        <w:t>但与玉溪</w:t>
      </w:r>
      <w:r>
        <w:rPr>
          <w:rFonts w:hint="eastAsia" w:eastAsia="方正仿宋_GBK" w:cs="Times New Roman"/>
          <w:color w:val="auto"/>
          <w:sz w:val="32"/>
          <w:szCs w:val="32"/>
          <w:lang w:eastAsia="zh-CN"/>
        </w:rPr>
        <w:t>经济社会</w:t>
      </w:r>
      <w:r>
        <w:rPr>
          <w:rFonts w:hint="default" w:ascii="Times New Roman" w:hAnsi="Times New Roman" w:eastAsia="方正仿宋_GBK" w:cs="Times New Roman"/>
          <w:color w:val="auto"/>
          <w:sz w:val="32"/>
          <w:szCs w:val="32"/>
          <w:lang w:eastAsia="zh-CN"/>
        </w:rPr>
        <w:t>高质量发展和</w:t>
      </w:r>
      <w:r>
        <w:rPr>
          <w:rFonts w:hint="eastAsia" w:eastAsia="方正仿宋_GBK" w:cs="Times New Roman"/>
          <w:color w:val="auto"/>
          <w:sz w:val="32"/>
          <w:szCs w:val="32"/>
          <w:lang w:eastAsia="zh-CN"/>
        </w:rPr>
        <w:t>生产生活生态对</w:t>
      </w:r>
      <w:r>
        <w:rPr>
          <w:rFonts w:hint="default" w:ascii="Times New Roman" w:hAnsi="Times New Roman" w:eastAsia="方正仿宋_GBK" w:cs="Times New Roman"/>
          <w:color w:val="auto"/>
          <w:sz w:val="32"/>
          <w:szCs w:val="32"/>
          <w:lang w:eastAsia="zh-CN"/>
        </w:rPr>
        <w:t>水资源需求相比，还存在不小差距和短板</w:t>
      </w:r>
      <w:r>
        <w:rPr>
          <w:rFonts w:hint="eastAsia" w:eastAsia="方正仿宋_GBK" w:cs="Times New Roman"/>
          <w:color w:val="auto"/>
          <w:sz w:val="32"/>
          <w:szCs w:val="32"/>
          <w:lang w:eastAsia="zh-CN"/>
        </w:rPr>
        <w:t>，如</w:t>
      </w:r>
      <w:r>
        <w:rPr>
          <w:rFonts w:hint="default" w:ascii="Times New Roman" w:hAnsi="Times New Roman" w:eastAsia="方正仿宋_GBK" w:cs="Times New Roman"/>
          <w:color w:val="000000"/>
          <w:sz w:val="32"/>
          <w:szCs w:val="32"/>
        </w:rPr>
        <w:t>泉域水资源</w:t>
      </w:r>
      <w:r>
        <w:rPr>
          <w:rFonts w:hint="eastAsia" w:ascii="方正仿宋_GBK" w:hAnsi="方正仿宋_GBK" w:eastAsia="方正仿宋_GBK" w:cs="方正仿宋_GBK"/>
          <w:i w:val="0"/>
          <w:iCs w:val="0"/>
          <w:caps w:val="0"/>
          <w:color w:val="181B29"/>
          <w:spacing w:val="0"/>
          <w:kern w:val="0"/>
          <w:sz w:val="32"/>
          <w:szCs w:val="32"/>
          <w:lang w:val="en-US" w:eastAsia="zh-CN" w:bidi="ar"/>
        </w:rPr>
        <w:t>的用水方式比较粗放，水资源短缺和用水浪费并存，生态脆弱和开发过度并存，污染治理和超标排放并存。</w:t>
      </w:r>
      <w:r>
        <w:rPr>
          <w:rFonts w:hint="default" w:ascii="方正仿宋_GBK" w:hAnsi="方正仿宋_GBK" w:eastAsia="方正仿宋_GBK" w:cs="方正仿宋_GBK"/>
          <w:i w:val="0"/>
          <w:iCs w:val="0"/>
          <w:caps w:val="0"/>
          <w:color w:val="181B29"/>
          <w:spacing w:val="0"/>
          <w:kern w:val="0"/>
          <w:sz w:val="32"/>
          <w:szCs w:val="32"/>
          <w:lang w:val="en-US" w:eastAsia="zh-CN" w:bidi="ar"/>
        </w:rPr>
        <w:t>在此背景下，</w:t>
      </w:r>
      <w:r>
        <w:rPr>
          <w:rFonts w:hint="eastAsia" w:ascii="方正仿宋_GBK" w:hAnsi="方正仿宋_GBK" w:eastAsia="方正仿宋_GBK" w:cs="方正仿宋_GBK"/>
          <w:i w:val="0"/>
          <w:iCs w:val="0"/>
          <w:caps w:val="0"/>
          <w:color w:val="181B29"/>
          <w:spacing w:val="0"/>
          <w:kern w:val="0"/>
          <w:sz w:val="32"/>
          <w:szCs w:val="32"/>
          <w:lang w:val="en-US" w:eastAsia="zh-CN" w:bidi="ar"/>
        </w:rPr>
        <w:t>制定一部专门的地方性法规来</w:t>
      </w:r>
      <w:r>
        <w:rPr>
          <w:rFonts w:hint="default" w:ascii="方正仿宋_GBK" w:hAnsi="方正仿宋_GBK" w:eastAsia="方正仿宋_GBK" w:cs="方正仿宋_GBK"/>
          <w:i w:val="0"/>
          <w:iCs w:val="0"/>
          <w:caps w:val="0"/>
          <w:color w:val="181B29"/>
          <w:spacing w:val="0"/>
          <w:kern w:val="0"/>
          <w:sz w:val="32"/>
          <w:szCs w:val="32"/>
          <w:lang w:val="en-US" w:eastAsia="zh-CN" w:bidi="ar"/>
        </w:rPr>
        <w:t>补齐全市泉域水资源保护短板是形势所</w:t>
      </w:r>
      <w:r>
        <w:rPr>
          <w:rFonts w:hint="eastAsia" w:ascii="方正仿宋_GBK" w:hAnsi="方正仿宋_GBK" w:eastAsia="方正仿宋_GBK" w:cs="方正仿宋_GBK"/>
          <w:i w:val="0"/>
          <w:iCs w:val="0"/>
          <w:caps w:val="0"/>
          <w:color w:val="181B29"/>
          <w:spacing w:val="0"/>
          <w:kern w:val="0"/>
          <w:sz w:val="32"/>
          <w:szCs w:val="32"/>
          <w:lang w:val="en-US" w:eastAsia="zh-CN" w:bidi="ar"/>
        </w:rPr>
        <w:t>迫</w:t>
      </w:r>
      <w:r>
        <w:rPr>
          <w:rFonts w:hint="default" w:ascii="方正仿宋_GBK" w:hAnsi="方正仿宋_GBK" w:eastAsia="方正仿宋_GBK" w:cs="方正仿宋_GBK"/>
          <w:i w:val="0"/>
          <w:iCs w:val="0"/>
          <w:caps w:val="0"/>
          <w:color w:val="181B29"/>
          <w:spacing w:val="0"/>
          <w:kern w:val="0"/>
          <w:sz w:val="32"/>
          <w:szCs w:val="32"/>
          <w:lang w:val="en-US" w:eastAsia="zh-CN" w:bidi="ar"/>
        </w:rPr>
        <w:t>、发展所</w:t>
      </w:r>
      <w:r>
        <w:rPr>
          <w:rFonts w:hint="eastAsia" w:ascii="方正仿宋_GBK" w:hAnsi="方正仿宋_GBK" w:eastAsia="方正仿宋_GBK" w:cs="方正仿宋_GBK"/>
          <w:i w:val="0"/>
          <w:iCs w:val="0"/>
          <w:caps w:val="0"/>
          <w:color w:val="181B29"/>
          <w:spacing w:val="0"/>
          <w:kern w:val="0"/>
          <w:sz w:val="32"/>
          <w:szCs w:val="32"/>
          <w:lang w:val="en-US" w:eastAsia="zh-CN" w:bidi="ar"/>
        </w:rPr>
        <w:t>向</w:t>
      </w:r>
      <w:r>
        <w:rPr>
          <w:rFonts w:hint="default" w:ascii="方正仿宋_GBK" w:hAnsi="方正仿宋_GBK" w:eastAsia="方正仿宋_GBK" w:cs="方正仿宋_GBK"/>
          <w:i w:val="0"/>
          <w:iCs w:val="0"/>
          <w:caps w:val="0"/>
          <w:color w:val="181B29"/>
          <w:spacing w:val="0"/>
          <w:kern w:val="0"/>
          <w:sz w:val="32"/>
          <w:szCs w:val="32"/>
          <w:lang w:val="en-US" w:eastAsia="zh-CN" w:bidi="ar"/>
        </w:rPr>
        <w:t>。</w:t>
      </w:r>
    </w:p>
    <w:p w14:paraId="53982E58">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jc w:val="both"/>
        <w:textAlignment w:val="auto"/>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pPr>
      <w:r>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t>二、立法依据</w:t>
      </w:r>
    </w:p>
    <w:p w14:paraId="210D27A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楷体_GBK" w:hAnsi="方正楷体_GBK" w:eastAsia="方正楷体_GBK" w:cs="方正楷体_GBK"/>
          <w:b/>
          <w:bCs/>
          <w:color w:val="auto"/>
          <w:sz w:val="32"/>
          <w:szCs w:val="32"/>
          <w:lang w:val="en-US" w:eastAsia="zh-CN"/>
        </w:rPr>
        <w:t>（一）立法的必要性。</w:t>
      </w:r>
      <w:r>
        <w:rPr>
          <w:rFonts w:hint="eastAsia" w:ascii="方正仿宋_GBK" w:hAnsi="方正仿宋_GBK" w:eastAsia="方正仿宋_GBK" w:cs="方正仿宋_GBK"/>
          <w:i w:val="0"/>
          <w:iCs w:val="0"/>
          <w:caps w:val="0"/>
          <w:color w:val="181B29"/>
          <w:spacing w:val="0"/>
          <w:kern w:val="0"/>
          <w:sz w:val="32"/>
          <w:szCs w:val="32"/>
          <w:lang w:val="en-US" w:eastAsia="zh-CN" w:bidi="ar"/>
        </w:rPr>
        <w:t>泉域水资源作为重要的水资源，是我市生活饮用、农业生产、水产品生产及旅游业发展的支撑，在全市经济社会发展中发挥着重要作用。制定《条例》，对用法治思维和法治方式保护泉域水资源，有效应对水资源危机、保障泉域水资源可持续利用、促进经济社会发展与生态保护相协调具有重要意义。</w:t>
      </w:r>
    </w:p>
    <w:p w14:paraId="60C505E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一是贯彻落实习近平生态文明思想的现实需要。</w:t>
      </w:r>
      <w:r>
        <w:rPr>
          <w:rFonts w:hint="eastAsia" w:ascii="方正仿宋_GBK" w:hAnsi="方正仿宋_GBK" w:eastAsia="方正仿宋_GBK" w:cs="方正仿宋_GBK"/>
          <w:i w:val="0"/>
          <w:iCs w:val="0"/>
          <w:caps w:val="0"/>
          <w:color w:val="181B29"/>
          <w:spacing w:val="0"/>
          <w:kern w:val="0"/>
          <w:sz w:val="32"/>
          <w:szCs w:val="32"/>
          <w:lang w:val="en-US" w:eastAsia="zh-CN" w:bidi="ar"/>
        </w:rPr>
        <w:t>制定《条例》是我市深入贯彻习近平生态文明思想，全面落实习近平总书记“节水优先、空间均衡、系统治理、两手发力”治水思路和治水重要论述、习近平总书记考察云南重要讲话精神的重要举措，是用最严格制度最严密法治保护好生态环境的具体体现，是践行“两山”理念的实际行动。坚持生态优先、绿色发展，统一规划、分级管理，集约利用、系统治理的原则，以落实最严格水资源管理制度为核心，统筹水资源、水环境、水生态治理，持续推进生态文明建设，实现人水和谐，充分发挥立法的引领、推动、规范和保障作用，为全方位推动高质量发展提供坚强法治保障。</w:t>
      </w:r>
    </w:p>
    <w:p w14:paraId="0BC917D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二是统筹推进泉域水资源水环境水生态治理的需要。</w:t>
      </w:r>
      <w:r>
        <w:rPr>
          <w:rFonts w:hint="eastAsia" w:ascii="方正仿宋_GBK" w:hAnsi="方正仿宋_GBK" w:eastAsia="方正仿宋_GBK" w:cs="方正仿宋_GBK"/>
          <w:i w:val="0"/>
          <w:iCs w:val="0"/>
          <w:caps w:val="0"/>
          <w:color w:val="181B29"/>
          <w:spacing w:val="0"/>
          <w:kern w:val="0"/>
          <w:sz w:val="32"/>
          <w:szCs w:val="32"/>
          <w:lang w:val="en-US" w:eastAsia="zh-CN" w:bidi="ar"/>
        </w:rPr>
        <w:t>近年来，我市在泉域生态保护、环境治理等方面取得了一定成效，但也面临着泉域水资源衰减、水环境污染、水生态破坏三大危机，系统保护形势严峻。主要表现为：泉域水资源逐年减少下降且利用不充分，用水浪费问题与水资源短缺叠加并存，泉域水生态环境保护任务艰巨以及管理不规范、保护机制不健全，职责不清晰等问题。制定条例对健全完善泉域水资源保护工作机制，明确相关管理职责，细化保护措施，强化监督管理，严格管控相关建设活动、开发利用活动，规范各类影响水资源、水环境、水生态的行为，增强泉域水资源保护，推动依法科学合理用泉十分必要。</w:t>
      </w:r>
    </w:p>
    <w:p w14:paraId="6AEA30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三是发挥立法补充性、探索性功能定位，先行先试，丰富立法实践的需要。</w:t>
      </w:r>
      <w:r>
        <w:rPr>
          <w:rFonts w:hint="eastAsia" w:ascii="方正仿宋_GBK" w:hAnsi="方正仿宋_GBK" w:eastAsia="方正仿宋_GBK" w:cs="方正仿宋_GBK"/>
          <w:i w:val="0"/>
          <w:iCs w:val="0"/>
          <w:caps w:val="0"/>
          <w:color w:val="181B29"/>
          <w:spacing w:val="0"/>
          <w:kern w:val="0"/>
          <w:sz w:val="32"/>
          <w:szCs w:val="32"/>
          <w:lang w:val="en-US" w:eastAsia="zh-CN" w:bidi="ar"/>
        </w:rPr>
        <w:t>制定《条例》，是我市加快立法速度，提升立法效果，及时高效精准回应泉域保护治理难点与痛点的现实需要。《条例》是云南省首部涉及泉域水资源保护的地方性法规，也是玉溪市先行先试，为全省泉域水资源保护积累经验。</w:t>
      </w:r>
    </w:p>
    <w:p w14:paraId="458C05E1">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（二）立法的可行性。</w:t>
      </w:r>
      <w:r>
        <w:rPr>
          <w:rFonts w:hint="eastAsia" w:ascii="方正楷体_GBK" w:hAnsi="方正楷体_GBK" w:eastAsia="方正楷体_GBK" w:cs="方正楷体_GBK"/>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条例</w:t>
      </w:r>
      <w:r>
        <w:rPr>
          <w:rFonts w:hint="eastAsia"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立法</w:t>
      </w:r>
      <w:r>
        <w:rPr>
          <w:rFonts w:hint="eastAsia" w:eastAsia="方正仿宋_GBK" w:cs="Times New Roman"/>
          <w:b w:val="0"/>
          <w:bCs w:val="0"/>
          <w:color w:val="auto"/>
          <w:sz w:val="32"/>
          <w:szCs w:val="32"/>
          <w:lang w:val="en-US" w:eastAsia="zh-CN"/>
        </w:rPr>
        <w:t>已</w:t>
      </w:r>
      <w:r>
        <w:rPr>
          <w:rFonts w:hint="eastAsia" w:ascii="Times New Roman" w:hAnsi="Times New Roman" w:eastAsia="方正仿宋_GBK" w:cs="Times New Roman"/>
          <w:b w:val="0"/>
          <w:bCs w:val="0"/>
          <w:color w:val="auto"/>
          <w:sz w:val="32"/>
          <w:szCs w:val="32"/>
          <w:lang w:val="en-US" w:eastAsia="zh-CN"/>
        </w:rPr>
        <w:t>具备</w:t>
      </w:r>
      <w:r>
        <w:rPr>
          <w:rFonts w:hint="eastAsia" w:eastAsia="方正仿宋_GBK" w:cs="Times New Roman"/>
          <w:b w:val="0"/>
          <w:bCs w:val="0"/>
          <w:color w:val="auto"/>
          <w:sz w:val="32"/>
          <w:szCs w:val="32"/>
          <w:lang w:val="en-US" w:eastAsia="zh-CN"/>
        </w:rPr>
        <w:t>良好的工作基础</w:t>
      </w:r>
      <w:r>
        <w:rPr>
          <w:rFonts w:hint="eastAsia" w:ascii="Times New Roman" w:hAnsi="Times New Roman" w:eastAsia="方正仿宋_GBK" w:cs="Times New Roman"/>
          <w:b w:val="0"/>
          <w:bCs w:val="0"/>
          <w:color w:val="auto"/>
          <w:sz w:val="32"/>
          <w:szCs w:val="32"/>
          <w:lang w:val="en-US" w:eastAsia="zh-CN"/>
        </w:rPr>
        <w:t>，</w:t>
      </w:r>
      <w:r>
        <w:rPr>
          <w:rFonts w:hint="eastAsia" w:eastAsia="方正仿宋_GBK" w:cs="Times New Roman"/>
          <w:b w:val="0"/>
          <w:bCs w:val="0"/>
          <w:color w:val="auto"/>
          <w:sz w:val="32"/>
          <w:szCs w:val="32"/>
          <w:lang w:val="en-US" w:eastAsia="zh-CN"/>
        </w:rPr>
        <w:t>通过立法</w:t>
      </w:r>
      <w:r>
        <w:rPr>
          <w:rFonts w:hint="eastAsia" w:ascii="Times New Roman" w:hAnsi="Times New Roman" w:eastAsia="方正仿宋_GBK" w:cs="Times New Roman"/>
          <w:b w:val="0"/>
          <w:bCs w:val="0"/>
          <w:color w:val="auto"/>
          <w:sz w:val="32"/>
          <w:szCs w:val="32"/>
          <w:lang w:val="en-US" w:eastAsia="zh-CN"/>
        </w:rPr>
        <w:t>能够有效支撑泉域水资源保护</w:t>
      </w:r>
      <w:r>
        <w:rPr>
          <w:rFonts w:hint="eastAsia" w:eastAsia="方正仿宋_GBK" w:cs="Times New Roman"/>
          <w:b w:val="0"/>
          <w:bCs w:val="0"/>
          <w:color w:val="auto"/>
          <w:sz w:val="32"/>
          <w:szCs w:val="32"/>
          <w:lang w:val="en-US" w:eastAsia="zh-CN"/>
        </w:rPr>
        <w:t>和</w:t>
      </w:r>
      <w:r>
        <w:rPr>
          <w:rFonts w:hint="eastAsia" w:ascii="Times New Roman" w:hAnsi="Times New Roman" w:eastAsia="方正仿宋_GBK" w:cs="Times New Roman"/>
          <w:b w:val="0"/>
          <w:bCs w:val="0"/>
          <w:color w:val="auto"/>
          <w:sz w:val="32"/>
          <w:szCs w:val="32"/>
          <w:lang w:val="en-US" w:eastAsia="zh-CN"/>
        </w:rPr>
        <w:t>可持续利用。主要体现在以下</w:t>
      </w:r>
      <w:r>
        <w:rPr>
          <w:rFonts w:hint="eastAsia" w:eastAsia="方正仿宋_GBK" w:cs="Times New Roman"/>
          <w:b w:val="0"/>
          <w:bCs w:val="0"/>
          <w:color w:val="auto"/>
          <w:sz w:val="32"/>
          <w:szCs w:val="32"/>
          <w:lang w:val="en-US" w:eastAsia="zh-CN"/>
        </w:rPr>
        <w:t>几</w:t>
      </w:r>
      <w:r>
        <w:rPr>
          <w:rFonts w:hint="eastAsia" w:ascii="Times New Roman" w:hAnsi="Times New Roman" w:eastAsia="方正仿宋_GBK" w:cs="Times New Roman"/>
          <w:b w:val="0"/>
          <w:bCs w:val="0"/>
          <w:color w:val="auto"/>
          <w:sz w:val="32"/>
          <w:szCs w:val="32"/>
          <w:lang w:val="en-US" w:eastAsia="zh-CN"/>
        </w:rPr>
        <w:t>方面：</w:t>
      </w:r>
    </w:p>
    <w:p w14:paraId="35A8568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eastAsia="方正仿宋_GBK" w:cs="Times New Roman"/>
          <w:b/>
          <w:bCs/>
          <w:color w:val="auto"/>
          <w:kern w:val="2"/>
          <w:sz w:val="32"/>
          <w:szCs w:val="32"/>
          <w:lang w:val="en-US" w:eastAsia="zh-CN" w:bidi="ar-SA"/>
        </w:rPr>
        <w:t>一</w:t>
      </w:r>
      <w:r>
        <w:rPr>
          <w:rFonts w:hint="default" w:ascii="Times New Roman" w:hAnsi="Times New Roman" w:eastAsia="方正仿宋_GBK" w:cs="Times New Roman"/>
          <w:b/>
          <w:bCs/>
          <w:color w:val="auto"/>
          <w:kern w:val="2"/>
          <w:sz w:val="32"/>
          <w:szCs w:val="32"/>
          <w:lang w:val="en-US" w:eastAsia="zh-CN" w:bidi="ar-SA"/>
        </w:rPr>
        <w:t>是</w:t>
      </w:r>
      <w:r>
        <w:rPr>
          <w:rFonts w:hint="eastAsia" w:eastAsia="方正仿宋_GBK" w:cs="Times New Roman"/>
          <w:b/>
          <w:bCs/>
          <w:color w:val="auto"/>
          <w:kern w:val="2"/>
          <w:sz w:val="32"/>
          <w:szCs w:val="32"/>
          <w:lang w:val="en-US" w:eastAsia="zh-CN" w:bidi="ar-SA"/>
        </w:rPr>
        <w:t>前期工作奠定了立法基础</w:t>
      </w:r>
      <w:r>
        <w:rPr>
          <w:rFonts w:hint="default"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市委、</w:t>
      </w:r>
      <w:r>
        <w:rPr>
          <w:rFonts w:hint="eastAsia" w:eastAsia="方正仿宋_GBK" w:cs="Times New Roman"/>
          <w:b w:val="0"/>
          <w:bCs w:val="0"/>
          <w:color w:val="auto"/>
          <w:kern w:val="2"/>
          <w:sz w:val="32"/>
          <w:szCs w:val="32"/>
          <w:lang w:val="en-US" w:eastAsia="zh-CN" w:bidi="ar-SA"/>
        </w:rPr>
        <w:t>市人大、</w:t>
      </w:r>
      <w:r>
        <w:rPr>
          <w:rFonts w:hint="default" w:ascii="Times New Roman" w:hAnsi="Times New Roman" w:eastAsia="方正仿宋_GBK" w:cs="Times New Roman"/>
          <w:b w:val="0"/>
          <w:bCs w:val="0"/>
          <w:color w:val="auto"/>
          <w:kern w:val="2"/>
          <w:sz w:val="32"/>
          <w:szCs w:val="32"/>
          <w:lang w:val="en-US" w:eastAsia="zh-CN" w:bidi="ar-SA"/>
        </w:rPr>
        <w:t>市政府</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高度重视</w:t>
      </w:r>
      <w:r>
        <w:rPr>
          <w:rFonts w:hint="eastAsia" w:eastAsia="方正仿宋_GBK" w:cs="Times New Roman"/>
          <w:b w:val="0"/>
          <w:bCs w:val="0"/>
          <w:color w:val="auto"/>
          <w:kern w:val="2"/>
          <w:sz w:val="32"/>
          <w:szCs w:val="32"/>
          <w:lang w:val="en-US" w:eastAsia="zh-CN" w:bidi="ar-SA"/>
        </w:rPr>
        <w:t>我市</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泉域水</w:t>
      </w:r>
      <w:r>
        <w:rPr>
          <w:rFonts w:hint="eastAsia" w:eastAsia="方正仿宋_GBK" w:cs="Times New Roman"/>
          <w:b w:val="0"/>
          <w:bCs w:val="0"/>
          <w:color w:val="000000" w:themeColor="text1"/>
          <w:sz w:val="32"/>
          <w:szCs w:val="32"/>
          <w:lang w:val="en-US" w:eastAsia="zh-CN"/>
          <w14:textFill>
            <w14:solidFill>
              <w14:schemeClr w14:val="tx1"/>
            </w14:solidFill>
          </w14:textFill>
        </w:rPr>
        <w:t>资源</w:t>
      </w:r>
      <w:r>
        <w:rPr>
          <w:rFonts w:hint="default" w:ascii="Times New Roman" w:hAnsi="Times New Roman" w:eastAsia="方正仿宋_GBK" w:cs="Times New Roman"/>
          <w:b w:val="0"/>
          <w:bCs w:val="0"/>
          <w:color w:val="auto"/>
          <w:kern w:val="2"/>
          <w:sz w:val="32"/>
          <w:szCs w:val="32"/>
          <w:lang w:val="en-US" w:eastAsia="zh-CN" w:bidi="ar-SA"/>
        </w:rPr>
        <w:t>保护工作，2025年7月市人大常委会第二十九次会议专题听取市人民政府关于龙潭泉眼水资源情况报告，形成</w:t>
      </w:r>
      <w:r>
        <w:rPr>
          <w:rFonts w:hint="eastAsia" w:eastAsia="方正仿宋_GBK" w:cs="Times New Roman"/>
          <w:b w:val="0"/>
          <w:bCs w:val="0"/>
          <w:color w:val="auto"/>
          <w:kern w:val="2"/>
          <w:sz w:val="32"/>
          <w:szCs w:val="32"/>
          <w:lang w:val="en-US" w:eastAsia="zh-CN" w:bidi="ar-SA"/>
        </w:rPr>
        <w:t>了</w:t>
      </w:r>
      <w:r>
        <w:rPr>
          <w:rFonts w:hint="default" w:ascii="Times New Roman" w:hAnsi="Times New Roman" w:eastAsia="方正仿宋_GBK" w:cs="Times New Roman"/>
          <w:b w:val="0"/>
          <w:bCs w:val="0"/>
          <w:color w:val="auto"/>
          <w:kern w:val="2"/>
          <w:sz w:val="32"/>
          <w:szCs w:val="32"/>
          <w:lang w:val="en-US" w:eastAsia="zh-CN" w:bidi="ar-SA"/>
        </w:rPr>
        <w:t>《玉溪市龙潭泉眼水资源调查情况报告》和审议意见。全市龙潭泉眼水资源情况清，底数明，为</w:t>
      </w:r>
      <w:r>
        <w:rPr>
          <w:rFonts w:hint="eastAsia" w:eastAsia="方正仿宋_GBK" w:cs="Times New Roman"/>
          <w:b w:val="0"/>
          <w:bCs w:val="0"/>
          <w:color w:val="auto"/>
          <w:kern w:val="2"/>
          <w:sz w:val="32"/>
          <w:szCs w:val="32"/>
          <w:lang w:val="en-US" w:eastAsia="zh-CN" w:bidi="ar-SA"/>
        </w:rPr>
        <w:t>《条例》</w:t>
      </w:r>
      <w:r>
        <w:rPr>
          <w:rFonts w:hint="default" w:ascii="Times New Roman" w:hAnsi="Times New Roman" w:eastAsia="方正仿宋_GBK" w:cs="Times New Roman"/>
          <w:b w:val="0"/>
          <w:bCs w:val="0"/>
          <w:color w:val="auto"/>
          <w:kern w:val="2"/>
          <w:sz w:val="32"/>
          <w:szCs w:val="32"/>
          <w:lang w:val="en-US" w:eastAsia="zh-CN" w:bidi="ar-SA"/>
        </w:rPr>
        <w:t>立法可行性提供了</w:t>
      </w:r>
      <w:r>
        <w:rPr>
          <w:rFonts w:hint="eastAsia" w:eastAsia="方正仿宋_GBK" w:cs="Times New Roman"/>
          <w:b w:val="0"/>
          <w:bCs w:val="0"/>
          <w:color w:val="auto"/>
          <w:kern w:val="2"/>
          <w:sz w:val="32"/>
          <w:szCs w:val="32"/>
          <w:lang w:val="en-US" w:eastAsia="zh-CN" w:bidi="ar-SA"/>
        </w:rPr>
        <w:t>有力的立法基础。</w:t>
      </w:r>
    </w:p>
    <w:p w14:paraId="342CAAA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eastAsia="方正仿宋_GBK" w:cs="Times New Roman"/>
          <w:b/>
          <w:bCs/>
          <w:color w:val="auto"/>
          <w:kern w:val="2"/>
          <w:sz w:val="32"/>
          <w:szCs w:val="32"/>
          <w:lang w:val="en-US" w:eastAsia="zh-CN" w:bidi="ar-SA"/>
        </w:rPr>
        <w:t>二立足“</w:t>
      </w:r>
      <w:r>
        <w:rPr>
          <w:rFonts w:hint="default" w:eastAsia="方正仿宋_GBK" w:cs="Times New Roman"/>
          <w:b/>
          <w:bCs/>
          <w:color w:val="auto"/>
          <w:kern w:val="2"/>
          <w:sz w:val="32"/>
          <w:szCs w:val="32"/>
          <w:lang w:val="en-US" w:eastAsia="zh-CN" w:bidi="ar-SA"/>
        </w:rPr>
        <w:t>小切口</w:t>
      </w:r>
      <w:r>
        <w:rPr>
          <w:rFonts w:hint="eastAsia" w:eastAsia="方正仿宋_GBK" w:cs="Times New Roman"/>
          <w:b/>
          <w:bCs/>
          <w:color w:val="auto"/>
          <w:kern w:val="2"/>
          <w:sz w:val="32"/>
          <w:szCs w:val="32"/>
          <w:lang w:val="en-US" w:eastAsia="zh-CN" w:bidi="ar-SA"/>
        </w:rPr>
        <w:t>”立法。</w:t>
      </w:r>
      <w:r>
        <w:rPr>
          <w:rFonts w:hint="eastAsia" w:eastAsia="方正仿宋_GBK" w:cs="Times New Roman"/>
          <w:b w:val="0"/>
          <w:bCs w:val="0"/>
          <w:color w:val="auto"/>
          <w:kern w:val="2"/>
          <w:sz w:val="32"/>
          <w:szCs w:val="32"/>
          <w:lang w:val="en-US" w:eastAsia="zh-CN" w:bidi="ar-SA"/>
        </w:rPr>
        <w:t>玉溪市将针对</w:t>
      </w:r>
      <w:r>
        <w:rPr>
          <w:rFonts w:hint="eastAsia" w:ascii="Times New Roman" w:hAnsi="Times New Roman" w:eastAsia="方正仿宋_GBK" w:cs="Times New Roman"/>
          <w:b w:val="0"/>
          <w:bCs w:val="0"/>
          <w:color w:val="auto"/>
          <w:kern w:val="2"/>
          <w:sz w:val="32"/>
          <w:szCs w:val="32"/>
          <w:lang w:val="en-US" w:eastAsia="zh-CN" w:bidi="ar-SA"/>
        </w:rPr>
        <w:t>泉域</w:t>
      </w:r>
      <w:r>
        <w:rPr>
          <w:rFonts w:hint="eastAsia" w:eastAsia="方正仿宋_GBK" w:cs="Times New Roman"/>
          <w:b w:val="0"/>
          <w:bCs w:val="0"/>
          <w:color w:val="auto"/>
          <w:kern w:val="2"/>
          <w:sz w:val="32"/>
          <w:szCs w:val="32"/>
          <w:lang w:val="en-US" w:eastAsia="zh-CN" w:bidi="ar-SA"/>
        </w:rPr>
        <w:t>水资源保护尝试切口小、立法快、效果灵的"小快灵"立法模式。立法中</w:t>
      </w:r>
      <w:r>
        <w:rPr>
          <w:rFonts w:hint="eastAsia" w:ascii="Times New Roman" w:hAnsi="Times New Roman" w:eastAsia="方正仿宋_GBK" w:cs="Times New Roman"/>
          <w:b w:val="0"/>
          <w:bCs w:val="0"/>
          <w:color w:val="auto"/>
          <w:kern w:val="2"/>
          <w:sz w:val="32"/>
          <w:szCs w:val="32"/>
          <w:lang w:val="en-US" w:eastAsia="zh-CN" w:bidi="ar-SA"/>
        </w:rPr>
        <w:t>围绕泉域水资源保护中存在问题，坚持</w:t>
      </w:r>
      <w:r>
        <w:rPr>
          <w:rFonts w:hint="default" w:ascii="方正仿宋_GBK" w:hAnsi="方正仿宋_GBK" w:eastAsia="方正仿宋_GBK" w:cs="方正仿宋_GBK"/>
          <w:i w:val="0"/>
          <w:iCs w:val="0"/>
          <w:caps w:val="0"/>
          <w:color w:val="181B29"/>
          <w:spacing w:val="0"/>
          <w:kern w:val="0"/>
          <w:sz w:val="32"/>
          <w:szCs w:val="32"/>
          <w:lang w:val="en-US" w:eastAsia="zh-CN" w:bidi="ar"/>
        </w:rPr>
        <w:t>以问题为导向</w:t>
      </w:r>
      <w:r>
        <w:rPr>
          <w:rFonts w:hint="eastAsia" w:ascii="方正仿宋_GBK" w:hAnsi="方正仿宋_GBK" w:eastAsia="方正仿宋_GBK" w:cs="方正仿宋_GBK"/>
          <w:i w:val="0"/>
          <w:iCs w:val="0"/>
          <w:caps w:val="0"/>
          <w:color w:val="181B29"/>
          <w:spacing w:val="0"/>
          <w:kern w:val="0"/>
          <w:sz w:val="32"/>
          <w:szCs w:val="32"/>
          <w:lang w:val="en-US" w:eastAsia="zh-CN" w:bidi="ar"/>
        </w:rPr>
        <w:t>，立足“小切口”立法</w:t>
      </w:r>
      <w:r>
        <w:rPr>
          <w:rFonts w:hint="eastAsia"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有几条写几条，</w:t>
      </w:r>
      <w:r>
        <w:rPr>
          <w:rFonts w:hint="eastAsia" w:ascii="Times New Roman" w:hAnsi="Times New Roman" w:eastAsia="方正仿宋_GBK" w:cs="Times New Roman"/>
          <w:b/>
          <w:bCs/>
          <w:color w:val="auto"/>
          <w:kern w:val="2"/>
          <w:sz w:val="32"/>
          <w:szCs w:val="32"/>
          <w:lang w:val="en-US" w:eastAsia="zh-CN" w:bidi="ar-SA"/>
        </w:rPr>
        <w:t>明确“保护什么”</w:t>
      </w:r>
      <w:r>
        <w:rPr>
          <w:rFonts w:hint="eastAsia" w:ascii="Times New Roman" w:hAnsi="Times New Roman" w:eastAsia="方正仿宋_GBK" w:cs="Times New Roman"/>
          <w:b w:val="0"/>
          <w:bCs w:val="0"/>
          <w:color w:val="auto"/>
          <w:kern w:val="2"/>
          <w:sz w:val="32"/>
          <w:szCs w:val="32"/>
          <w:lang w:val="en-US" w:eastAsia="zh-CN" w:bidi="ar-SA"/>
        </w:rPr>
        <w:t>，即保护好玉溪市现有367处龙潭泉眼水资源；</w:t>
      </w:r>
      <w:r>
        <w:rPr>
          <w:rFonts w:hint="eastAsia" w:ascii="Times New Roman" w:hAnsi="Times New Roman" w:eastAsia="方正仿宋_GBK" w:cs="Times New Roman"/>
          <w:b/>
          <w:bCs/>
          <w:color w:val="auto"/>
          <w:kern w:val="2"/>
          <w:sz w:val="32"/>
          <w:szCs w:val="32"/>
          <w:lang w:val="en-US" w:eastAsia="zh-CN" w:bidi="ar-SA"/>
        </w:rPr>
        <w:t>明确“谁来保护”</w:t>
      </w:r>
      <w:r>
        <w:rPr>
          <w:rFonts w:hint="eastAsia" w:ascii="Times New Roman" w:hAnsi="Times New Roman" w:eastAsia="方正仿宋_GBK" w:cs="Times New Roman"/>
          <w:b w:val="0"/>
          <w:bCs w:val="0"/>
          <w:color w:val="auto"/>
          <w:kern w:val="2"/>
          <w:sz w:val="32"/>
          <w:szCs w:val="32"/>
          <w:lang w:val="en-US" w:eastAsia="zh-CN" w:bidi="ar-SA"/>
        </w:rPr>
        <w:t>，即建立完善保护机制，明确市、县（市、区）、乡镇人民政府（街道办事处），相关部门以及村（居）民委员会的保护责任；</w:t>
      </w:r>
      <w:r>
        <w:rPr>
          <w:rFonts w:hint="eastAsia" w:ascii="Times New Roman" w:hAnsi="Times New Roman" w:eastAsia="方正仿宋_GBK" w:cs="Times New Roman"/>
          <w:b/>
          <w:bCs/>
          <w:color w:val="auto"/>
          <w:kern w:val="2"/>
          <w:sz w:val="32"/>
          <w:szCs w:val="32"/>
          <w:lang w:val="en-US" w:eastAsia="zh-CN" w:bidi="ar-SA"/>
        </w:rPr>
        <w:t>明确“怎么保护”</w:t>
      </w:r>
      <w:r>
        <w:rPr>
          <w:rFonts w:hint="eastAsia" w:ascii="Times New Roman" w:hAnsi="Times New Roman" w:eastAsia="方正仿宋_GBK" w:cs="Times New Roman"/>
          <w:b w:val="0"/>
          <w:bCs w:val="0"/>
          <w:color w:val="auto"/>
          <w:kern w:val="2"/>
          <w:sz w:val="32"/>
          <w:szCs w:val="32"/>
          <w:lang w:val="en-US" w:eastAsia="zh-CN" w:bidi="ar-SA"/>
        </w:rPr>
        <w:t>，即结合实际，细化保护管理和合理利用具体措施和要求，并根据实际需要明确相关法律责任等</w:t>
      </w:r>
      <w:r>
        <w:rPr>
          <w:rFonts w:hint="eastAsia" w:eastAsia="方正仿宋_GBK" w:cs="Times New Roman"/>
          <w:b w:val="0"/>
          <w:bCs w:val="0"/>
          <w:color w:val="auto"/>
          <w:kern w:val="2"/>
          <w:sz w:val="32"/>
          <w:szCs w:val="32"/>
          <w:lang w:val="en-US" w:eastAsia="zh-CN" w:bidi="ar-SA"/>
        </w:rPr>
        <w:t>，实现精简条文、聚焦问题的立法高效性</w:t>
      </w:r>
      <w:r>
        <w:rPr>
          <w:rFonts w:hint="eastAsia" w:ascii="Times New Roman" w:hAnsi="Times New Roman" w:eastAsia="方正仿宋_GBK" w:cs="Times New Roman"/>
          <w:b w:val="0"/>
          <w:bCs w:val="0"/>
          <w:color w:val="auto"/>
          <w:kern w:val="2"/>
          <w:sz w:val="32"/>
          <w:szCs w:val="32"/>
          <w:lang w:val="en-US" w:eastAsia="zh-CN" w:bidi="ar-SA"/>
        </w:rPr>
        <w:t>。</w:t>
      </w:r>
    </w:p>
    <w:p w14:paraId="2946B62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eastAsia="方正仿宋_GBK" w:cs="Times New Roman"/>
          <w:color w:val="auto"/>
          <w:sz w:val="32"/>
          <w:szCs w:val="32"/>
          <w:lang w:val="en-US" w:eastAsia="zh-CN"/>
        </w:rPr>
      </w:pPr>
      <w:r>
        <w:rPr>
          <w:rFonts w:hint="eastAsia" w:eastAsia="方正仿宋_GBK" w:cs="Times New Roman"/>
          <w:b/>
          <w:bCs/>
          <w:color w:val="auto"/>
          <w:kern w:val="2"/>
          <w:sz w:val="32"/>
          <w:szCs w:val="32"/>
          <w:lang w:val="en-US" w:eastAsia="zh-CN" w:bidi="ar-SA"/>
        </w:rPr>
        <w:t>三</w:t>
      </w:r>
      <w:r>
        <w:rPr>
          <w:rFonts w:hint="default" w:ascii="Times New Roman" w:hAnsi="Times New Roman" w:eastAsia="方正仿宋_GBK" w:cs="Times New Roman"/>
          <w:b/>
          <w:bCs/>
          <w:color w:val="auto"/>
          <w:kern w:val="2"/>
          <w:sz w:val="32"/>
          <w:szCs w:val="32"/>
          <w:lang w:val="en-US" w:eastAsia="zh-CN" w:bidi="ar-SA"/>
        </w:rPr>
        <w:t>是</w:t>
      </w:r>
      <w:r>
        <w:rPr>
          <w:rFonts w:hint="eastAsia" w:eastAsia="方正仿宋_GBK" w:cs="Times New Roman"/>
          <w:b/>
          <w:bCs/>
          <w:color w:val="auto"/>
          <w:kern w:val="2"/>
          <w:sz w:val="32"/>
          <w:szCs w:val="32"/>
          <w:lang w:val="en-US" w:eastAsia="zh-CN" w:bidi="ar-SA"/>
        </w:rPr>
        <w:t>省外立法的实践经验</w:t>
      </w:r>
      <w:r>
        <w:rPr>
          <w:rFonts w:hint="default"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rPr>
        <w:t>随着生态文明建设和生态环境保护认识的持续深入，人们的环境保护意识有了明显增强，环境生态法制也不断得到完善</w:t>
      </w:r>
      <w:r>
        <w:rPr>
          <w:rFonts w:hint="eastAsia" w:eastAsia="方正仿宋_GBK" w:cs="Times New Roman"/>
          <w:b w:val="0"/>
          <w:bCs w:val="0"/>
          <w:color w:val="auto"/>
          <w:sz w:val="32"/>
          <w:szCs w:val="32"/>
          <w:lang w:val="en-US" w:eastAsia="zh-CN"/>
        </w:rPr>
        <w:t>。目前，</w:t>
      </w:r>
      <w:r>
        <w:rPr>
          <w:rFonts w:hint="default" w:ascii="Times New Roman" w:hAnsi="Times New Roman" w:eastAsia="方正仿宋_GBK" w:cs="Times New Roman"/>
          <w:b w:val="0"/>
          <w:bCs w:val="0"/>
          <w:color w:val="auto"/>
          <w:sz w:val="32"/>
          <w:szCs w:val="32"/>
          <w:lang w:val="en-US" w:eastAsia="zh-CN"/>
        </w:rPr>
        <w:t>省外部分设区的市</w:t>
      </w:r>
      <w:r>
        <w:rPr>
          <w:rFonts w:hint="eastAsia" w:eastAsia="方正仿宋_GBK" w:cs="Times New Roman"/>
          <w:b w:val="0"/>
          <w:bCs w:val="0"/>
          <w:color w:val="auto"/>
          <w:sz w:val="32"/>
          <w:szCs w:val="32"/>
          <w:lang w:val="en-US" w:eastAsia="zh-CN"/>
        </w:rPr>
        <w:t>（如大同、晋城、邢台、朔州、安阳、临汾等）</w:t>
      </w:r>
      <w:r>
        <w:rPr>
          <w:rFonts w:hint="default" w:ascii="Times New Roman" w:hAnsi="Times New Roman" w:eastAsia="方正仿宋_GBK" w:cs="Times New Roman"/>
          <w:b w:val="0"/>
          <w:bCs w:val="0"/>
          <w:color w:val="auto"/>
          <w:sz w:val="32"/>
          <w:szCs w:val="32"/>
          <w:lang w:val="en-US" w:eastAsia="zh-CN"/>
        </w:rPr>
        <w:t>已相继制定了泉域水资源保护条例</w:t>
      </w:r>
      <w:r>
        <w:rPr>
          <w:rFonts w:hint="default" w:ascii="Times New Roman" w:hAnsi="Times New Roman" w:eastAsia="方正仿宋_GBK" w:cs="Times New Roman"/>
          <w:color w:val="auto"/>
          <w:sz w:val="32"/>
          <w:szCs w:val="32"/>
          <w:lang w:val="en-US" w:eastAsia="zh-CN"/>
        </w:rPr>
        <w:t>，为我市制定《条例》提供了有益借鉴</w:t>
      </w:r>
      <w:r>
        <w:rPr>
          <w:rFonts w:hint="eastAsia" w:eastAsia="方正仿宋_GBK" w:cs="Times New Roman"/>
          <w:color w:val="auto"/>
          <w:sz w:val="32"/>
          <w:szCs w:val="32"/>
          <w:lang w:val="en-US" w:eastAsia="zh-CN"/>
        </w:rPr>
        <w:t>，《条例》的立法时机和条件已基本成熟。</w:t>
      </w:r>
    </w:p>
    <w:p w14:paraId="0BAC899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三、起草过程</w:t>
      </w:r>
    </w:p>
    <w:p w14:paraId="6E475C5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FF0000"/>
          <w:sz w:val="32"/>
          <w:szCs w:val="32"/>
          <w:highlight w:val="none"/>
          <w:lang w:val="en-US" w:eastAsia="zh-CN"/>
        </w:rPr>
      </w:pPr>
      <w:r>
        <w:rPr>
          <w:rFonts w:ascii="方正仿宋_GBK" w:hAnsi="Times New Roman" w:eastAsia="方正仿宋_GBK" w:cs="Times New Roman"/>
          <w:sz w:val="32"/>
          <w:szCs w:val="32"/>
        </w:rPr>
        <w:t>按照市人大</w:t>
      </w:r>
      <w:r>
        <w:rPr>
          <w:rFonts w:hint="eastAsia" w:ascii="方正仿宋_GBK" w:hAnsi="Times New Roman" w:eastAsia="方正仿宋_GBK" w:cs="Times New Roman"/>
          <w:sz w:val="32"/>
          <w:szCs w:val="32"/>
        </w:rPr>
        <w:t>常委会</w:t>
      </w:r>
      <w:r>
        <w:rPr>
          <w:rFonts w:ascii="方正仿宋_GBK" w:hAnsi="Times New Roman" w:eastAsia="方正仿宋_GBK" w:cs="Times New Roman"/>
          <w:sz w:val="32"/>
          <w:szCs w:val="32"/>
        </w:rPr>
        <w:t>立法工作要求，</w:t>
      </w:r>
      <w:r>
        <w:rPr>
          <w:rFonts w:hint="default" w:ascii="Times New Roman" w:hAnsi="Times New Roman" w:eastAsia="方正仿宋_GBK" w:cs="Times New Roman"/>
          <w:color w:val="auto"/>
          <w:sz w:val="32"/>
          <w:szCs w:val="32"/>
          <w:lang w:val="en-US" w:eastAsia="zh-CN"/>
        </w:rPr>
        <w:t>为完成《条例》起草工作，</w:t>
      </w:r>
      <w:r>
        <w:rPr>
          <w:rFonts w:hint="eastAsia" w:eastAsia="方正仿宋_GBK" w:cs="Times New Roman"/>
          <w:color w:val="auto"/>
          <w:sz w:val="32"/>
          <w:szCs w:val="32"/>
          <w:lang w:val="en-US" w:eastAsia="zh-CN"/>
        </w:rPr>
        <w:t>确保</w:t>
      </w:r>
      <w:r>
        <w:rPr>
          <w:rFonts w:hint="default" w:ascii="Times New Roman" w:hAnsi="Times New Roman" w:eastAsia="方正仿宋_GBK" w:cs="Times New Roman"/>
          <w:color w:val="auto"/>
          <w:sz w:val="32"/>
          <w:szCs w:val="32"/>
          <w:lang w:val="en-US" w:eastAsia="zh-CN"/>
        </w:rPr>
        <w:t>《条例》制定工作</w:t>
      </w:r>
      <w:r>
        <w:rPr>
          <w:rFonts w:hint="eastAsia"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顺利</w:t>
      </w:r>
      <w:r>
        <w:rPr>
          <w:rFonts w:hint="eastAsia" w:eastAsia="方正仿宋_GBK" w:cs="Times New Roman"/>
          <w:color w:val="auto"/>
          <w:sz w:val="32"/>
          <w:szCs w:val="32"/>
          <w:lang w:val="en-US" w:eastAsia="zh-CN"/>
        </w:rPr>
        <w:t>推进</w:t>
      </w:r>
      <w:r>
        <w:rPr>
          <w:rFonts w:hint="default" w:ascii="Times New Roman" w:hAnsi="Times New Roman" w:eastAsia="方正仿宋_GBK" w:cs="Times New Roman"/>
          <w:color w:val="auto"/>
          <w:sz w:val="32"/>
          <w:szCs w:val="32"/>
          <w:lang w:val="en-US" w:eastAsia="zh-CN"/>
        </w:rPr>
        <w:t>，根据《玉溪市人民政府立法工作规定》</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市人民政府</w:t>
      </w:r>
      <w:r>
        <w:rPr>
          <w:rFonts w:hint="eastAsia" w:ascii="Times New Roman" w:hAnsi="Times New Roman" w:eastAsia="方正仿宋_GBK" w:cs="Times New Roman"/>
          <w:color w:val="auto"/>
          <w:sz w:val="32"/>
          <w:szCs w:val="32"/>
          <w:lang w:val="en-US" w:eastAsia="zh-CN"/>
        </w:rPr>
        <w:t>制定了立法工作</w:t>
      </w:r>
      <w:r>
        <w:rPr>
          <w:rFonts w:hint="eastAsia" w:eastAsia="方正仿宋_GBK" w:cs="Times New Roman"/>
          <w:color w:val="auto"/>
          <w:sz w:val="32"/>
          <w:szCs w:val="32"/>
          <w:lang w:val="en-US" w:eastAsia="zh-CN"/>
        </w:rPr>
        <w:t>方案，成立起草工作组，收集整理了参阅资料汇编，开展了立法调研，起草形成《条例》草拟稿</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并在</w:t>
      </w:r>
      <w:r>
        <w:rPr>
          <w:rFonts w:ascii="方正仿宋_GBK" w:hAnsi="Times New Roman" w:eastAsia="方正仿宋_GBK" w:cs="Times New Roman"/>
          <w:sz w:val="32"/>
          <w:szCs w:val="32"/>
        </w:rPr>
        <w:t>广泛征求意见</w:t>
      </w:r>
      <w:r>
        <w:rPr>
          <w:rFonts w:hint="eastAsia" w:ascii="方正仿宋_GBK" w:hAnsi="Times New Roman" w:eastAsia="方正仿宋_GBK" w:cs="Times New Roman"/>
          <w:sz w:val="32"/>
          <w:szCs w:val="32"/>
          <w:lang w:eastAsia="zh-CN"/>
        </w:rPr>
        <w:t>、</w:t>
      </w:r>
      <w:r>
        <w:rPr>
          <w:rFonts w:hint="eastAsia" w:ascii="方正仿宋_GBK" w:eastAsia="方正仿宋_GBK" w:cs="Times New Roman"/>
          <w:sz w:val="32"/>
          <w:szCs w:val="32"/>
          <w:lang w:eastAsia="zh-CN"/>
        </w:rPr>
        <w:t>组织开展</w:t>
      </w:r>
      <w:r>
        <w:rPr>
          <w:rFonts w:hint="eastAsia" w:ascii="方正仿宋_GBK" w:hAnsi="Times New Roman" w:eastAsia="方正仿宋_GBK" w:cs="Times New Roman"/>
          <w:sz w:val="32"/>
          <w:szCs w:val="32"/>
          <w:lang w:eastAsia="zh-CN"/>
        </w:rPr>
        <w:t>多轮集中改稿的基础上</w:t>
      </w:r>
      <w:r>
        <w:rPr>
          <w:rFonts w:ascii="方正仿宋_GBK" w:hAnsi="Times New Roman" w:eastAsia="方正仿宋_GBK" w:cs="Times New Roman"/>
          <w:sz w:val="32"/>
          <w:szCs w:val="32"/>
        </w:rPr>
        <w:t>，</w:t>
      </w:r>
      <w:r>
        <w:rPr>
          <w:rFonts w:hint="eastAsia" w:ascii="方正仿宋_GBK" w:eastAsia="方正仿宋_GBK" w:cs="Times New Roman"/>
          <w:sz w:val="32"/>
          <w:szCs w:val="32"/>
          <w:lang w:eastAsia="zh-CN"/>
        </w:rPr>
        <w:t>形成了</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《玉溪市泉域水资源保护条例（草案）》（听证稿）</w:t>
      </w:r>
      <w:r>
        <w:rPr>
          <w:rFonts w:ascii="方正仿宋_GBK" w:hAnsi="Times New Roman" w:eastAsia="方正仿宋_GBK" w:cs="Times New Roman"/>
          <w:sz w:val="32"/>
          <w:szCs w:val="32"/>
        </w:rPr>
        <w:t>。</w:t>
      </w:r>
    </w:p>
    <w:p w14:paraId="240E8F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四、主要内容</w:t>
      </w:r>
    </w:p>
    <w:p w14:paraId="2652B51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《条例》共</w:t>
      </w:r>
      <w:r>
        <w:rPr>
          <w:rFonts w:hint="eastAsia" w:ascii="Times New Roman" w:hAnsi="Times New Roman" w:eastAsia="方正仿宋_GBK" w:cs="Times New Roman"/>
          <w:color w:val="auto"/>
          <w:sz w:val="32"/>
          <w:szCs w:val="32"/>
          <w:lang w:val="en-US" w:eastAsia="zh-CN"/>
        </w:rPr>
        <w:t>计</w:t>
      </w:r>
      <w:r>
        <w:rPr>
          <w:rFonts w:hint="default" w:ascii="Times New Roman" w:hAnsi="Times New Roman" w:eastAsia="方正仿宋_GBK" w:cs="Times New Roman"/>
          <w:color w:val="auto"/>
          <w:sz w:val="32"/>
          <w:szCs w:val="32"/>
          <w:lang w:val="en-US" w:eastAsia="zh-CN"/>
        </w:rPr>
        <w:t>三十条</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2053</w:t>
      </w:r>
      <w:r>
        <w:rPr>
          <w:rFonts w:hint="eastAsia" w:ascii="Times New Roman" w:hAnsi="Times New Roman" w:eastAsia="方正仿宋_GBK" w:cs="Times New Roman"/>
          <w:color w:val="auto"/>
          <w:sz w:val="32"/>
          <w:szCs w:val="32"/>
          <w:lang w:val="en-US" w:eastAsia="zh-CN"/>
        </w:rPr>
        <w:t>余字。</w:t>
      </w:r>
    </w:p>
    <w:p w14:paraId="717C531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第一条至第四条</w:t>
      </w:r>
      <w:r>
        <w:rPr>
          <w:rFonts w:hint="default" w:ascii="Times New Roman" w:hAnsi="Times New Roman" w:eastAsia="方正仿宋_GBK" w:cs="Times New Roman"/>
          <w:color w:val="auto"/>
          <w:sz w:val="32"/>
          <w:szCs w:val="32"/>
          <w:lang w:val="en-US" w:eastAsia="zh-CN"/>
        </w:rPr>
        <w:t>对立法目的、适用范围和基本原则进行了规定。规定实行泉域名录制度，</w:t>
      </w:r>
      <w:r>
        <w:rPr>
          <w:rFonts w:hint="eastAsia" w:eastAsia="方正仿宋_GBK" w:cs="Times New Roman"/>
          <w:color w:val="auto"/>
          <w:sz w:val="32"/>
          <w:szCs w:val="32"/>
          <w:lang w:val="en-US" w:eastAsia="zh-CN"/>
        </w:rPr>
        <w:t>将</w:t>
      </w:r>
      <w:r>
        <w:rPr>
          <w:rFonts w:hint="default" w:ascii="Times New Roman" w:hAnsi="Times New Roman" w:eastAsia="方正仿宋_GBK" w:cs="Times New Roman"/>
          <w:color w:val="auto"/>
          <w:sz w:val="32"/>
          <w:szCs w:val="32"/>
          <w:lang w:val="en-US" w:eastAsia="zh-CN"/>
        </w:rPr>
        <w:t>具有重要生态、历史、文化价值的泉域和作为乡（镇）级以上饮用水水源</w:t>
      </w:r>
      <w:r>
        <w:rPr>
          <w:rFonts w:hint="eastAsia" w:eastAsia="方正仿宋_GBK" w:cs="Times New Roman"/>
          <w:color w:val="auto"/>
          <w:sz w:val="32"/>
          <w:szCs w:val="32"/>
          <w:lang w:val="en-US" w:eastAsia="zh-CN"/>
        </w:rPr>
        <w:t>地</w:t>
      </w:r>
      <w:r>
        <w:rPr>
          <w:rFonts w:hint="default" w:ascii="Times New Roman" w:hAnsi="Times New Roman" w:eastAsia="方正仿宋_GBK" w:cs="Times New Roman"/>
          <w:color w:val="auto"/>
          <w:sz w:val="32"/>
          <w:szCs w:val="32"/>
          <w:lang w:val="en-US" w:eastAsia="zh-CN"/>
        </w:rPr>
        <w:t>的泉域列入泉域名录</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并对泉域名录实行动态管理。</w:t>
      </w:r>
    </w:p>
    <w:p w14:paraId="69B93987">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第五条至第七条</w:t>
      </w:r>
      <w:r>
        <w:rPr>
          <w:rFonts w:hint="default" w:ascii="Times New Roman" w:hAnsi="Times New Roman" w:eastAsia="方正仿宋_GBK" w:cs="Times New Roman"/>
          <w:color w:val="auto"/>
          <w:sz w:val="32"/>
          <w:szCs w:val="32"/>
          <w:lang w:val="en-US" w:eastAsia="zh-CN"/>
        </w:rPr>
        <w:t>对泉域水资源保护</w:t>
      </w:r>
      <w:r>
        <w:rPr>
          <w:rFonts w:hint="eastAsia"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经费保障、部门职责和统筹规划问题进行了规定。</w:t>
      </w:r>
    </w:p>
    <w:p w14:paraId="7F96F34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第八条至第九条</w:t>
      </w:r>
      <w:r>
        <w:rPr>
          <w:rFonts w:hint="default" w:ascii="Times New Roman" w:hAnsi="Times New Roman" w:eastAsia="方正仿宋_GBK" w:cs="Times New Roman"/>
          <w:color w:val="auto"/>
          <w:sz w:val="32"/>
          <w:szCs w:val="32"/>
          <w:lang w:val="en-US" w:eastAsia="zh-CN"/>
        </w:rPr>
        <w:t>规定泉域实行河（湖）长制、林长制并进一步明确了河（湖）长和林长的工作职责。</w:t>
      </w:r>
    </w:p>
    <w:p w14:paraId="5BBF771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第十条至第十三条</w:t>
      </w:r>
      <w:r>
        <w:rPr>
          <w:rFonts w:hint="default" w:ascii="Times New Roman" w:hAnsi="Times New Roman" w:eastAsia="方正仿宋_GBK" w:cs="Times New Roman"/>
          <w:color w:val="auto"/>
          <w:sz w:val="32"/>
          <w:szCs w:val="32"/>
          <w:lang w:val="en-US" w:eastAsia="zh-CN"/>
        </w:rPr>
        <w:t>对社会力量参与泉域水资源保护和合理开发利用；国家机关、社会团体、企业事业单位以及新闻媒体加强泉域水资源保护的宣传教育；鼓励单位和个人通过捐赠、资助或者志愿服务等形式参与泉域水资源保护活动</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并对在泉域水资源保护和管理工作中做出突出贡献的单位和个人予以表彰和奖励进行了规定。</w:t>
      </w:r>
    </w:p>
    <w:p w14:paraId="2FEBDF1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第十四条</w:t>
      </w:r>
      <w:r>
        <w:rPr>
          <w:rFonts w:hint="default" w:ascii="Times New Roman" w:hAnsi="Times New Roman" w:eastAsia="方正仿宋_GBK" w:cs="Times New Roman"/>
          <w:color w:val="auto"/>
          <w:sz w:val="32"/>
          <w:szCs w:val="32"/>
          <w:lang w:val="en-US" w:eastAsia="zh-CN"/>
        </w:rPr>
        <w:t>对在泉域边界设立保护标志和提示标识进行了规定。</w:t>
      </w:r>
    </w:p>
    <w:p w14:paraId="141814D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第十五条</w:t>
      </w:r>
      <w:r>
        <w:rPr>
          <w:rFonts w:hint="default" w:ascii="Times New Roman" w:hAnsi="Times New Roman" w:eastAsia="方正仿宋_GBK" w:cs="Times New Roman"/>
          <w:color w:val="auto"/>
          <w:sz w:val="32"/>
          <w:szCs w:val="32"/>
          <w:lang w:val="en-US" w:eastAsia="zh-CN"/>
        </w:rPr>
        <w:t>对泉域水资源的开发利用的原则、程序进行了规定。</w:t>
      </w:r>
    </w:p>
    <w:p w14:paraId="119A749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第十六条至第十九条</w:t>
      </w:r>
      <w:r>
        <w:rPr>
          <w:rFonts w:hint="default" w:ascii="Times New Roman" w:hAnsi="Times New Roman" w:eastAsia="方正仿宋_GBK" w:cs="Times New Roman"/>
          <w:color w:val="auto"/>
          <w:sz w:val="32"/>
          <w:szCs w:val="32"/>
          <w:lang w:val="en-US" w:eastAsia="zh-CN"/>
        </w:rPr>
        <w:t>对泉域水位、水质监测；特定情形下对经批准的取水量进行限制以及取用水计量；限制高耗水工业、农业泉域水资源取用等内容进行了规定。</w:t>
      </w:r>
    </w:p>
    <w:p w14:paraId="312AF30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第二十条至第二十二条</w:t>
      </w:r>
      <w:r>
        <w:rPr>
          <w:rFonts w:hint="default" w:ascii="Times New Roman" w:hAnsi="Times New Roman" w:eastAsia="方正仿宋_GBK" w:cs="Times New Roman"/>
          <w:color w:val="auto"/>
          <w:sz w:val="32"/>
          <w:szCs w:val="32"/>
          <w:lang w:val="en-US" w:eastAsia="zh-CN"/>
        </w:rPr>
        <w:t>对水源涵养、污水治理和农业面源污染防治进行了规定。</w:t>
      </w:r>
    </w:p>
    <w:p w14:paraId="35E7F527">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第二十三条至第二十四条</w:t>
      </w:r>
      <w:r>
        <w:rPr>
          <w:rFonts w:hint="default" w:ascii="Times New Roman" w:hAnsi="Times New Roman" w:eastAsia="方正仿宋_GBK" w:cs="Times New Roman"/>
          <w:color w:val="auto"/>
          <w:sz w:val="32"/>
          <w:szCs w:val="32"/>
          <w:lang w:val="en-US" w:eastAsia="zh-CN"/>
        </w:rPr>
        <w:t>规定了泉域内禁止从事的行为，除一般禁止性规定外对未纳入玉溪市集中式饮用水水源地名录，但承担饮用水功能的泉域内禁止从事的行为进行了特别规定。</w:t>
      </w:r>
    </w:p>
    <w:p w14:paraId="790ACA9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第二十五条至第二十九条对</w:t>
      </w:r>
      <w:r>
        <w:rPr>
          <w:rFonts w:hint="default" w:ascii="Times New Roman" w:hAnsi="Times New Roman" w:eastAsia="方正仿宋_GBK" w:cs="Times New Roman"/>
          <w:color w:val="auto"/>
          <w:sz w:val="32"/>
          <w:szCs w:val="32"/>
          <w:lang w:val="en-US" w:eastAsia="zh-CN"/>
        </w:rPr>
        <w:t>违反《条例》相关违法行为的法律责任进行了规定。</w:t>
      </w:r>
    </w:p>
    <w:p w14:paraId="632A4DD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第三十条</w:t>
      </w:r>
      <w:r>
        <w:rPr>
          <w:rFonts w:hint="default" w:ascii="Times New Roman" w:hAnsi="Times New Roman" w:eastAsia="方正仿宋_GBK" w:cs="Times New Roman"/>
          <w:color w:val="auto"/>
          <w:sz w:val="32"/>
          <w:szCs w:val="32"/>
          <w:lang w:val="en-US" w:eastAsia="zh-CN"/>
        </w:rPr>
        <w:t>规定了《条例》的施行时间。</w:t>
      </w:r>
    </w:p>
    <w:p w14:paraId="41AF71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仿宋_GBK" w:cs="Times New Roman"/>
          <w:lang w:val="en-US" w:eastAsia="zh-CN"/>
        </w:rPr>
      </w:pPr>
    </w:p>
    <w:p w14:paraId="079250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仿宋_GBK" w:cs="Times New Roman"/>
          <w:lang w:val="en-US" w:eastAsia="zh-CN"/>
        </w:rPr>
      </w:pPr>
    </w:p>
    <w:p w14:paraId="2F465C02">
      <w:pPr>
        <w:keepNext w:val="0"/>
        <w:keepLines w:val="0"/>
        <w:pageBreakBefore w:val="0"/>
        <w:widowControl w:val="0"/>
        <w:kinsoku/>
        <w:wordWrap/>
        <w:overflowPunct/>
        <w:topLinePunct w:val="0"/>
        <w:autoSpaceDE/>
        <w:autoSpaceDN/>
        <w:bidi w:val="0"/>
        <w:adjustRightInd/>
        <w:snapToGrid/>
        <w:spacing w:line="360" w:lineRule="auto"/>
        <w:ind w:right="1299" w:rightChars="406" w:firstLine="620" w:firstLineChars="200"/>
        <w:jc w:val="right"/>
        <w:textAlignment w:val="auto"/>
        <w:rPr>
          <w:rFonts w:hint="default" w:ascii="Times New Roman" w:hAnsi="Times New Roman" w:eastAsia="方正仿宋_GBK" w:cs="Times New Roman"/>
          <w:lang w:val="en-US" w:eastAsia="zh-CN"/>
        </w:rPr>
      </w:pPr>
      <w:r>
        <w:rPr>
          <w:rFonts w:hint="eastAsia" w:ascii="方正仿宋_GBK" w:hAnsi="方正仿宋_GBK" w:eastAsia="方正仿宋_GBK" w:cs="方正仿宋_GBK"/>
          <w:i w:val="0"/>
          <w:caps w:val="0"/>
          <w:color w:val="000000"/>
          <w:spacing w:val="0"/>
          <w:sz w:val="31"/>
          <w:szCs w:val="31"/>
          <w:shd w:val="clear" w:color="auto" w:fill="FFFFFF"/>
          <w:lang w:val="en-US" w:eastAsia="zh-CN"/>
        </w:rPr>
        <w:t xml:space="preserve">    </w:t>
      </w:r>
      <w:r>
        <w:rPr>
          <w:rFonts w:ascii="方正仿宋_GBK" w:hAnsi="方正仿宋_GBK" w:eastAsia="方正仿宋_GBK" w:cs="方正仿宋_GBK"/>
          <w:i w:val="0"/>
          <w:caps w:val="0"/>
          <w:color w:val="000000"/>
          <w:spacing w:val="0"/>
          <w:sz w:val="31"/>
          <w:szCs w:val="31"/>
          <w:shd w:val="clear" w:color="auto" w:fill="FFFFFF"/>
        </w:rPr>
        <w:t>《</w:t>
      </w:r>
      <w:r>
        <w:rPr>
          <w:rFonts w:hint="default" w:ascii="Times New Roman" w:hAnsi="Times New Roman" w:eastAsia="方正仿宋_GBK" w:cs="Times New Roman"/>
          <w:i w:val="0"/>
          <w:caps w:val="0"/>
          <w:color w:val="000000"/>
          <w:spacing w:val="0"/>
          <w:sz w:val="31"/>
          <w:szCs w:val="31"/>
          <w:shd w:val="clear" w:color="auto" w:fill="FFFFFF"/>
          <w:lang w:eastAsia="zh-CN"/>
        </w:rPr>
        <w:t>玉溪市泉域水资源保护条例</w:t>
      </w:r>
      <w:r>
        <w:rPr>
          <w:rFonts w:hint="eastAsia" w:ascii="方正仿宋_GBK" w:hAnsi="方正仿宋_GBK" w:eastAsia="方正仿宋_GBK" w:cs="方正仿宋_GBK"/>
          <w:i w:val="0"/>
          <w:caps w:val="0"/>
          <w:color w:val="000000"/>
          <w:spacing w:val="0"/>
          <w:sz w:val="31"/>
          <w:szCs w:val="31"/>
          <w:shd w:val="clear" w:color="auto" w:fill="FFFFFF"/>
        </w:rPr>
        <w:t>》起草工作</w:t>
      </w:r>
      <w:r>
        <w:rPr>
          <w:rFonts w:hint="eastAsia" w:ascii="方正仿宋_GBK" w:hAnsi="方正仿宋_GBK" w:eastAsia="方正仿宋_GBK" w:cs="方正仿宋_GBK"/>
          <w:i w:val="0"/>
          <w:caps w:val="0"/>
          <w:color w:val="000000"/>
          <w:spacing w:val="0"/>
          <w:sz w:val="31"/>
          <w:szCs w:val="31"/>
          <w:shd w:val="clear" w:color="auto" w:fill="FFFFFF"/>
          <w:lang w:eastAsia="zh-CN"/>
        </w:rPr>
        <w:t>组</w:t>
      </w:r>
      <w:r>
        <w:rPr>
          <w:rFonts w:hint="default" w:ascii="Times New Roman" w:hAnsi="Times New Roman" w:eastAsia="方正仿宋_GBK" w:cs="Times New Roman"/>
          <w:color w:val="auto"/>
          <w:sz w:val="32"/>
          <w:szCs w:val="32"/>
          <w:lang w:val="en-US" w:eastAsia="zh-CN"/>
        </w:rPr>
        <w:t xml:space="preserve">             </w:t>
      </w:r>
    </w:p>
    <w:p w14:paraId="7F81C7E2">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方正仿宋_GBK" w:cs="Times New Roma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2025年11月</w:t>
      </w: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日</w:t>
      </w:r>
    </w:p>
    <w:bookmarkEnd w:id="0"/>
    <w:sectPr>
      <w:footerReference r:id="rId3" w:type="default"/>
      <w:pgSz w:w="11906" w:h="16838"/>
      <w:pgMar w:top="1417" w:right="1304"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EF66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2CFB6">
                          <w:pPr>
                            <w:pStyle w:val="5"/>
                            <w:rPr>
                              <w:rFonts w:hint="default" w:ascii="Times New Roman" w:hAnsi="Times New Roman" w:eastAsia="仿宋_GB2312" w:cs="Times New Roman"/>
                              <w:sz w:val="21"/>
                              <w:szCs w:val="21"/>
                              <w:lang w:eastAsia="zh-CN"/>
                            </w:rPr>
                          </w:pPr>
                          <w:r>
                            <w:rPr>
                              <w:rFonts w:hint="default" w:ascii="Times New Roman" w:hAnsi="Times New Roman" w:cs="Times New Roman"/>
                              <w:sz w:val="21"/>
                              <w:szCs w:val="21"/>
                              <w:lang w:eastAsia="zh-CN"/>
                            </w:rPr>
                            <w:t xml:space="preserve">— </w:t>
                          </w: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r>
                            <w:rPr>
                              <w:rFonts w:hint="default" w:ascii="Times New Roman" w:hAnsi="Times New Roman" w:cs="Times New Roman"/>
                              <w:sz w:val="21"/>
                              <w:szCs w:val="21"/>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92CFB6">
                    <w:pPr>
                      <w:pStyle w:val="5"/>
                      <w:rPr>
                        <w:rFonts w:hint="default" w:ascii="Times New Roman" w:hAnsi="Times New Roman" w:eastAsia="仿宋_GB2312" w:cs="Times New Roman"/>
                        <w:sz w:val="21"/>
                        <w:szCs w:val="21"/>
                        <w:lang w:eastAsia="zh-CN"/>
                      </w:rPr>
                    </w:pPr>
                    <w:r>
                      <w:rPr>
                        <w:rFonts w:hint="default" w:ascii="Times New Roman" w:hAnsi="Times New Roman" w:cs="Times New Roman"/>
                        <w:sz w:val="21"/>
                        <w:szCs w:val="21"/>
                        <w:lang w:eastAsia="zh-CN"/>
                      </w:rPr>
                      <w:t xml:space="preserve">— </w:t>
                    </w: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r>
                      <w:rPr>
                        <w:rFonts w:hint="default" w:ascii="Times New Roman" w:hAnsi="Times New Roman" w:cs="Times New Roman"/>
                        <w:sz w:val="21"/>
                        <w:szCs w:val="21"/>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53FC"/>
    <w:rsid w:val="018B1C18"/>
    <w:rsid w:val="024218CF"/>
    <w:rsid w:val="02590796"/>
    <w:rsid w:val="03043863"/>
    <w:rsid w:val="03851A2E"/>
    <w:rsid w:val="04307DED"/>
    <w:rsid w:val="055424CE"/>
    <w:rsid w:val="05A37CCE"/>
    <w:rsid w:val="05C36382"/>
    <w:rsid w:val="06620BC5"/>
    <w:rsid w:val="06953FDF"/>
    <w:rsid w:val="06CE625A"/>
    <w:rsid w:val="06D0743C"/>
    <w:rsid w:val="06DE41D3"/>
    <w:rsid w:val="06F772FB"/>
    <w:rsid w:val="089E3A0A"/>
    <w:rsid w:val="089F63B2"/>
    <w:rsid w:val="09712466"/>
    <w:rsid w:val="0B226B74"/>
    <w:rsid w:val="0B937689"/>
    <w:rsid w:val="0BAC331A"/>
    <w:rsid w:val="0BCD18B0"/>
    <w:rsid w:val="0BE92617"/>
    <w:rsid w:val="0CEF5748"/>
    <w:rsid w:val="0D251768"/>
    <w:rsid w:val="0F4E1CE6"/>
    <w:rsid w:val="0F5613B9"/>
    <w:rsid w:val="0FEA05A8"/>
    <w:rsid w:val="0FF17F33"/>
    <w:rsid w:val="105A4BE5"/>
    <w:rsid w:val="10725D55"/>
    <w:rsid w:val="1101210D"/>
    <w:rsid w:val="12C86253"/>
    <w:rsid w:val="12EC4418"/>
    <w:rsid w:val="14206D94"/>
    <w:rsid w:val="14DE1D5E"/>
    <w:rsid w:val="15435BF2"/>
    <w:rsid w:val="155C30D0"/>
    <w:rsid w:val="15A90E19"/>
    <w:rsid w:val="162E65EF"/>
    <w:rsid w:val="170D7083"/>
    <w:rsid w:val="182F6824"/>
    <w:rsid w:val="195902A5"/>
    <w:rsid w:val="1AF63A1E"/>
    <w:rsid w:val="1D6755BA"/>
    <w:rsid w:val="1D97029A"/>
    <w:rsid w:val="1EA85B59"/>
    <w:rsid w:val="1FDE2C12"/>
    <w:rsid w:val="20561BB5"/>
    <w:rsid w:val="209D2B10"/>
    <w:rsid w:val="20F33380"/>
    <w:rsid w:val="21652559"/>
    <w:rsid w:val="21E9748E"/>
    <w:rsid w:val="2209080D"/>
    <w:rsid w:val="22731412"/>
    <w:rsid w:val="22C06271"/>
    <w:rsid w:val="22D8666A"/>
    <w:rsid w:val="22DC0E41"/>
    <w:rsid w:val="22E03FC4"/>
    <w:rsid w:val="2318468D"/>
    <w:rsid w:val="24120EBE"/>
    <w:rsid w:val="2441618A"/>
    <w:rsid w:val="244E1C1C"/>
    <w:rsid w:val="25055EC8"/>
    <w:rsid w:val="25A115C9"/>
    <w:rsid w:val="26141908"/>
    <w:rsid w:val="264158CF"/>
    <w:rsid w:val="266D329C"/>
    <w:rsid w:val="2682784F"/>
    <w:rsid w:val="268C4A4A"/>
    <w:rsid w:val="26926A95"/>
    <w:rsid w:val="26CA58D5"/>
    <w:rsid w:val="27B76736"/>
    <w:rsid w:val="28626BCE"/>
    <w:rsid w:val="29E647CC"/>
    <w:rsid w:val="2ABC72DE"/>
    <w:rsid w:val="2B797161"/>
    <w:rsid w:val="2B976711"/>
    <w:rsid w:val="2C5702B0"/>
    <w:rsid w:val="2C7C18CE"/>
    <w:rsid w:val="2D7067F2"/>
    <w:rsid w:val="2E34782D"/>
    <w:rsid w:val="2E6E5EBA"/>
    <w:rsid w:val="2E863994"/>
    <w:rsid w:val="2EC43E2B"/>
    <w:rsid w:val="300601A2"/>
    <w:rsid w:val="301607F4"/>
    <w:rsid w:val="30DA11D4"/>
    <w:rsid w:val="32EB4A9A"/>
    <w:rsid w:val="343105E4"/>
    <w:rsid w:val="344874C3"/>
    <w:rsid w:val="36324873"/>
    <w:rsid w:val="36CE59FA"/>
    <w:rsid w:val="36D21E81"/>
    <w:rsid w:val="37F72045"/>
    <w:rsid w:val="38BC0936"/>
    <w:rsid w:val="38CC1C3C"/>
    <w:rsid w:val="38E36364"/>
    <w:rsid w:val="3A491387"/>
    <w:rsid w:val="3B847DCB"/>
    <w:rsid w:val="3C7052B5"/>
    <w:rsid w:val="3CD71855"/>
    <w:rsid w:val="3D3F28F9"/>
    <w:rsid w:val="3DE26B28"/>
    <w:rsid w:val="3DED132A"/>
    <w:rsid w:val="3E0B50C2"/>
    <w:rsid w:val="3E4C1343"/>
    <w:rsid w:val="3F3F385D"/>
    <w:rsid w:val="3F7319C0"/>
    <w:rsid w:val="3FF51FCD"/>
    <w:rsid w:val="40063610"/>
    <w:rsid w:val="41271A71"/>
    <w:rsid w:val="413C6D0C"/>
    <w:rsid w:val="41905B7E"/>
    <w:rsid w:val="41E45BF6"/>
    <w:rsid w:val="42573468"/>
    <w:rsid w:val="4369289F"/>
    <w:rsid w:val="44757F5F"/>
    <w:rsid w:val="4581656E"/>
    <w:rsid w:val="45F57156"/>
    <w:rsid w:val="46AA6C66"/>
    <w:rsid w:val="475E0161"/>
    <w:rsid w:val="48334182"/>
    <w:rsid w:val="49464BA6"/>
    <w:rsid w:val="4A6E3AAD"/>
    <w:rsid w:val="4A9563B7"/>
    <w:rsid w:val="4AA85ABC"/>
    <w:rsid w:val="4AD91CD3"/>
    <w:rsid w:val="4B7025D4"/>
    <w:rsid w:val="4CBB10F3"/>
    <w:rsid w:val="4CEF1E99"/>
    <w:rsid w:val="4D337AB8"/>
    <w:rsid w:val="4DEB7267"/>
    <w:rsid w:val="4DF11170"/>
    <w:rsid w:val="4F3B240C"/>
    <w:rsid w:val="50170AF5"/>
    <w:rsid w:val="502D3FBD"/>
    <w:rsid w:val="50AC6191"/>
    <w:rsid w:val="50DC1B38"/>
    <w:rsid w:val="50FA533F"/>
    <w:rsid w:val="520440E6"/>
    <w:rsid w:val="524B3013"/>
    <w:rsid w:val="52F60BC6"/>
    <w:rsid w:val="533E4C44"/>
    <w:rsid w:val="53820B12"/>
    <w:rsid w:val="53FF00DB"/>
    <w:rsid w:val="546C3B80"/>
    <w:rsid w:val="54CB1DAD"/>
    <w:rsid w:val="556E15B6"/>
    <w:rsid w:val="55835CD9"/>
    <w:rsid w:val="559E7B87"/>
    <w:rsid w:val="5768578F"/>
    <w:rsid w:val="57C340FA"/>
    <w:rsid w:val="598A0B1C"/>
    <w:rsid w:val="59B212B6"/>
    <w:rsid w:val="59F67A26"/>
    <w:rsid w:val="5A8D625A"/>
    <w:rsid w:val="5B2B0B23"/>
    <w:rsid w:val="5B833462"/>
    <w:rsid w:val="5C5872CD"/>
    <w:rsid w:val="5CC47B6C"/>
    <w:rsid w:val="5D9E1E75"/>
    <w:rsid w:val="5DB64AC7"/>
    <w:rsid w:val="5DEF11E6"/>
    <w:rsid w:val="5EC24ED2"/>
    <w:rsid w:val="5F6E2D3D"/>
    <w:rsid w:val="5FDE55D1"/>
    <w:rsid w:val="605A4D62"/>
    <w:rsid w:val="60D34866"/>
    <w:rsid w:val="60FB46CB"/>
    <w:rsid w:val="61572249"/>
    <w:rsid w:val="61F9422A"/>
    <w:rsid w:val="62194B7D"/>
    <w:rsid w:val="627D3700"/>
    <w:rsid w:val="632229E7"/>
    <w:rsid w:val="636273C7"/>
    <w:rsid w:val="637A12C2"/>
    <w:rsid w:val="637A4E89"/>
    <w:rsid w:val="638918DC"/>
    <w:rsid w:val="64020BC5"/>
    <w:rsid w:val="64BE613B"/>
    <w:rsid w:val="65134C86"/>
    <w:rsid w:val="65F71656"/>
    <w:rsid w:val="66281440"/>
    <w:rsid w:val="66AA5FAC"/>
    <w:rsid w:val="68991C29"/>
    <w:rsid w:val="68B0223F"/>
    <w:rsid w:val="6928784B"/>
    <w:rsid w:val="69AA4EE0"/>
    <w:rsid w:val="69B72275"/>
    <w:rsid w:val="6ADA5212"/>
    <w:rsid w:val="6B746FC5"/>
    <w:rsid w:val="6BD54599"/>
    <w:rsid w:val="6C9D0B3F"/>
    <w:rsid w:val="6D912FC0"/>
    <w:rsid w:val="6DB957D2"/>
    <w:rsid w:val="6DE8785D"/>
    <w:rsid w:val="6E54240F"/>
    <w:rsid w:val="6E921357"/>
    <w:rsid w:val="6EC417C9"/>
    <w:rsid w:val="6F9DB74C"/>
    <w:rsid w:val="701D5136"/>
    <w:rsid w:val="70416737"/>
    <w:rsid w:val="708125DB"/>
    <w:rsid w:val="726D5A47"/>
    <w:rsid w:val="736E46F1"/>
    <w:rsid w:val="744D3D5F"/>
    <w:rsid w:val="74686B07"/>
    <w:rsid w:val="74C4399D"/>
    <w:rsid w:val="757F7487"/>
    <w:rsid w:val="758672DF"/>
    <w:rsid w:val="76215F9C"/>
    <w:rsid w:val="764A26AB"/>
    <w:rsid w:val="774178F3"/>
    <w:rsid w:val="777C659A"/>
    <w:rsid w:val="784F4959"/>
    <w:rsid w:val="78F817C4"/>
    <w:rsid w:val="78FE79D8"/>
    <w:rsid w:val="791529B3"/>
    <w:rsid w:val="797F66FF"/>
    <w:rsid w:val="7CE52402"/>
    <w:rsid w:val="7CF718EF"/>
    <w:rsid w:val="7D577279"/>
    <w:rsid w:val="7DD554FF"/>
    <w:rsid w:val="7DEE78D8"/>
    <w:rsid w:val="7F5C7C9F"/>
    <w:rsid w:val="BF7F56C2"/>
    <w:rsid w:val="DF3D72BF"/>
    <w:rsid w:val="FD4FF674"/>
    <w:rsid w:val="FEB7F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basedOn w:val="1"/>
    <w:next w:val="1"/>
    <w:qFormat/>
    <w:uiPriority w:val="0"/>
    <w:pPr>
      <w:widowControl/>
      <w:ind w:firstLine="420"/>
    </w:pPr>
    <w:rPr>
      <w:sz w:val="28"/>
      <w:szCs w:val="28"/>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1I"/>
    <w:basedOn w:val="10"/>
    <w:qFormat/>
    <w:uiPriority w:val="0"/>
    <w:pPr>
      <w:ind w:firstLine="420" w:firstLineChars="100"/>
    </w:pPr>
  </w:style>
  <w:style w:type="paragraph" w:customStyle="1" w:styleId="10">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2054</Words>
  <Characters>2082</Characters>
  <Lines>0</Lines>
  <Paragraphs>0</Paragraphs>
  <TotalTime>5</TotalTime>
  <ScaleCrop>false</ScaleCrop>
  <LinksUpToDate>false</LinksUpToDate>
  <CharactersWithSpaces>2126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2021-07-15T14:33:00Z</dcterms:created>
  <dc:creator>Administrator</dc:creator>
  <cp:lastModifiedBy>潘艳美</cp:lastModifiedBy>
  <dcterms:modified xsi:type="dcterms:W3CDTF">2025-11-11T00:54:48Z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7F9A113740DE4A9B9403046B5BCA579A</vt:lpwstr>
  </property>
  <property fmtid="{D5CDD505-2E9C-101B-9397-08002B2CF9AE}" pid="4" name="KSOSaveFontToCloudKey">
    <vt:lpwstr>312757444_cloud</vt:lpwstr>
  </property>
  <property fmtid="{D5CDD505-2E9C-101B-9397-08002B2CF9AE}" pid="5" name="KSOTemplateDocerSaveRecord">
    <vt:lpwstr>eyJoZGlkIjoiODBhMDM2NzdmNmMwZjQ4M2JhN2ZlNTgzNzdlZWIwNjgiLCJ1c2VySWQiOiI0NTIzNDA4MzgifQ==</vt:lpwstr>
  </property>
</Properties>
</file>