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0149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cs="Times New Roman"/>
        </w:rPr>
      </w:pPr>
    </w:p>
    <w:p w14:paraId="67336B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cs="Times New Roman"/>
        </w:rPr>
      </w:pPr>
    </w:p>
    <w:p w14:paraId="42FA8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90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</w:p>
    <w:p w14:paraId="3A27E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90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</w:p>
    <w:p w14:paraId="42B0E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90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</w:p>
    <w:p w14:paraId="197A7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90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</w:p>
    <w:p w14:paraId="2AB69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90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</w:p>
    <w:p w14:paraId="4BCD7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90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</w:p>
    <w:p w14:paraId="7417BE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玉溪市生态环境局</w:t>
      </w:r>
    </w:p>
    <w:p w14:paraId="4EDF2F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Times New Roman" w:hAnsi="Times New Roman" w:eastAsia="方正小标宋_GBK" w:cs="Times New Roman"/>
          <w:bCs/>
          <w:sz w:val="44"/>
          <w:szCs w:val="44"/>
          <w:lang w:val="zh-CN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  <w:lang w:eastAsia="zh-CN"/>
        </w:rPr>
        <w:t>关于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  <w:lang w:val="zh-CN"/>
        </w:rPr>
        <w:t>云南神龙新材</w:t>
      </w:r>
      <w:r>
        <w:rPr>
          <w:rFonts w:hint="eastAsia" w:eastAsia="方正小标宋_GBK" w:cs="Times New Roman"/>
          <w:bCs/>
          <w:sz w:val="44"/>
          <w:szCs w:val="44"/>
          <w:lang w:val="zh-CN" w:eastAsia="zh-CN"/>
        </w:rPr>
        <w:t>科技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  <w:lang w:val="zh-CN"/>
        </w:rPr>
        <w:t>有限公司年产200万吨</w:t>
      </w:r>
    </w:p>
    <w:p w14:paraId="57172B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Times New Roman" w:hAnsi="Times New Roman" w:eastAsia="方正小标宋_GBK" w:cs="Times New Roman"/>
          <w:bCs/>
          <w:sz w:val="44"/>
          <w:szCs w:val="44"/>
          <w:lang w:val="zh-CN"/>
        </w:rPr>
      </w:pPr>
      <w:r>
        <w:rPr>
          <w:rFonts w:hint="eastAsia" w:ascii="Times New Roman" w:hAnsi="Times New Roman" w:eastAsia="方正小标宋_GBK" w:cs="Times New Roman"/>
          <w:bCs/>
          <w:sz w:val="44"/>
          <w:szCs w:val="44"/>
          <w:lang w:val="zh-CN"/>
        </w:rPr>
        <w:t>金属基复合材料建设项目外部供电工程</w:t>
      </w:r>
    </w:p>
    <w:p w14:paraId="3A2F90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  <w:lang w:val="zh-CN"/>
        </w:rPr>
        <w:t>环境影响报告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lang w:val="zh-CN" w:eastAsia="zh-CN"/>
        </w:rPr>
        <w:t>表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lang w:val="zh-CN"/>
        </w:rPr>
        <w:t>的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批复</w:t>
      </w:r>
    </w:p>
    <w:p w14:paraId="733F1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</w:rPr>
      </w:pPr>
    </w:p>
    <w:p w14:paraId="5ECE1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textAlignment w:val="auto"/>
        <w:rPr>
          <w:rFonts w:hAnsi="方正仿宋_GBK" w:eastAsia="方正仿宋_GBK"/>
          <w:bCs/>
          <w:kern w:val="0"/>
          <w:sz w:val="32"/>
          <w:szCs w:val="32"/>
        </w:rPr>
      </w:pPr>
      <w:r>
        <w:rPr>
          <w:rFonts w:hint="eastAsia" w:ascii="Times New Roman" w:hAnsi="方正仿宋_GBK" w:eastAsia="方正仿宋_GBK" w:cs="Times New Roman"/>
          <w:bCs/>
          <w:kern w:val="0"/>
          <w:sz w:val="32"/>
          <w:szCs w:val="32"/>
          <w:lang w:val="en-US" w:eastAsia="zh-CN"/>
        </w:rPr>
        <w:t>新平工业投资开发有限公司</w:t>
      </w:r>
      <w:r>
        <w:rPr>
          <w:rFonts w:hAnsi="方正仿宋_GBK" w:eastAsia="方正仿宋_GBK"/>
          <w:bCs/>
          <w:kern w:val="0"/>
          <w:sz w:val="32"/>
          <w:szCs w:val="32"/>
        </w:rPr>
        <w:t>：</w:t>
      </w:r>
    </w:p>
    <w:p w14:paraId="4FAE0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hAnsi="方正仿宋_GBK" w:eastAsia="方正仿宋_GBK"/>
          <w:bCs/>
          <w:kern w:val="0"/>
          <w:sz w:val="32"/>
          <w:szCs w:val="32"/>
        </w:rPr>
      </w:pPr>
      <w:r>
        <w:rPr>
          <w:rFonts w:hAnsi="方正仿宋_GBK" w:eastAsia="方正仿宋_GBK"/>
          <w:bCs/>
          <w:kern w:val="0"/>
          <w:sz w:val="32"/>
          <w:szCs w:val="32"/>
        </w:rPr>
        <w:t>你公司申</w:t>
      </w:r>
      <w:r>
        <w:rPr>
          <w:rFonts w:hint="eastAsia" w:hAnsi="方正仿宋_GBK" w:eastAsia="方正仿宋_GBK"/>
          <w:bCs/>
          <w:kern w:val="0"/>
          <w:sz w:val="32"/>
          <w:szCs w:val="32"/>
        </w:rPr>
        <w:t>请</w:t>
      </w:r>
      <w:r>
        <w:rPr>
          <w:rFonts w:hAnsi="方正仿宋_GBK" w:eastAsia="方正仿宋_GBK"/>
          <w:bCs/>
          <w:kern w:val="0"/>
          <w:sz w:val="32"/>
          <w:szCs w:val="32"/>
        </w:rPr>
        <w:t>报</w:t>
      </w:r>
      <w:r>
        <w:rPr>
          <w:rFonts w:hint="eastAsia" w:hAnsi="方正仿宋_GBK" w:eastAsia="方正仿宋_GBK"/>
          <w:bCs/>
          <w:kern w:val="0"/>
          <w:sz w:val="32"/>
          <w:szCs w:val="32"/>
        </w:rPr>
        <w:t>批</w:t>
      </w:r>
      <w:r>
        <w:rPr>
          <w:rFonts w:hAnsi="方正仿宋_GBK" w:eastAsia="方正仿宋_GBK"/>
          <w:bCs/>
          <w:kern w:val="0"/>
          <w:sz w:val="32"/>
          <w:szCs w:val="32"/>
        </w:rPr>
        <w:t>的《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Hans"/>
        </w:rPr>
        <w:t>云南神龙新材科技有限公司年产200万吨金属基复合材料建设项目外部供电工程环境影响报告表</w:t>
      </w:r>
      <w:r>
        <w:rPr>
          <w:rFonts w:hAnsi="方正仿宋_GBK" w:eastAsia="方正仿宋_GBK"/>
          <w:bCs/>
          <w:kern w:val="0"/>
          <w:sz w:val="32"/>
          <w:szCs w:val="32"/>
        </w:rPr>
        <w:t>》（以下简称《报告</w:t>
      </w:r>
      <w:r>
        <w:rPr>
          <w:rFonts w:hint="eastAsia" w:hAnsi="方正仿宋_GBK" w:eastAsia="方正仿宋_GBK"/>
          <w:bCs/>
          <w:kern w:val="0"/>
          <w:sz w:val="32"/>
          <w:szCs w:val="32"/>
        </w:rPr>
        <w:t>表</w:t>
      </w:r>
      <w:r>
        <w:rPr>
          <w:rFonts w:hAnsi="方正仿宋_GBK" w:eastAsia="方正仿宋_GBK"/>
          <w:bCs/>
          <w:kern w:val="0"/>
          <w:sz w:val="32"/>
          <w:szCs w:val="32"/>
        </w:rPr>
        <w:t>》）收悉。经研究，</w:t>
      </w:r>
      <w:r>
        <w:rPr>
          <w:rFonts w:hint="eastAsia" w:hAnsi="方正仿宋_GBK" w:eastAsia="方正仿宋_GBK"/>
          <w:bCs/>
          <w:kern w:val="0"/>
          <w:sz w:val="32"/>
          <w:szCs w:val="32"/>
        </w:rPr>
        <w:t>现</w:t>
      </w:r>
      <w:r>
        <w:rPr>
          <w:rFonts w:hAnsi="方正仿宋_GBK" w:eastAsia="方正仿宋_GBK"/>
          <w:bCs/>
          <w:kern w:val="0"/>
          <w:sz w:val="32"/>
          <w:szCs w:val="32"/>
        </w:rPr>
        <w:t>批复如下</w:t>
      </w:r>
      <w:r>
        <w:rPr>
          <w:rFonts w:hint="eastAsia" w:hAnsi="方正仿宋_GBK" w:eastAsia="方正仿宋_GBK"/>
          <w:bCs/>
          <w:kern w:val="0"/>
          <w:sz w:val="32"/>
          <w:szCs w:val="32"/>
        </w:rPr>
        <w:t>：</w:t>
      </w:r>
    </w:p>
    <w:p w14:paraId="2ADA9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ascii="方正黑体_GBK" w:hAnsi="方正黑体_GBK" w:eastAsia="方正黑体_GBK" w:cs="方正黑体_GBK"/>
          <w:bCs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kern w:val="0"/>
          <w:sz w:val="32"/>
          <w:szCs w:val="32"/>
        </w:rPr>
        <w:t>一、项目基本情况</w:t>
      </w:r>
    </w:p>
    <w:p w14:paraId="272370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jc w:val="left"/>
        <w:textAlignment w:val="auto"/>
        <w:rPr>
          <w:rFonts w:hint="default" w:ascii="Times New Roman" w:hAnsi="方正仿宋_GBK" w:eastAsia="方正仿宋_GBK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方正仿宋_GBK" w:eastAsia="方正仿宋_GBK" w:cs="Times New Roman"/>
          <w:bCs/>
          <w:kern w:val="0"/>
          <w:sz w:val="32"/>
          <w:szCs w:val="32"/>
          <w:lang w:val="en-US" w:eastAsia="zh-CN"/>
        </w:rPr>
        <w:t>项目位于</w:t>
      </w:r>
      <w:bookmarkStart w:id="0" w:name="OLE_LINK24"/>
      <w:bookmarkStart w:id="1" w:name="OLE_LINK23"/>
      <w:r>
        <w:rPr>
          <w:rFonts w:hint="eastAsia" w:ascii="Times New Roman" w:hAnsi="方正仿宋_GBK" w:eastAsia="方正仿宋_GBK" w:cs="Times New Roman"/>
          <w:bCs/>
          <w:kern w:val="0"/>
          <w:sz w:val="32"/>
          <w:szCs w:val="32"/>
          <w:lang w:val="zh-CN" w:eastAsia="zh-CN"/>
        </w:rPr>
        <w:t>玉溪市新平县扬武镇、峨山县化念镇</w:t>
      </w:r>
      <w:bookmarkEnd w:id="0"/>
      <w:bookmarkEnd w:id="1"/>
      <w:r>
        <w:rPr>
          <w:rFonts w:hint="eastAsia" w:ascii="Times New Roman" w:hAnsi="方正仿宋_GBK" w:eastAsia="方正仿宋_GBK" w:cs="Times New Roman"/>
          <w:bCs/>
          <w:kern w:val="0"/>
          <w:sz w:val="32"/>
          <w:szCs w:val="32"/>
          <w:lang w:val="en-US" w:eastAsia="zh-CN"/>
        </w:rPr>
        <w:t>；</w:t>
      </w:r>
      <w:r>
        <w:rPr>
          <w:rFonts w:hint="default" w:ascii="Times New Roman" w:hAnsi="方正仿宋_GBK" w:eastAsia="方正仿宋_GBK" w:cs="Times New Roman"/>
          <w:bCs/>
          <w:kern w:val="0"/>
          <w:sz w:val="32"/>
          <w:szCs w:val="32"/>
          <w:lang w:val="en-US" w:eastAsia="zh-CN"/>
        </w:rPr>
        <w:t>本项目共计占地</w:t>
      </w:r>
      <w:r>
        <w:rPr>
          <w:rFonts w:hint="eastAsia" w:ascii="Times New Roman" w:hAnsi="方正仿宋_GBK" w:eastAsia="方正仿宋_GBK" w:cs="Times New Roman"/>
          <w:bCs/>
          <w:kern w:val="0"/>
          <w:sz w:val="32"/>
          <w:szCs w:val="32"/>
          <w:lang w:val="en-US" w:eastAsia="zh-CN"/>
        </w:rPr>
        <w:t>0.504</w:t>
      </w:r>
      <w:r>
        <w:rPr>
          <w:rFonts w:hint="eastAsia" w:hAnsi="方正仿宋_GBK" w:eastAsia="方正仿宋_GBK" w:cs="Times New Roman"/>
          <w:bCs/>
          <w:kern w:val="0"/>
          <w:sz w:val="32"/>
          <w:szCs w:val="32"/>
          <w:lang w:val="en-US" w:eastAsia="zh-CN"/>
        </w:rPr>
        <w:t>公顷</w:t>
      </w:r>
      <w:r>
        <w:rPr>
          <w:rFonts w:hint="default" w:ascii="Times New Roman" w:hAnsi="方正仿宋_GBK" w:eastAsia="方正仿宋_GBK" w:cs="Times New Roman"/>
          <w:bCs/>
          <w:kern w:val="0"/>
          <w:sz w:val="32"/>
          <w:szCs w:val="32"/>
          <w:lang w:val="en-US" w:eastAsia="zh-CN"/>
        </w:rPr>
        <w:t>，其中永久占地</w:t>
      </w:r>
      <w:r>
        <w:rPr>
          <w:rFonts w:hint="eastAsia" w:ascii="Times New Roman" w:hAnsi="方正仿宋_GBK" w:eastAsia="方正仿宋_GBK" w:cs="Times New Roman"/>
          <w:bCs/>
          <w:kern w:val="0"/>
          <w:sz w:val="32"/>
          <w:szCs w:val="32"/>
          <w:lang w:val="en-US" w:eastAsia="zh-CN"/>
        </w:rPr>
        <w:t>0.16512</w:t>
      </w:r>
      <w:r>
        <w:rPr>
          <w:rFonts w:hint="default" w:ascii="Times New Roman" w:hAnsi="方正仿宋_GBK" w:eastAsia="方正仿宋_GBK" w:cs="Times New Roman"/>
          <w:bCs/>
          <w:kern w:val="0"/>
          <w:sz w:val="32"/>
          <w:szCs w:val="32"/>
          <w:lang w:val="en-US" w:eastAsia="zh-CN"/>
        </w:rPr>
        <w:t>公顷，临时占地</w:t>
      </w:r>
      <w:r>
        <w:rPr>
          <w:rFonts w:hint="eastAsia" w:ascii="Times New Roman" w:hAnsi="方正仿宋_GBK" w:eastAsia="方正仿宋_GBK" w:cs="Times New Roman"/>
          <w:bCs/>
          <w:kern w:val="0"/>
          <w:sz w:val="32"/>
          <w:szCs w:val="32"/>
          <w:lang w:val="en-US" w:eastAsia="zh-CN"/>
        </w:rPr>
        <w:t>0.33888</w:t>
      </w:r>
      <w:r>
        <w:rPr>
          <w:rFonts w:hint="default" w:ascii="Times New Roman" w:hAnsi="方正仿宋_GBK" w:eastAsia="方正仿宋_GBK" w:cs="Times New Roman"/>
          <w:bCs/>
          <w:kern w:val="0"/>
          <w:sz w:val="32"/>
          <w:szCs w:val="32"/>
          <w:lang w:val="en-US" w:eastAsia="zh-CN"/>
        </w:rPr>
        <w:t>公顷。</w:t>
      </w:r>
      <w:r>
        <w:rPr>
          <w:rFonts w:hint="eastAsia" w:ascii="Times New Roman" w:hAnsi="方正仿宋_GBK" w:eastAsia="方正仿宋_GBK" w:cs="Times New Roman"/>
          <w:bCs/>
          <w:kern w:val="0"/>
          <w:sz w:val="32"/>
          <w:szCs w:val="32"/>
          <w:lang w:val="en-US" w:eastAsia="zh-CN"/>
        </w:rPr>
        <w:t>新建</w:t>
      </w:r>
      <w:r>
        <w:rPr>
          <w:rFonts w:hint="default" w:ascii="Times New Roman" w:hAnsi="方正仿宋_GBK" w:eastAsia="方正仿宋_GBK" w:cs="Times New Roman"/>
          <w:bCs/>
          <w:kern w:val="0"/>
          <w:sz w:val="32"/>
          <w:szCs w:val="32"/>
          <w:lang w:val="en-US" w:eastAsia="zh-CN"/>
        </w:rPr>
        <w:t>110千伏线路起于峨山县境内220千伏峨山变，迄于新平县境内110千伏神龙变</w:t>
      </w:r>
      <w:r>
        <w:rPr>
          <w:rFonts w:hint="eastAsia" w:ascii="Times New Roman" w:hAnsi="方正仿宋_GBK" w:eastAsia="方正仿宋_GBK" w:cs="Times New Roman"/>
          <w:bCs/>
          <w:kern w:val="0"/>
          <w:sz w:val="32"/>
          <w:szCs w:val="32"/>
          <w:lang w:val="en-US" w:eastAsia="zh-CN"/>
        </w:rPr>
        <w:t>。</w:t>
      </w:r>
      <w:r>
        <w:rPr>
          <w:rFonts w:hint="default" w:ascii="Times New Roman" w:hAnsi="方正仿宋_GBK" w:eastAsia="方正仿宋_GBK" w:cs="Times New Roman"/>
          <w:bCs/>
          <w:kern w:val="0"/>
          <w:sz w:val="32"/>
          <w:szCs w:val="32"/>
          <w:lang w:val="en-US" w:eastAsia="zh-CN"/>
        </w:rPr>
        <w:t>线路全长约4.6千米，</w:t>
      </w:r>
      <w:r>
        <w:rPr>
          <w:rFonts w:hint="eastAsia" w:ascii="Times New Roman" w:hAnsi="方正仿宋_GBK" w:eastAsia="方正仿宋_GBK" w:cs="Times New Roman"/>
          <w:bCs/>
          <w:kern w:val="0"/>
          <w:sz w:val="32"/>
          <w:szCs w:val="32"/>
          <w:lang w:val="en-US" w:eastAsia="zh-CN"/>
        </w:rPr>
        <w:t>其中峨山县境内长度1</w:t>
      </w:r>
      <w:r>
        <w:rPr>
          <w:rFonts w:hint="default" w:ascii="Times New Roman" w:hAnsi="方正仿宋_GBK" w:eastAsia="方正仿宋_GBK" w:cs="Times New Roman"/>
          <w:bCs/>
          <w:kern w:val="0"/>
          <w:sz w:val="32"/>
          <w:szCs w:val="32"/>
          <w:lang w:val="en-US" w:eastAsia="zh-CN"/>
        </w:rPr>
        <w:t>.2千米</w:t>
      </w:r>
      <w:r>
        <w:rPr>
          <w:rFonts w:hint="eastAsia" w:ascii="Times New Roman" w:hAnsi="方正仿宋_GBK" w:eastAsia="方正仿宋_GBK" w:cs="Times New Roman"/>
          <w:bCs/>
          <w:kern w:val="0"/>
          <w:sz w:val="32"/>
          <w:szCs w:val="32"/>
          <w:lang w:val="en-US" w:eastAsia="zh-CN"/>
        </w:rPr>
        <w:t>，新平县境内线路长度3</w:t>
      </w:r>
      <w:r>
        <w:rPr>
          <w:rFonts w:hint="default" w:ascii="Times New Roman" w:hAnsi="方正仿宋_GBK" w:eastAsia="方正仿宋_GBK" w:cs="Times New Roman"/>
          <w:bCs/>
          <w:kern w:val="0"/>
          <w:sz w:val="32"/>
          <w:szCs w:val="32"/>
          <w:lang w:val="en-US" w:eastAsia="zh-CN"/>
        </w:rPr>
        <w:t>.4千米</w:t>
      </w:r>
      <w:r>
        <w:rPr>
          <w:rFonts w:hint="eastAsia" w:ascii="Times New Roman" w:hAnsi="方正仿宋_GBK" w:eastAsia="方正仿宋_GBK" w:cs="Times New Roman"/>
          <w:bCs/>
          <w:kern w:val="0"/>
          <w:sz w:val="32"/>
          <w:szCs w:val="32"/>
          <w:lang w:val="en-US" w:eastAsia="zh-CN"/>
        </w:rPr>
        <w:t>；</w:t>
      </w:r>
      <w:r>
        <w:rPr>
          <w:rFonts w:hint="default" w:ascii="Times New Roman" w:hAnsi="方正仿宋_GBK" w:eastAsia="方正仿宋_GBK" w:cs="Times New Roman"/>
          <w:bCs/>
          <w:kern w:val="0"/>
          <w:sz w:val="32"/>
          <w:szCs w:val="32"/>
          <w:lang w:val="en-US" w:eastAsia="zh-CN"/>
        </w:rPr>
        <w:t>新建</w:t>
      </w:r>
      <w:r>
        <w:rPr>
          <w:rFonts w:hint="eastAsia" w:ascii="Times New Roman" w:hAnsi="方正仿宋_GBK" w:eastAsia="方正仿宋_GBK" w:cs="Times New Roman"/>
          <w:bCs/>
          <w:kern w:val="0"/>
          <w:sz w:val="32"/>
          <w:szCs w:val="32"/>
          <w:lang w:val="en-US" w:eastAsia="zh-CN"/>
        </w:rPr>
        <w:t>杆</w:t>
      </w:r>
      <w:r>
        <w:rPr>
          <w:rFonts w:hint="default" w:ascii="Times New Roman" w:hAnsi="方正仿宋_GBK" w:eastAsia="方正仿宋_GBK" w:cs="Times New Roman"/>
          <w:bCs/>
          <w:kern w:val="0"/>
          <w:sz w:val="32"/>
          <w:szCs w:val="32"/>
          <w:lang w:val="en-US" w:eastAsia="zh-CN"/>
        </w:rPr>
        <w:t>塔14基</w:t>
      </w:r>
      <w:r>
        <w:rPr>
          <w:rFonts w:hint="eastAsia" w:ascii="Times New Roman" w:hAnsi="方正仿宋_GBK" w:eastAsia="方正仿宋_GBK" w:cs="Times New Roman"/>
          <w:bCs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方正仿宋_GBK" w:eastAsia="方正仿宋_GBK" w:cs="Times New Roman"/>
          <w:bCs/>
          <w:kern w:val="0"/>
          <w:sz w:val="32"/>
          <w:szCs w:val="32"/>
          <w:lang w:val="en-US" w:eastAsia="zh-CN"/>
        </w:rPr>
        <w:t>单回路直线塔3基</w:t>
      </w:r>
      <w:r>
        <w:rPr>
          <w:rFonts w:hint="eastAsia" w:ascii="Times New Roman" w:hAnsi="方正仿宋_GBK" w:eastAsia="方正仿宋_GBK" w:cs="Times New Roman"/>
          <w:bCs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方正仿宋_GBK" w:eastAsia="方正仿宋_GBK" w:cs="Times New Roman"/>
          <w:bCs/>
          <w:kern w:val="0"/>
          <w:sz w:val="32"/>
          <w:szCs w:val="32"/>
          <w:lang w:val="en-US" w:eastAsia="zh-CN"/>
        </w:rPr>
        <w:t>耐张塔9基</w:t>
      </w:r>
      <w:r>
        <w:rPr>
          <w:rFonts w:hint="eastAsia" w:ascii="Times New Roman" w:hAnsi="方正仿宋_GBK" w:eastAsia="方正仿宋_GBK" w:cs="Times New Roman"/>
          <w:bCs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方正仿宋_GBK" w:eastAsia="方正仿宋_GBK" w:cs="Times New Roman"/>
          <w:bCs/>
          <w:kern w:val="0"/>
          <w:sz w:val="32"/>
          <w:szCs w:val="32"/>
          <w:lang w:val="en-US" w:eastAsia="zh-CN"/>
        </w:rPr>
        <w:t>线路长度约4.3千米</w:t>
      </w:r>
      <w:r>
        <w:rPr>
          <w:rFonts w:hint="eastAsia" w:ascii="Times New Roman" w:hAnsi="方正仿宋_GBK" w:eastAsia="方正仿宋_GBK" w:cs="Times New Roman"/>
          <w:bCs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方正仿宋_GBK" w:eastAsia="方正仿宋_GBK" w:cs="Times New Roman"/>
          <w:bCs/>
          <w:kern w:val="0"/>
          <w:sz w:val="32"/>
          <w:szCs w:val="32"/>
          <w:lang w:val="en-US" w:eastAsia="zh-CN"/>
        </w:rPr>
        <w:t>双回路耐张塔2基</w:t>
      </w:r>
      <w:r>
        <w:rPr>
          <w:rFonts w:hint="eastAsia" w:ascii="Times New Roman" w:hAnsi="方正仿宋_GBK" w:eastAsia="方正仿宋_GBK" w:cs="Times New Roman"/>
          <w:bCs/>
          <w:kern w:val="0"/>
          <w:sz w:val="32"/>
          <w:szCs w:val="32"/>
          <w:lang w:val="en-US" w:eastAsia="zh-CN"/>
        </w:rPr>
        <w:t>、线路长度</w:t>
      </w:r>
      <w:r>
        <w:rPr>
          <w:rFonts w:hint="default" w:ascii="Times New Roman" w:hAnsi="方正仿宋_GBK" w:eastAsia="方正仿宋_GBK" w:cs="Times New Roman"/>
          <w:bCs/>
          <w:kern w:val="0"/>
          <w:sz w:val="32"/>
          <w:szCs w:val="32"/>
          <w:lang w:val="en-US" w:eastAsia="zh-CN"/>
        </w:rPr>
        <w:t>约0.3千米。新建导线采用JL/LB20A-300/30型铝包钢芯铝绞线，地线采用2根OPGW-80光缆</w:t>
      </w:r>
      <w:r>
        <w:rPr>
          <w:rFonts w:hint="eastAsia" w:hAnsi="方正仿宋_GBK" w:eastAsia="方正仿宋_GBK" w:cs="Times New Roman"/>
          <w:bCs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方正仿宋_GBK" w:eastAsia="方正仿宋_GBK" w:cs="Times New Roman"/>
          <w:bCs/>
          <w:kern w:val="0"/>
          <w:sz w:val="32"/>
          <w:szCs w:val="32"/>
          <w:lang w:val="en-US" w:eastAsia="zh-CN"/>
        </w:rPr>
        <w:t>导线截面按300平方毫米选择</w:t>
      </w:r>
      <w:r>
        <w:rPr>
          <w:rFonts w:hint="eastAsia" w:ascii="Times New Roman" w:hAnsi="方正仿宋_GBK" w:eastAsia="方正仿宋_GBK" w:cs="Times New Roman"/>
          <w:bCs/>
          <w:kern w:val="0"/>
          <w:sz w:val="32"/>
          <w:szCs w:val="32"/>
          <w:lang w:val="en-US" w:eastAsia="zh-CN"/>
        </w:rPr>
        <w:t>。立项依据：《玉溪市发展和改革委员会关于云南神龙新材科技有限公司年产200万吨金属基复合材料建设项目外部供电工程核准的批复》（玉发改能源复〔2025〕6号），项目代码：</w:t>
      </w:r>
      <w:r>
        <w:rPr>
          <w:rFonts w:hint="default" w:ascii="Times New Roman" w:hAnsi="方正仿宋_GBK" w:eastAsia="方正仿宋_GBK" w:cs="Times New Roman"/>
          <w:bCs/>
          <w:kern w:val="0"/>
          <w:sz w:val="32"/>
          <w:szCs w:val="32"/>
          <w:lang w:val="en-US" w:eastAsia="zh-CN"/>
        </w:rPr>
        <w:t>2412-530427-04-01-129194</w:t>
      </w:r>
      <w:r>
        <w:rPr>
          <w:rFonts w:hint="eastAsia" w:ascii="Times New Roman" w:hAnsi="方正仿宋_GBK" w:eastAsia="方正仿宋_GBK" w:cs="Times New Roman"/>
          <w:bCs/>
          <w:kern w:val="0"/>
          <w:sz w:val="32"/>
          <w:szCs w:val="32"/>
          <w:lang w:val="en-US" w:eastAsia="zh-CN"/>
        </w:rPr>
        <w:t>。</w:t>
      </w:r>
      <w:r>
        <w:rPr>
          <w:rFonts w:hint="eastAsia" w:ascii="Times New Roman" w:hAnsi="方正仿宋_GBK" w:eastAsia="方正仿宋_GBK" w:cs="Times New Roman"/>
          <w:bCs/>
          <w:kern w:val="0"/>
          <w:sz w:val="32"/>
          <w:szCs w:val="32"/>
          <w:lang w:val="zh-CN" w:eastAsia="zh-CN"/>
        </w:rPr>
        <w:t>项目</w:t>
      </w:r>
      <w:r>
        <w:rPr>
          <w:rFonts w:hint="default" w:ascii="Times New Roman" w:hAnsi="方正仿宋_GBK" w:eastAsia="方正仿宋_GBK" w:cs="Times New Roman"/>
          <w:bCs/>
          <w:kern w:val="0"/>
          <w:sz w:val="32"/>
          <w:szCs w:val="32"/>
          <w:lang w:val="zh-CN" w:eastAsia="zh-CN"/>
        </w:rPr>
        <w:t>总投资</w:t>
      </w:r>
      <w:r>
        <w:rPr>
          <w:rFonts w:hint="eastAsia" w:ascii="Times New Roman" w:hAnsi="方正仿宋_GBK" w:eastAsia="方正仿宋_GBK" w:cs="Times New Roman"/>
          <w:bCs/>
          <w:kern w:val="0"/>
          <w:sz w:val="32"/>
          <w:szCs w:val="32"/>
          <w:lang w:val="en-US" w:eastAsia="zh-CN"/>
        </w:rPr>
        <w:t>717</w:t>
      </w:r>
      <w:r>
        <w:rPr>
          <w:rFonts w:hint="default" w:ascii="Times New Roman" w:hAnsi="方正仿宋_GBK" w:eastAsia="方正仿宋_GBK" w:cs="Times New Roman"/>
          <w:bCs/>
          <w:kern w:val="0"/>
          <w:sz w:val="32"/>
          <w:szCs w:val="32"/>
          <w:lang w:val="zh-CN" w:eastAsia="zh-CN"/>
        </w:rPr>
        <w:t>万元，其中环保投资</w:t>
      </w:r>
      <w:r>
        <w:rPr>
          <w:rFonts w:hint="eastAsia" w:ascii="Times New Roman" w:hAnsi="方正仿宋_GBK" w:eastAsia="方正仿宋_GBK" w:cs="Times New Roman"/>
          <w:bCs/>
          <w:kern w:val="0"/>
          <w:sz w:val="32"/>
          <w:szCs w:val="32"/>
          <w:lang w:val="en-US" w:eastAsia="zh-CN"/>
        </w:rPr>
        <w:t>37.5</w:t>
      </w:r>
      <w:r>
        <w:rPr>
          <w:rFonts w:hint="default" w:ascii="Times New Roman" w:hAnsi="方正仿宋_GBK" w:eastAsia="方正仿宋_GBK" w:cs="Times New Roman"/>
          <w:bCs/>
          <w:kern w:val="0"/>
          <w:sz w:val="32"/>
          <w:szCs w:val="32"/>
          <w:lang w:val="zh-CN" w:eastAsia="zh-CN"/>
        </w:rPr>
        <w:t>万元，环保投资占总投资</w:t>
      </w:r>
      <w:r>
        <w:rPr>
          <w:rFonts w:hint="eastAsia" w:ascii="Times New Roman" w:hAnsi="方正仿宋_GBK" w:eastAsia="方正仿宋_GBK" w:cs="Times New Roman"/>
          <w:bCs/>
          <w:kern w:val="0"/>
          <w:sz w:val="32"/>
          <w:szCs w:val="32"/>
          <w:lang w:val="en-US" w:eastAsia="zh-CN"/>
        </w:rPr>
        <w:t>5.23</w:t>
      </w:r>
      <w:r>
        <w:rPr>
          <w:rFonts w:hint="default" w:ascii="Times New Roman" w:hAnsi="方正仿宋_GBK" w:eastAsia="方正仿宋_GBK" w:cs="Times New Roman"/>
          <w:bCs/>
          <w:kern w:val="0"/>
          <w:sz w:val="32"/>
          <w:szCs w:val="32"/>
          <w:lang w:val="zh-CN" w:eastAsia="zh-CN"/>
        </w:rPr>
        <w:t>%。</w:t>
      </w:r>
    </w:p>
    <w:p w14:paraId="78B255B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ascii="方正黑体_GBK" w:hAnsi="方正黑体_GBK" w:eastAsia="方正黑体_GBK" w:cs="方正黑体_GBK"/>
          <w:sz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项目设计、建设和运营过程中应重点做好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的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工作</w:t>
      </w:r>
    </w:p>
    <w:p w14:paraId="2F31B77B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eastAsia="方正仿宋_GBK"/>
          <w:sz w:val="32"/>
        </w:rPr>
        <w:t>（一）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严格做好施工期的各项环境保护工作，落实扬尘、废水、固废、噪声等污染防治措施，清洁文明施工，严格实施项目水土保持各项措施，有效控制施工开挖造成的水土流失，严防施工期对环境保护目标及周围环境造成污染，对生态环境造成破坏。</w:t>
      </w:r>
    </w:p>
    <w:p w14:paraId="1962D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</w:pPr>
      <w:r>
        <w:rPr>
          <w:rFonts w:eastAsia="方正仿宋_GBK"/>
          <w:sz w:val="32"/>
        </w:rPr>
        <w:t>（</w:t>
      </w:r>
      <w:r>
        <w:rPr>
          <w:rFonts w:hint="eastAsia" w:eastAsia="方正仿宋_GBK"/>
          <w:sz w:val="32"/>
        </w:rPr>
        <w:t>二</w:t>
      </w:r>
      <w:r>
        <w:rPr>
          <w:rFonts w:eastAsia="方正仿宋_GBK"/>
          <w:sz w:val="32"/>
        </w:rPr>
        <w:t>）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严格控制工程占地，尽可能降低项目建设对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公益林及周边农田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的生态造成破坏。加强施工人员培训，施工前对施工人员和工程管理人员进行宣传教育，树立各种保护动物的宣传牌，并发放宣传手册，介绍保护动物和常见动物的一般习性及保护动物的措施，提高施工人员的保护意识，自觉保护野生动物，严禁捕猎野生动物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。</w:t>
      </w:r>
    </w:p>
    <w:p w14:paraId="436A8468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</w:pPr>
      <w:r>
        <w:rPr>
          <w:rFonts w:eastAsia="方正仿宋_GBK"/>
          <w:bCs/>
          <w:color w:val="000000"/>
          <w:kern w:val="0"/>
          <w:sz w:val="32"/>
          <w:szCs w:val="32"/>
        </w:rPr>
        <w:t>（</w:t>
      </w:r>
      <w:r>
        <w:rPr>
          <w:rFonts w:hint="eastAsia" w:eastAsia="方正仿宋_GBK"/>
          <w:bCs/>
          <w:color w:val="000000"/>
          <w:kern w:val="0"/>
          <w:sz w:val="32"/>
          <w:szCs w:val="32"/>
        </w:rPr>
        <w:t>三</w:t>
      </w:r>
      <w:r>
        <w:rPr>
          <w:rFonts w:eastAsia="方正仿宋_GBK"/>
          <w:bCs/>
          <w:color w:val="000000"/>
          <w:kern w:val="0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必须严格按《电磁环境控制限值》（GB8702-2014）、《输变电建设项目环境保护技术要求》（HJ1113-2020）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、《110kV～750kV架空输电线路设计规范》（GB50545-2010）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等相关规定设计、建设、运营。认真落实《报告表》提出的环境保护措施，确保项目运行后周边保护目标电磁环境满足《电磁环境控制限值》（GB8702-2014）中电场强度4kV/m、磁感应强度100μT的公众曝露控制限值的要求。</w:t>
      </w:r>
    </w:p>
    <w:p w14:paraId="3EF34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eastAsia="方正仿宋_GBK"/>
          <w:bCs/>
          <w:color w:val="000000"/>
          <w:kern w:val="0"/>
          <w:sz w:val="32"/>
          <w:szCs w:val="32"/>
        </w:rPr>
      </w:pPr>
      <w:r>
        <w:rPr>
          <w:rFonts w:eastAsia="方正仿宋_GBK"/>
          <w:bCs/>
          <w:color w:val="000000"/>
          <w:kern w:val="0"/>
          <w:sz w:val="32"/>
          <w:szCs w:val="32"/>
        </w:rPr>
        <w:t>（四）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加强线路沿线巡查和维护，使之保持良好的运行状态，发现线路异常或事故及时上报、检查，防止由于运行故障产生的噪声环境影响，确保输电线周边声环境满足《声环境质量标准》（GB3096-2008）中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相应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功能区标准限值要求。</w:t>
      </w:r>
    </w:p>
    <w:p w14:paraId="01A1B1DA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32"/>
        </w:rPr>
        <w:t>（五）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严格落实固体废物分类处置和综合利用措施。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线路维护过程中更换废旧电气设备、材料等收集后交给原供应商回收处置，不得随意丢弃。</w:t>
      </w:r>
    </w:p>
    <w:p w14:paraId="6AD37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jc w:val="both"/>
        <w:textAlignment w:val="auto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</w:rPr>
        <w:t>（六）</w:t>
      </w:r>
      <w:r>
        <w:rPr>
          <w:rFonts w:eastAsia="方正仿宋_GBK"/>
          <w:sz w:val="32"/>
        </w:rPr>
        <w:t>加强环境污染风险防范和应急管理。按照《企业事业单位突发环境事件应急预案备案管理办法（试行）》等要求，</w:t>
      </w:r>
      <w:r>
        <w:rPr>
          <w:rFonts w:eastAsia="方正仿宋_GBK"/>
          <w:bCs/>
          <w:sz w:val="32"/>
          <w:szCs w:val="32"/>
        </w:rPr>
        <w:t>严格落实《报告表》提出的各项环境风险防治措施，</w:t>
      </w:r>
      <w:r>
        <w:rPr>
          <w:rFonts w:eastAsia="方正仿宋_GBK"/>
          <w:sz w:val="32"/>
          <w:szCs w:val="32"/>
        </w:rPr>
        <w:t>制定</w:t>
      </w:r>
      <w:r>
        <w:rPr>
          <w:rFonts w:hint="eastAsia" w:eastAsia="方正仿宋_GBK"/>
          <w:sz w:val="32"/>
          <w:szCs w:val="32"/>
        </w:rPr>
        <w:t>、</w:t>
      </w:r>
      <w:r>
        <w:rPr>
          <w:rFonts w:eastAsia="方正仿宋_GBK"/>
          <w:sz w:val="32"/>
          <w:szCs w:val="32"/>
        </w:rPr>
        <w:t>完善环境风险防范和环境安全隐患排查治理措施，按照有关规定建立环境安全隐患制度，</w:t>
      </w:r>
      <w:r>
        <w:rPr>
          <w:rFonts w:eastAsia="方正仿宋_GBK"/>
          <w:sz w:val="32"/>
        </w:rPr>
        <w:t>落实应急物资和经费</w:t>
      </w:r>
      <w:r>
        <w:rPr>
          <w:rFonts w:hint="eastAsia" w:eastAsia="方正仿宋_GBK"/>
          <w:sz w:val="32"/>
        </w:rPr>
        <w:t>，</w:t>
      </w:r>
      <w:r>
        <w:rPr>
          <w:rFonts w:eastAsia="方正仿宋_GBK"/>
          <w:sz w:val="32"/>
        </w:rPr>
        <w:t>建立应急培训档案</w:t>
      </w:r>
      <w:r>
        <w:rPr>
          <w:rFonts w:hint="eastAsia" w:eastAsia="方正仿宋_GBK"/>
          <w:sz w:val="32"/>
        </w:rPr>
        <w:t>和</w:t>
      </w:r>
      <w:r>
        <w:rPr>
          <w:rFonts w:eastAsia="方正仿宋_GBK"/>
          <w:sz w:val="32"/>
          <w:szCs w:val="32"/>
        </w:rPr>
        <w:t>隐患排查治理档案，及时发现并消除环境安全隐患</w:t>
      </w:r>
      <w:r>
        <w:rPr>
          <w:rFonts w:hint="eastAsia" w:eastAsia="方正仿宋_GBK"/>
          <w:sz w:val="32"/>
          <w:szCs w:val="32"/>
        </w:rPr>
        <w:t>，</w:t>
      </w:r>
      <w:r>
        <w:rPr>
          <w:rFonts w:eastAsia="方正仿宋_GBK"/>
          <w:bCs/>
          <w:sz w:val="32"/>
          <w:szCs w:val="32"/>
        </w:rPr>
        <w:t>严防突发环境事故发生</w:t>
      </w:r>
      <w:r>
        <w:rPr>
          <w:rFonts w:hint="eastAsia" w:eastAsia="方正仿宋_GBK"/>
          <w:bCs/>
          <w:sz w:val="32"/>
          <w:szCs w:val="32"/>
        </w:rPr>
        <w:t>，</w:t>
      </w:r>
      <w:r>
        <w:rPr>
          <w:rFonts w:eastAsia="方正仿宋_GBK"/>
          <w:bCs/>
          <w:sz w:val="32"/>
          <w:szCs w:val="32"/>
        </w:rPr>
        <w:t>编制突发环境事件（事故）应急预案报市生态环境局新平分</w:t>
      </w:r>
      <w:r>
        <w:rPr>
          <w:rFonts w:eastAsia="方正仿宋_GBK"/>
          <w:sz w:val="32"/>
          <w:szCs w:val="32"/>
        </w:rPr>
        <w:t>局备案。</w:t>
      </w:r>
    </w:p>
    <w:p w14:paraId="778FADE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/>
        <w:textAlignment w:val="auto"/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三、其他相关要求</w:t>
      </w:r>
    </w:p>
    <w:p w14:paraId="461FA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textAlignment w:val="auto"/>
        <w:rPr>
          <w:rFonts w:ascii="Times New Roman Regular" w:hAnsi="Times New Roman Regular" w:eastAsia="方正仿宋_GB2312" w:cs="Times New Roman Regular"/>
          <w:bCs/>
          <w:kern w:val="0"/>
          <w:sz w:val="32"/>
          <w:szCs w:val="32"/>
        </w:rPr>
      </w:pPr>
      <w:r>
        <w:rPr>
          <w:rFonts w:hint="eastAsia" w:eastAsia="方正仿宋_GBK"/>
          <w:sz w:val="32"/>
        </w:rPr>
        <w:t>（一）</w:t>
      </w:r>
      <w:r>
        <w:rPr>
          <w:rFonts w:eastAsia="方正仿宋_GBK"/>
          <w:sz w:val="32"/>
        </w:rPr>
        <w:t>《报告</w:t>
      </w:r>
      <w:r>
        <w:rPr>
          <w:rFonts w:hint="eastAsia" w:eastAsia="方正仿宋_GBK"/>
          <w:sz w:val="32"/>
        </w:rPr>
        <w:t>表</w:t>
      </w:r>
      <w:r>
        <w:rPr>
          <w:rFonts w:eastAsia="方正仿宋_GBK"/>
          <w:sz w:val="32"/>
        </w:rPr>
        <w:t>》经批准后，如工程的规模、地点、生产工艺或者防治污染、防止生态破坏的措施发生重大变动的，你单位应当依法重新报批环境影响评价文件，否则不得动工建设。在项目建设、运行过程中产生不符合经审批的《报告</w:t>
      </w:r>
      <w:r>
        <w:rPr>
          <w:rFonts w:hint="eastAsia" w:eastAsia="方正仿宋_GBK"/>
          <w:sz w:val="32"/>
        </w:rPr>
        <w:t>表</w:t>
      </w:r>
      <w:r>
        <w:rPr>
          <w:rFonts w:eastAsia="方正仿宋_GBK"/>
          <w:sz w:val="32"/>
        </w:rPr>
        <w:t>》情形且不属于重大变动的，你单位应当组织</w:t>
      </w:r>
      <w:r>
        <w:rPr>
          <w:rFonts w:hint="eastAsia" w:eastAsia="方正仿宋_GBK"/>
          <w:sz w:val="32"/>
        </w:rPr>
        <w:t>重新编制《报告表》</w:t>
      </w:r>
      <w:r>
        <w:rPr>
          <w:rFonts w:eastAsia="方正仿宋_GBK"/>
          <w:sz w:val="32"/>
        </w:rPr>
        <w:t>，采取改进措施，按规定</w:t>
      </w:r>
      <w:r>
        <w:rPr>
          <w:rFonts w:hint="eastAsia" w:eastAsia="方正仿宋_GBK"/>
          <w:sz w:val="32"/>
        </w:rPr>
        <w:t>上报审批</w:t>
      </w:r>
      <w:r>
        <w:rPr>
          <w:rFonts w:eastAsia="方正仿宋_GBK"/>
          <w:sz w:val="32"/>
        </w:rPr>
        <w:t>。自《报告</w:t>
      </w:r>
      <w:r>
        <w:rPr>
          <w:rFonts w:hint="eastAsia" w:eastAsia="方正仿宋_GBK"/>
          <w:sz w:val="32"/>
        </w:rPr>
        <w:t>表</w:t>
      </w:r>
      <w:r>
        <w:rPr>
          <w:rFonts w:eastAsia="方正仿宋_GBK"/>
          <w:sz w:val="32"/>
        </w:rPr>
        <w:t>》批准之日起，如超过5年项目方开工建设的，环境影响评价文件应当依法报有审批权的审批部门重新审核。</w:t>
      </w:r>
    </w:p>
    <w:p w14:paraId="3A48E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jc w:val="left"/>
        <w:textAlignment w:val="auto"/>
        <w:rPr>
          <w:rFonts w:eastAsia="方正仿宋_GBK"/>
          <w:bCs/>
          <w:kern w:val="0"/>
          <w:sz w:val="32"/>
          <w:szCs w:val="32"/>
        </w:rPr>
      </w:pPr>
      <w:r>
        <w:rPr>
          <w:rFonts w:hint="eastAsia" w:eastAsia="方正仿宋_GBK"/>
          <w:bCs/>
          <w:kern w:val="0"/>
          <w:sz w:val="32"/>
          <w:szCs w:val="32"/>
        </w:rPr>
        <w:t>（二）项目建设和运行需要取得其他行政许可或办理相关手续的，须依法依规报有关行政主管部门办理，并根据主管部门的要求，进一步完善相关保护措施。</w:t>
      </w:r>
    </w:p>
    <w:p w14:paraId="41CCC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jc w:val="left"/>
        <w:textAlignment w:val="auto"/>
        <w:rPr>
          <w:rFonts w:hAnsi="方正仿宋_GBK" w:eastAsia="方正仿宋_GBK"/>
          <w:bCs/>
          <w:kern w:val="0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（三）</w:t>
      </w:r>
      <w:r>
        <w:rPr>
          <w:rFonts w:eastAsia="方正仿宋_GBK"/>
          <w:sz w:val="32"/>
          <w:szCs w:val="32"/>
        </w:rPr>
        <w:t>严格落实“三同时”制度。你公司应严格履行生态环境保护主体责任，建立内部生态环境管理体系，明确机构人员职责和制度，加强生态环境管理，推进各项措施落实。认真落实施工期环境监理工作，制定并落实施工期和运营期生态环境跟踪监测方案，根据结果不断优化各项生态环境保护和污染防治措施。必须严格执行配套的环境保护设施与主体工程同时设计、同时施工、同时投产使用的“三同时”制度。按规定程序开展竣工环境保护验收。</w:t>
      </w:r>
    </w:p>
    <w:p w14:paraId="4C7E1D56"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/>
        <w:textAlignment w:val="auto"/>
      </w:pPr>
      <w:r>
        <w:rPr>
          <w:rFonts w:hint="eastAsia" w:eastAsia="方正仿宋_GBK"/>
          <w:bCs/>
          <w:kern w:val="0"/>
          <w:sz w:val="32"/>
          <w:szCs w:val="32"/>
        </w:rPr>
        <w:t>（四）玉溪市</w:t>
      </w:r>
      <w:r>
        <w:rPr>
          <w:rFonts w:eastAsia="方正仿宋_GBK"/>
          <w:bCs/>
          <w:kern w:val="0"/>
          <w:sz w:val="32"/>
          <w:szCs w:val="32"/>
        </w:rPr>
        <w:t>生态环境保护综合行政执法</w:t>
      </w:r>
      <w:r>
        <w:rPr>
          <w:rFonts w:hint="eastAsia" w:eastAsia="方正仿宋_GBK"/>
          <w:bCs/>
          <w:kern w:val="0"/>
          <w:sz w:val="32"/>
          <w:szCs w:val="32"/>
        </w:rPr>
        <w:t>支队和玉溪市生态环境局新平分局要</w:t>
      </w:r>
      <w:r>
        <w:rPr>
          <w:rFonts w:eastAsia="方正仿宋_GBK"/>
          <w:bCs/>
          <w:kern w:val="0"/>
          <w:sz w:val="32"/>
          <w:szCs w:val="32"/>
        </w:rPr>
        <w:t>切实承担事中事后监管责任，</w:t>
      </w:r>
      <w:r>
        <w:rPr>
          <w:rFonts w:hint="eastAsia" w:eastAsia="方正仿宋_GBK"/>
          <w:bCs/>
          <w:kern w:val="0"/>
          <w:sz w:val="32"/>
          <w:szCs w:val="32"/>
        </w:rPr>
        <w:t>履行属地监管职责，</w:t>
      </w:r>
      <w:r>
        <w:rPr>
          <w:rFonts w:eastAsia="方正仿宋_GBK"/>
          <w:bCs/>
          <w:kern w:val="0"/>
          <w:sz w:val="32"/>
          <w:szCs w:val="32"/>
        </w:rPr>
        <w:t>按照法律法规及《关于进一步完善建设项目环境保护“三同时”及竣工环境保护自主验收监管工作机制的意见》（环执法〔2021〕70号）等文件要求，加强对项目的环境保护“三同时”、竣工环境保护自主验收等执法监管。</w:t>
      </w:r>
    </w:p>
    <w:p w14:paraId="4B2A9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jc w:val="left"/>
        <w:textAlignment w:val="auto"/>
        <w:rPr>
          <w:rFonts w:eastAsia="方正仿宋_GBK"/>
          <w:bCs/>
          <w:kern w:val="0"/>
          <w:sz w:val="32"/>
          <w:szCs w:val="32"/>
        </w:rPr>
      </w:pPr>
    </w:p>
    <w:p w14:paraId="79C4A225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textAlignment w:val="auto"/>
        <w:rPr>
          <w:rFonts w:eastAsia="方正仿宋_GBK"/>
          <w:bCs/>
          <w:kern w:val="0"/>
          <w:sz w:val="32"/>
          <w:szCs w:val="32"/>
        </w:rPr>
      </w:pPr>
    </w:p>
    <w:p w14:paraId="35DA4AD2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textAlignment w:val="auto"/>
      </w:pPr>
    </w:p>
    <w:p w14:paraId="35380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jc w:val="left"/>
        <w:textAlignment w:val="auto"/>
        <w:rPr>
          <w:rFonts w:eastAsia="方正仿宋_GBK"/>
          <w:bCs/>
          <w:kern w:val="0"/>
          <w:sz w:val="32"/>
          <w:szCs w:val="32"/>
        </w:rPr>
      </w:pPr>
    </w:p>
    <w:p w14:paraId="5E475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jc w:val="left"/>
        <w:textAlignment w:val="auto"/>
        <w:rPr>
          <w:rFonts w:eastAsia="方正仿宋_GBK"/>
          <w:bCs/>
          <w:kern w:val="0"/>
          <w:sz w:val="32"/>
          <w:szCs w:val="32"/>
          <w:highlight w:val="yellow"/>
        </w:rPr>
      </w:pPr>
      <w:r>
        <w:rPr>
          <w:rFonts w:eastAsia="方正仿宋_GBK"/>
          <w:bCs/>
          <w:kern w:val="0"/>
          <w:sz w:val="32"/>
          <w:szCs w:val="32"/>
        </w:rPr>
        <w:t xml:space="preserve">                           202</w:t>
      </w:r>
      <w:r>
        <w:rPr>
          <w:rFonts w:hint="eastAsia" w:eastAsia="方正仿宋_GBK"/>
          <w:bCs/>
          <w:kern w:val="0"/>
          <w:sz w:val="32"/>
          <w:szCs w:val="32"/>
        </w:rPr>
        <w:t>5</w:t>
      </w:r>
      <w:r>
        <w:rPr>
          <w:rFonts w:eastAsia="方正仿宋_GBK"/>
          <w:bCs/>
          <w:kern w:val="0"/>
          <w:sz w:val="32"/>
          <w:szCs w:val="32"/>
        </w:rPr>
        <w:t>年</w:t>
      </w:r>
      <w:r>
        <w:rPr>
          <w:rFonts w:hint="eastAsia" w:eastAsia="方正仿宋_GBK"/>
          <w:bCs/>
          <w:kern w:val="0"/>
          <w:sz w:val="32"/>
          <w:szCs w:val="32"/>
          <w:lang w:val="en-US" w:eastAsia="zh-CN"/>
        </w:rPr>
        <w:t>9</w:t>
      </w:r>
      <w:r>
        <w:rPr>
          <w:rFonts w:eastAsia="方正仿宋_GBK"/>
          <w:bCs/>
          <w:kern w:val="0"/>
          <w:sz w:val="32"/>
          <w:szCs w:val="32"/>
        </w:rPr>
        <w:t>月</w:t>
      </w:r>
      <w:r>
        <w:rPr>
          <w:rFonts w:hint="eastAsia" w:eastAsia="方正仿宋_GBK"/>
          <w:bCs/>
          <w:kern w:val="0"/>
          <w:sz w:val="32"/>
          <w:szCs w:val="32"/>
          <w:lang w:val="en-US" w:eastAsia="zh-CN"/>
        </w:rPr>
        <w:t>18</w:t>
      </w:r>
      <w:r>
        <w:rPr>
          <w:rFonts w:eastAsia="方正仿宋_GBK"/>
          <w:bCs/>
          <w:kern w:val="0"/>
          <w:sz w:val="32"/>
          <w:szCs w:val="32"/>
        </w:rPr>
        <w:t>日</w:t>
      </w:r>
    </w:p>
    <w:p w14:paraId="647F468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ind w:firstLine="640" w:firstLineChars="200"/>
        <w:textAlignment w:val="auto"/>
        <w:rPr>
          <w:rFonts w:eastAsia="方正仿宋_GBK"/>
          <w:bCs/>
          <w:kern w:val="0"/>
          <w:sz w:val="32"/>
          <w:szCs w:val="32"/>
        </w:rPr>
      </w:pPr>
      <w:r>
        <w:rPr>
          <w:rFonts w:eastAsia="方正仿宋_GBK"/>
          <w:bCs/>
          <w:kern w:val="0"/>
          <w:sz w:val="32"/>
          <w:szCs w:val="32"/>
        </w:rPr>
        <w:t>（此件公开发布）</w:t>
      </w:r>
    </w:p>
    <w:p w14:paraId="4D4D009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ind w:firstLine="640" w:firstLineChars="200"/>
        <w:textAlignment w:val="auto"/>
        <w:rPr>
          <w:rFonts w:eastAsia="方正仿宋_GBK"/>
          <w:bCs/>
          <w:kern w:val="0"/>
          <w:sz w:val="32"/>
          <w:szCs w:val="32"/>
        </w:rPr>
      </w:pPr>
    </w:p>
    <w:p w14:paraId="038B8EC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ind w:firstLine="640" w:firstLineChars="200"/>
        <w:textAlignment w:val="auto"/>
        <w:rPr>
          <w:rFonts w:eastAsia="方正仿宋_GBK"/>
          <w:bCs/>
          <w:kern w:val="0"/>
          <w:sz w:val="32"/>
          <w:szCs w:val="32"/>
        </w:rPr>
      </w:pPr>
    </w:p>
    <w:p w14:paraId="3AFCE23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ind w:firstLine="640" w:firstLineChars="200"/>
        <w:textAlignment w:val="auto"/>
        <w:rPr>
          <w:rFonts w:eastAsia="方正仿宋_GBK"/>
          <w:bCs/>
          <w:kern w:val="0"/>
          <w:sz w:val="32"/>
          <w:szCs w:val="32"/>
        </w:rPr>
      </w:pPr>
    </w:p>
    <w:p w14:paraId="25DCD13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ind w:firstLine="640" w:firstLineChars="200"/>
        <w:textAlignment w:val="auto"/>
        <w:rPr>
          <w:rFonts w:eastAsia="方正仿宋_GBK"/>
          <w:bCs/>
          <w:kern w:val="0"/>
          <w:sz w:val="32"/>
          <w:szCs w:val="32"/>
        </w:rPr>
      </w:pPr>
    </w:p>
    <w:p w14:paraId="0CEA34A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ind w:firstLine="640" w:firstLineChars="200"/>
        <w:textAlignment w:val="auto"/>
        <w:rPr>
          <w:rFonts w:eastAsia="方正仿宋_GBK"/>
          <w:bCs/>
          <w:kern w:val="0"/>
          <w:sz w:val="32"/>
          <w:szCs w:val="32"/>
        </w:rPr>
      </w:pPr>
    </w:p>
    <w:p w14:paraId="795C3C8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ind w:firstLine="640" w:firstLineChars="200"/>
        <w:textAlignment w:val="auto"/>
        <w:rPr>
          <w:rFonts w:eastAsia="方正仿宋_GBK"/>
          <w:bCs/>
          <w:kern w:val="0"/>
          <w:sz w:val="32"/>
          <w:szCs w:val="32"/>
        </w:rPr>
      </w:pPr>
    </w:p>
    <w:p w14:paraId="12F3A11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ind w:firstLine="640" w:firstLineChars="200"/>
        <w:textAlignment w:val="auto"/>
        <w:rPr>
          <w:rFonts w:eastAsia="方正仿宋_GBK"/>
          <w:bCs/>
          <w:kern w:val="0"/>
          <w:sz w:val="32"/>
          <w:szCs w:val="32"/>
        </w:rPr>
      </w:pPr>
    </w:p>
    <w:p w14:paraId="1114BD2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ind w:firstLine="640" w:firstLineChars="200"/>
        <w:textAlignment w:val="auto"/>
        <w:rPr>
          <w:rFonts w:eastAsia="方正仿宋_GBK"/>
          <w:bCs/>
          <w:kern w:val="0"/>
          <w:sz w:val="32"/>
          <w:szCs w:val="32"/>
        </w:rPr>
      </w:pPr>
      <w:bookmarkStart w:id="2" w:name="_GoBack"/>
      <w:bookmarkEnd w:id="2"/>
    </w:p>
    <w:p w14:paraId="0397F15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ind w:firstLine="640" w:firstLineChars="200"/>
        <w:textAlignment w:val="auto"/>
        <w:rPr>
          <w:rFonts w:eastAsia="方正仿宋_GBK"/>
          <w:bCs/>
          <w:kern w:val="0"/>
          <w:sz w:val="32"/>
          <w:szCs w:val="32"/>
        </w:rPr>
      </w:pPr>
    </w:p>
    <w:p w14:paraId="25CF891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ind w:firstLine="640" w:firstLineChars="200"/>
        <w:textAlignment w:val="auto"/>
        <w:rPr>
          <w:rFonts w:eastAsia="方正仿宋_GBK"/>
          <w:bCs/>
          <w:kern w:val="0"/>
          <w:sz w:val="32"/>
          <w:szCs w:val="32"/>
        </w:rPr>
      </w:pPr>
    </w:p>
    <w:p w14:paraId="08C2CF7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ind w:firstLine="640" w:firstLineChars="200"/>
        <w:textAlignment w:val="auto"/>
        <w:rPr>
          <w:rFonts w:eastAsia="方正仿宋_GBK"/>
          <w:bCs/>
          <w:kern w:val="0"/>
          <w:sz w:val="32"/>
          <w:szCs w:val="32"/>
        </w:rPr>
      </w:pPr>
    </w:p>
    <w:p w14:paraId="3681F2B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ind w:firstLine="640" w:firstLineChars="200"/>
        <w:textAlignment w:val="auto"/>
        <w:rPr>
          <w:rFonts w:hint="default" w:eastAsia="方正仿宋_GBK"/>
          <w:bCs/>
          <w:kern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41" w:right="1474" w:bottom="1304" w:left="1587" w:header="1361" w:footer="1191" w:gutter="0"/>
      <w:pgNumType w:fmt="decimal"/>
      <w:cols w:space="0" w:num="1"/>
      <w:rtlGutter w:val="0"/>
      <w:docGrid w:type="linesAndChars" w:linePitch="2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oúì.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23CAC9">
    <w:pPr>
      <w:pStyle w:val="1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CE4DA8"/>
    <w:multiLevelType w:val="singleLevel"/>
    <w:tmpl w:val="32CE4DA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4YjcyM2E0ZTg3YjgyZjQyYTg2ZTRkMGM4ZDdhMWUifQ=="/>
  </w:docVars>
  <w:rsids>
    <w:rsidRoot w:val="2AAF282F"/>
    <w:rsid w:val="00251335"/>
    <w:rsid w:val="002C7551"/>
    <w:rsid w:val="002E39CB"/>
    <w:rsid w:val="00354601"/>
    <w:rsid w:val="00621CDB"/>
    <w:rsid w:val="007216D3"/>
    <w:rsid w:val="009E4FAC"/>
    <w:rsid w:val="00DE2824"/>
    <w:rsid w:val="00E32A7B"/>
    <w:rsid w:val="00E779F3"/>
    <w:rsid w:val="00F138BA"/>
    <w:rsid w:val="017B43B2"/>
    <w:rsid w:val="01901A10"/>
    <w:rsid w:val="022E6AD9"/>
    <w:rsid w:val="02C92423"/>
    <w:rsid w:val="02D359C2"/>
    <w:rsid w:val="03405326"/>
    <w:rsid w:val="03DF7990"/>
    <w:rsid w:val="047A7F12"/>
    <w:rsid w:val="05436FA8"/>
    <w:rsid w:val="066A0886"/>
    <w:rsid w:val="06D849E3"/>
    <w:rsid w:val="075F1CAC"/>
    <w:rsid w:val="07CE7264"/>
    <w:rsid w:val="09294E4C"/>
    <w:rsid w:val="0A5C471D"/>
    <w:rsid w:val="0A5D4D3F"/>
    <w:rsid w:val="0A955323"/>
    <w:rsid w:val="0B2C6D5D"/>
    <w:rsid w:val="0C11428E"/>
    <w:rsid w:val="0CD1482E"/>
    <w:rsid w:val="0D625FF1"/>
    <w:rsid w:val="0DF93715"/>
    <w:rsid w:val="0EE81C04"/>
    <w:rsid w:val="10085FCB"/>
    <w:rsid w:val="10600A97"/>
    <w:rsid w:val="11851A07"/>
    <w:rsid w:val="11DC6270"/>
    <w:rsid w:val="12080F2A"/>
    <w:rsid w:val="126224F8"/>
    <w:rsid w:val="13DD3E12"/>
    <w:rsid w:val="14325F56"/>
    <w:rsid w:val="143A6D20"/>
    <w:rsid w:val="147C6156"/>
    <w:rsid w:val="147D33EC"/>
    <w:rsid w:val="14A7237E"/>
    <w:rsid w:val="14F53A51"/>
    <w:rsid w:val="150771D6"/>
    <w:rsid w:val="15906E34"/>
    <w:rsid w:val="15B44512"/>
    <w:rsid w:val="175B5421"/>
    <w:rsid w:val="17773ABF"/>
    <w:rsid w:val="17951DDA"/>
    <w:rsid w:val="17A544C1"/>
    <w:rsid w:val="17D20987"/>
    <w:rsid w:val="187622AE"/>
    <w:rsid w:val="18C74774"/>
    <w:rsid w:val="18CE063C"/>
    <w:rsid w:val="19234F44"/>
    <w:rsid w:val="1A3C7BBE"/>
    <w:rsid w:val="1A5F6E8E"/>
    <w:rsid w:val="1A8C320C"/>
    <w:rsid w:val="1AF06846"/>
    <w:rsid w:val="1B5961B8"/>
    <w:rsid w:val="1BB55796"/>
    <w:rsid w:val="1D22560D"/>
    <w:rsid w:val="1D36222A"/>
    <w:rsid w:val="1E6F08DE"/>
    <w:rsid w:val="1EA25257"/>
    <w:rsid w:val="1EE0592A"/>
    <w:rsid w:val="208965AF"/>
    <w:rsid w:val="20AA77ED"/>
    <w:rsid w:val="20E24817"/>
    <w:rsid w:val="22070E99"/>
    <w:rsid w:val="221338AA"/>
    <w:rsid w:val="22B47180"/>
    <w:rsid w:val="24404051"/>
    <w:rsid w:val="252B1D4D"/>
    <w:rsid w:val="254949A5"/>
    <w:rsid w:val="259A3B4A"/>
    <w:rsid w:val="25B310C3"/>
    <w:rsid w:val="25B61F3B"/>
    <w:rsid w:val="25CE3729"/>
    <w:rsid w:val="266470F6"/>
    <w:rsid w:val="26E52AD8"/>
    <w:rsid w:val="26F33055"/>
    <w:rsid w:val="270A1F02"/>
    <w:rsid w:val="272844C9"/>
    <w:rsid w:val="273C53CB"/>
    <w:rsid w:val="2750082C"/>
    <w:rsid w:val="27D902BE"/>
    <w:rsid w:val="27E028FD"/>
    <w:rsid w:val="285716F9"/>
    <w:rsid w:val="286E622A"/>
    <w:rsid w:val="2AAF282F"/>
    <w:rsid w:val="2B5D1FBE"/>
    <w:rsid w:val="2BA80578"/>
    <w:rsid w:val="2C4B3AF0"/>
    <w:rsid w:val="2CE31097"/>
    <w:rsid w:val="2D9B5CF7"/>
    <w:rsid w:val="2E8D30CF"/>
    <w:rsid w:val="2FAE1C18"/>
    <w:rsid w:val="301F335D"/>
    <w:rsid w:val="30AB341D"/>
    <w:rsid w:val="30BA0CF3"/>
    <w:rsid w:val="30E34D34"/>
    <w:rsid w:val="31A812D2"/>
    <w:rsid w:val="32810117"/>
    <w:rsid w:val="33364881"/>
    <w:rsid w:val="334A0CFF"/>
    <w:rsid w:val="352542C8"/>
    <w:rsid w:val="35692B73"/>
    <w:rsid w:val="370D5223"/>
    <w:rsid w:val="376E2D82"/>
    <w:rsid w:val="38403B90"/>
    <w:rsid w:val="38AC02C2"/>
    <w:rsid w:val="38B41D0D"/>
    <w:rsid w:val="38CA66E0"/>
    <w:rsid w:val="392B5427"/>
    <w:rsid w:val="3BA00084"/>
    <w:rsid w:val="3C7F4DE2"/>
    <w:rsid w:val="3C7F7E1B"/>
    <w:rsid w:val="3EF1250A"/>
    <w:rsid w:val="3F155B26"/>
    <w:rsid w:val="410858E9"/>
    <w:rsid w:val="41332E43"/>
    <w:rsid w:val="416A0536"/>
    <w:rsid w:val="41D86F7B"/>
    <w:rsid w:val="423A11FD"/>
    <w:rsid w:val="429513FF"/>
    <w:rsid w:val="42A177C8"/>
    <w:rsid w:val="432D68FF"/>
    <w:rsid w:val="436F1C50"/>
    <w:rsid w:val="43E27842"/>
    <w:rsid w:val="43F3462F"/>
    <w:rsid w:val="449823AC"/>
    <w:rsid w:val="44A14CE2"/>
    <w:rsid w:val="44C339FF"/>
    <w:rsid w:val="4580253E"/>
    <w:rsid w:val="4586478D"/>
    <w:rsid w:val="45A5300C"/>
    <w:rsid w:val="45B72F61"/>
    <w:rsid w:val="46D524F5"/>
    <w:rsid w:val="473D3C1B"/>
    <w:rsid w:val="481B4AAA"/>
    <w:rsid w:val="488E05B4"/>
    <w:rsid w:val="48E376BD"/>
    <w:rsid w:val="49600971"/>
    <w:rsid w:val="498875C7"/>
    <w:rsid w:val="4A51456E"/>
    <w:rsid w:val="4AEF13B7"/>
    <w:rsid w:val="4B0E06C8"/>
    <w:rsid w:val="4C2226B4"/>
    <w:rsid w:val="4C963E7C"/>
    <w:rsid w:val="4CF01C24"/>
    <w:rsid w:val="4CFC6926"/>
    <w:rsid w:val="4DD53083"/>
    <w:rsid w:val="4EBA33D0"/>
    <w:rsid w:val="4ECA26AB"/>
    <w:rsid w:val="4FBF2EF4"/>
    <w:rsid w:val="4FC24B2F"/>
    <w:rsid w:val="501F6C42"/>
    <w:rsid w:val="51C9023B"/>
    <w:rsid w:val="51FE1BA6"/>
    <w:rsid w:val="524D5852"/>
    <w:rsid w:val="52601BDC"/>
    <w:rsid w:val="52D2446B"/>
    <w:rsid w:val="534A1F20"/>
    <w:rsid w:val="54B95797"/>
    <w:rsid w:val="54ED6695"/>
    <w:rsid w:val="54FD6EDC"/>
    <w:rsid w:val="55090B63"/>
    <w:rsid w:val="55C5056F"/>
    <w:rsid w:val="56490678"/>
    <w:rsid w:val="56685559"/>
    <w:rsid w:val="56BD2497"/>
    <w:rsid w:val="56C8798F"/>
    <w:rsid w:val="56F53885"/>
    <w:rsid w:val="570502E5"/>
    <w:rsid w:val="57062473"/>
    <w:rsid w:val="57BF3583"/>
    <w:rsid w:val="583667C1"/>
    <w:rsid w:val="583C72D7"/>
    <w:rsid w:val="591816AF"/>
    <w:rsid w:val="5A4822A0"/>
    <w:rsid w:val="5A7D0E49"/>
    <w:rsid w:val="5B530E0D"/>
    <w:rsid w:val="5BBB79D4"/>
    <w:rsid w:val="5BEC4998"/>
    <w:rsid w:val="5C590380"/>
    <w:rsid w:val="5CFE5258"/>
    <w:rsid w:val="5D0964B2"/>
    <w:rsid w:val="5E04242A"/>
    <w:rsid w:val="5E9B6186"/>
    <w:rsid w:val="5EB95888"/>
    <w:rsid w:val="5EE571AE"/>
    <w:rsid w:val="5F402FCF"/>
    <w:rsid w:val="5F4A3E48"/>
    <w:rsid w:val="5FA40E41"/>
    <w:rsid w:val="6158114D"/>
    <w:rsid w:val="61682A0D"/>
    <w:rsid w:val="62197AC8"/>
    <w:rsid w:val="629C6B78"/>
    <w:rsid w:val="63161C90"/>
    <w:rsid w:val="642A014A"/>
    <w:rsid w:val="642F4117"/>
    <w:rsid w:val="644E7BB0"/>
    <w:rsid w:val="65BD6006"/>
    <w:rsid w:val="65C33A84"/>
    <w:rsid w:val="65D43D57"/>
    <w:rsid w:val="65EF6265"/>
    <w:rsid w:val="661C059B"/>
    <w:rsid w:val="664C74D8"/>
    <w:rsid w:val="66C51CC3"/>
    <w:rsid w:val="670F1B12"/>
    <w:rsid w:val="6783156C"/>
    <w:rsid w:val="67E051FD"/>
    <w:rsid w:val="67E67E6E"/>
    <w:rsid w:val="67F40045"/>
    <w:rsid w:val="69624277"/>
    <w:rsid w:val="69BB5472"/>
    <w:rsid w:val="6A065065"/>
    <w:rsid w:val="6A970CFF"/>
    <w:rsid w:val="6B24315D"/>
    <w:rsid w:val="6B8F627B"/>
    <w:rsid w:val="6C196406"/>
    <w:rsid w:val="6CC816B1"/>
    <w:rsid w:val="6D9A715C"/>
    <w:rsid w:val="6DC4470E"/>
    <w:rsid w:val="6F4C5C4D"/>
    <w:rsid w:val="702C48A1"/>
    <w:rsid w:val="70967830"/>
    <w:rsid w:val="709D12FB"/>
    <w:rsid w:val="71280BD2"/>
    <w:rsid w:val="737547B1"/>
    <w:rsid w:val="7417602D"/>
    <w:rsid w:val="74667AB9"/>
    <w:rsid w:val="75A07590"/>
    <w:rsid w:val="76862181"/>
    <w:rsid w:val="76EB5318"/>
    <w:rsid w:val="78031BEB"/>
    <w:rsid w:val="783F1C54"/>
    <w:rsid w:val="789718A7"/>
    <w:rsid w:val="79732DC7"/>
    <w:rsid w:val="7A1F67B7"/>
    <w:rsid w:val="7A2E13A1"/>
    <w:rsid w:val="7AA60FD4"/>
    <w:rsid w:val="7ADA625F"/>
    <w:rsid w:val="7B7E0F63"/>
    <w:rsid w:val="7BD56DC6"/>
    <w:rsid w:val="7C9E2CE2"/>
    <w:rsid w:val="7CCE20D6"/>
    <w:rsid w:val="7D2257CD"/>
    <w:rsid w:val="7D304BE5"/>
    <w:rsid w:val="7D7CC109"/>
    <w:rsid w:val="7E5B1083"/>
    <w:rsid w:val="7E8004BE"/>
    <w:rsid w:val="7ED664FF"/>
    <w:rsid w:val="7FBA0DBB"/>
    <w:rsid w:val="7FCB2CDB"/>
    <w:rsid w:val="7FE49F59"/>
    <w:rsid w:val="9FF3C456"/>
    <w:rsid w:val="ADFF37CF"/>
    <w:rsid w:val="BBA5F45B"/>
    <w:rsid w:val="F77383FA"/>
    <w:rsid w:val="FFFF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widowControl/>
      <w:ind w:firstLine="420"/>
    </w:pPr>
    <w:rPr>
      <w:sz w:val="28"/>
      <w:szCs w:val="28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1"/>
    <w:qFormat/>
    <w:uiPriority w:val="0"/>
    <w:pPr>
      <w:spacing w:after="120"/>
    </w:pPr>
  </w:style>
  <w:style w:type="paragraph" w:styleId="7">
    <w:name w:val="Body Text Indent"/>
    <w:basedOn w:val="1"/>
    <w:next w:val="8"/>
    <w:qFormat/>
    <w:uiPriority w:val="0"/>
    <w:pPr>
      <w:spacing w:line="0" w:lineRule="atLeast"/>
      <w:ind w:firstLine="527" w:firstLineChars="200"/>
    </w:pPr>
    <w:rPr>
      <w:rFonts w:ascii="仿宋_GB2312" w:eastAsia="仿宋_GB2312"/>
      <w:sz w:val="28"/>
    </w:rPr>
  </w:style>
  <w:style w:type="paragraph" w:styleId="8">
    <w:name w:val="Body Text First Indent 2"/>
    <w:basedOn w:val="7"/>
    <w:next w:val="9"/>
    <w:qFormat/>
    <w:uiPriority w:val="0"/>
    <w:pPr>
      <w:ind w:firstLine="420" w:firstLineChars="200"/>
    </w:pPr>
  </w:style>
  <w:style w:type="paragraph" w:styleId="9">
    <w:name w:val="Body Text First Indent"/>
    <w:basedOn w:val="6"/>
    <w:next w:val="1"/>
    <w:qFormat/>
    <w:uiPriority w:val="0"/>
    <w:pPr>
      <w:widowControl/>
      <w:ind w:firstLine="420" w:firstLineChars="100"/>
      <w:jc w:val="left"/>
    </w:pPr>
    <w:rPr>
      <w:rFonts w:ascii="Calibri" w:hAnsi="Calibri" w:cs="宋体"/>
      <w:kern w:val="0"/>
    </w:rPr>
  </w:style>
  <w:style w:type="paragraph" w:styleId="10">
    <w:name w:val="Plain Text"/>
    <w:basedOn w:val="1"/>
    <w:next w:val="11"/>
    <w:qFormat/>
    <w:uiPriority w:val="0"/>
    <w:rPr>
      <w:rFonts w:ascii="宋体" w:hAnsi="Courier New"/>
      <w:szCs w:val="20"/>
    </w:rPr>
  </w:style>
  <w:style w:type="paragraph" w:customStyle="1" w:styleId="11">
    <w:name w:val="Default"/>
    <w:qFormat/>
    <w:uiPriority w:val="99"/>
    <w:pPr>
      <w:widowControl w:val="0"/>
      <w:autoSpaceDE w:val="0"/>
      <w:autoSpaceDN w:val="0"/>
      <w:adjustRightInd w:val="0"/>
    </w:pPr>
    <w:rPr>
      <w:rFonts w:ascii="oúì." w:hAnsi="Times New Roman" w:eastAsia="oúì." w:cs="oúì."/>
      <w:color w:val="000000"/>
      <w:sz w:val="24"/>
      <w:szCs w:val="24"/>
      <w:lang w:val="en-US" w:eastAsia="zh-CN" w:bidi="ar-SA"/>
    </w:rPr>
  </w:style>
  <w:style w:type="paragraph" w:styleId="1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next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5">
    <w:name w:val="正文1"/>
    <w:qFormat/>
    <w:uiPriority w:val="0"/>
    <w:pPr>
      <w:widowControl w:val="0"/>
      <w:adjustRightInd w:val="0"/>
      <w:spacing w:line="360" w:lineRule="auto"/>
      <w:ind w:firstLine="200" w:firstLineChars="200"/>
      <w:jc w:val="both"/>
      <w:textAlignment w:val="baseline"/>
    </w:pPr>
    <w:rPr>
      <w:rFonts w:ascii="Times New Roman" w:hAnsi="Times New Roman" w:eastAsia="宋体" w:cs="Times New Roman"/>
      <w:sz w:val="24"/>
      <w:szCs w:val="22"/>
      <w:lang w:val="en-US" w:eastAsia="zh-CN" w:bidi="ar-SA"/>
    </w:rPr>
  </w:style>
  <w:style w:type="paragraph" w:styleId="16">
    <w:name w:val="toc 2"/>
    <w:basedOn w:val="1"/>
    <w:next w:val="1"/>
    <w:qFormat/>
    <w:uiPriority w:val="39"/>
    <w:pPr>
      <w:ind w:left="420" w:leftChars="200"/>
    </w:pPr>
    <w:rPr>
      <w:szCs w:val="24"/>
    </w:rPr>
  </w:style>
  <w:style w:type="character" w:styleId="19">
    <w:name w:val="page number"/>
    <w:basedOn w:val="18"/>
    <w:qFormat/>
    <w:uiPriority w:val="0"/>
  </w:style>
  <w:style w:type="paragraph" w:customStyle="1" w:styleId="20">
    <w:name w:val="明显引用1"/>
    <w:next w:val="1"/>
    <w:qFormat/>
    <w:uiPriority w:val="0"/>
    <w:pPr>
      <w:wordWrap w:val="0"/>
      <w:spacing w:before="360" w:after="360"/>
      <w:ind w:left="950" w:right="950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paragraph" w:customStyle="1" w:styleId="21">
    <w:name w:val="样式 样式 左 首行缩进:  2 字符 + 首行缩进:  2 字符"/>
    <w:basedOn w:val="1"/>
    <w:qFormat/>
    <w:uiPriority w:val="0"/>
    <w:pPr>
      <w:adjustRightInd w:val="0"/>
      <w:snapToGrid w:val="0"/>
      <w:ind w:left="1134" w:firstLine="480"/>
      <w:jc w:val="left"/>
    </w:pPr>
    <w:rPr>
      <w:rFonts w:cs="宋体"/>
      <w:color w:val="000000"/>
      <w:szCs w:val="20"/>
    </w:rPr>
  </w:style>
  <w:style w:type="paragraph" w:customStyle="1" w:styleId="22">
    <w:name w:val="纯文本1"/>
    <w:basedOn w:val="1"/>
    <w:qFormat/>
    <w:uiPriority w:val="0"/>
    <w:rPr>
      <w:rFonts w:ascii="宋体" w:hAnsi="Courier New"/>
    </w:rPr>
  </w:style>
  <w:style w:type="paragraph" w:customStyle="1" w:styleId="23">
    <w:name w:val="Plain Text1"/>
    <w:basedOn w:val="1"/>
    <w:qFormat/>
    <w:uiPriority w:val="0"/>
    <w:rPr>
      <w:rFonts w:ascii="宋体" w:hAnsi="Courier New"/>
    </w:rPr>
  </w:style>
  <w:style w:type="paragraph" w:customStyle="1" w:styleId="24">
    <w:name w:val="Normal Indent1"/>
    <w:basedOn w:val="1"/>
    <w:qFormat/>
    <w:uiPriority w:val="0"/>
    <w:pPr>
      <w:ind w:firstLine="420"/>
    </w:pPr>
  </w:style>
  <w:style w:type="paragraph" w:customStyle="1" w:styleId="25">
    <w:name w:val="p0"/>
    <w:basedOn w:val="1"/>
    <w:qFormat/>
    <w:uiPriority w:val="0"/>
    <w:pPr>
      <w:widowControl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玉溪市直属党政机关单位</Company>
  <Pages>5</Pages>
  <Words>2004</Words>
  <Characters>2185</Characters>
  <Lines>17</Lines>
  <Paragraphs>4</Paragraphs>
  <TotalTime>17</TotalTime>
  <ScaleCrop>false</ScaleCrop>
  <LinksUpToDate>false</LinksUpToDate>
  <CharactersWithSpaces>2229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2020-08-06T06:42:00Z</dcterms:created>
  <dc:creator>马腾</dc:creator>
  <cp:lastModifiedBy>Administrator</cp:lastModifiedBy>
  <cp:lastPrinted>2025-09-03T14:49:00Z</cp:lastPrinted>
  <dcterms:modified xsi:type="dcterms:W3CDTF">2025-09-17T07:07:03Z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F2717023F39C420E98216C416EEC2B17</vt:lpwstr>
  </property>
  <property fmtid="{D5CDD505-2E9C-101B-9397-08002B2CF9AE}" pid="4" name="KSOTemplateDocerSaveRecord">
    <vt:lpwstr>eyJoZGlkIjoiZWI4YjcyM2E0ZTg3YjgyZjQyYTg2ZTRkMGM4ZDdhMWUifQ==</vt:lpwstr>
  </property>
</Properties>
</file>