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149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 w14:paraId="67336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 w14:paraId="42FA8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3A27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42B0E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197A7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2AB69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4BCD7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7417B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玉溪市生态环境局</w:t>
      </w:r>
    </w:p>
    <w:p w14:paraId="4EDF2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云南神龙新材</w:t>
      </w:r>
      <w:r>
        <w:rPr>
          <w:rFonts w:hint="eastAsia" w:eastAsia="方正小标宋_GBK" w:cs="Times New Roman"/>
          <w:bCs/>
          <w:sz w:val="44"/>
          <w:szCs w:val="44"/>
          <w:lang w:val="zh-CN" w:eastAsia="zh-CN"/>
        </w:rPr>
        <w:t>科技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有限公司年产200万吨</w:t>
      </w:r>
    </w:p>
    <w:p w14:paraId="57172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金属基复合材料建设项目外部供电工程</w:t>
      </w:r>
    </w:p>
    <w:p w14:paraId="3A2F90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环境影响报告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t>表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的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批复</w:t>
      </w:r>
    </w:p>
    <w:p w14:paraId="733F1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 w14:paraId="5ECE1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Fonts w:hAnsi="方正仿宋_GBK" w:eastAsia="方正仿宋_GBK"/>
          <w:bCs/>
          <w:kern w:val="0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新平工业投资开发有限公司</w:t>
      </w:r>
      <w:r>
        <w:rPr>
          <w:rFonts w:hAnsi="方正仿宋_GBK" w:eastAsia="方正仿宋_GBK"/>
          <w:bCs/>
          <w:kern w:val="0"/>
          <w:sz w:val="32"/>
          <w:szCs w:val="32"/>
        </w:rPr>
        <w:t>：</w:t>
      </w:r>
    </w:p>
    <w:p w14:paraId="4FAE0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Ansi="方正仿宋_GBK" w:eastAsia="方正仿宋_GBK"/>
          <w:bCs/>
          <w:kern w:val="0"/>
          <w:sz w:val="32"/>
          <w:szCs w:val="32"/>
        </w:rPr>
      </w:pPr>
      <w:r>
        <w:rPr>
          <w:rFonts w:hAnsi="方正仿宋_GBK" w:eastAsia="方正仿宋_GBK"/>
          <w:bCs/>
          <w:kern w:val="0"/>
          <w:sz w:val="32"/>
          <w:szCs w:val="32"/>
        </w:rPr>
        <w:t>你公司申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请</w:t>
      </w:r>
      <w:r>
        <w:rPr>
          <w:rFonts w:hAnsi="方正仿宋_GBK" w:eastAsia="方正仿宋_GBK"/>
          <w:bCs/>
          <w:kern w:val="0"/>
          <w:sz w:val="32"/>
          <w:szCs w:val="32"/>
        </w:rPr>
        <w:t>报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批</w:t>
      </w:r>
      <w:r>
        <w:rPr>
          <w:rFonts w:hAnsi="方正仿宋_GBK" w:eastAsia="方正仿宋_GBK"/>
          <w:bCs/>
          <w:kern w:val="0"/>
          <w:sz w:val="32"/>
          <w:szCs w:val="32"/>
        </w:rPr>
        <w:t>的《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Hans"/>
        </w:rPr>
        <w:t>云南神龙新材科技有限公司年产200万吨金属基复合材料建设项目外部供电工程环境影响报告表</w:t>
      </w:r>
      <w:r>
        <w:rPr>
          <w:rFonts w:hAnsi="方正仿宋_GBK" w:eastAsia="方正仿宋_GBK"/>
          <w:bCs/>
          <w:kern w:val="0"/>
          <w:sz w:val="32"/>
          <w:szCs w:val="32"/>
        </w:rPr>
        <w:t>》（以下简称《报告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表</w:t>
      </w:r>
      <w:r>
        <w:rPr>
          <w:rFonts w:hAnsi="方正仿宋_GBK" w:eastAsia="方正仿宋_GBK"/>
          <w:bCs/>
          <w:kern w:val="0"/>
          <w:sz w:val="32"/>
          <w:szCs w:val="32"/>
        </w:rPr>
        <w:t>》）收悉。经研究，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现</w:t>
      </w:r>
      <w:r>
        <w:rPr>
          <w:rFonts w:hAnsi="方正仿宋_GBK" w:eastAsia="方正仿宋_GBK"/>
          <w:bCs/>
          <w:kern w:val="0"/>
          <w:sz w:val="32"/>
          <w:szCs w:val="32"/>
        </w:rPr>
        <w:t>批复如下</w:t>
      </w:r>
      <w:r>
        <w:rPr>
          <w:rFonts w:hint="eastAsia" w:hAnsi="方正仿宋_GBK" w:eastAsia="方正仿宋_GBK"/>
          <w:bCs/>
          <w:kern w:val="0"/>
          <w:sz w:val="32"/>
          <w:szCs w:val="32"/>
        </w:rPr>
        <w:t>：</w:t>
      </w:r>
    </w:p>
    <w:p w14:paraId="2ADA9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一、项目基本情况</w:t>
      </w:r>
    </w:p>
    <w:p w14:paraId="272370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left"/>
        <w:textAlignment w:val="auto"/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项目位于</w:t>
      </w:r>
      <w:bookmarkStart w:id="0" w:name="OLE_LINK24"/>
      <w:bookmarkStart w:id="1" w:name="OLE_LINK23"/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zh-CN" w:eastAsia="zh-CN"/>
        </w:rPr>
        <w:t>玉溪市新平县扬武镇、峨山县化念镇</w:t>
      </w:r>
      <w:bookmarkEnd w:id="0"/>
      <w:bookmarkEnd w:id="1"/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本项目共计占地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0.504</w:t>
      </w:r>
      <w:r>
        <w:rPr>
          <w:rFonts w:hint="eastAsia" w:hAnsi="方正仿宋_GBK" w:eastAsia="方正仿宋_GBK" w:cs="Times New Roman"/>
          <w:bCs/>
          <w:kern w:val="0"/>
          <w:sz w:val="32"/>
          <w:szCs w:val="32"/>
          <w:lang w:val="en-US" w:eastAsia="zh-CN"/>
        </w:rPr>
        <w:t>公顷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，其中永久占地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0.16512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公顷，临时占地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0.33888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公顷。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新建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110千伏线路起于峨山县境内220千伏峨山变，迄于新平县境内110千伏神龙变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线路全长约4.6千米，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其中峨山县境内长度1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.2千米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，新平县境内线路长度3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.4千米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新建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杆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塔14基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单回路直线塔3基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耐张塔9基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线路长度约4.3千米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双回路耐张塔2基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、线路长度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约0.3千米。新建导线采用JL/LB20A-300/30型铝包钢芯铝绞线，地线采用2根OPGW-80光缆</w:t>
      </w:r>
      <w:r>
        <w:rPr>
          <w:rFonts w:hint="eastAsia" w:hAnsi="方正仿宋_GBK" w:eastAsia="方正仿宋_GBK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导线截面按300平方毫米选择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。立项依据：《玉溪市发展和改革委员会关于云南神龙新材科技有限公司年产200万吨金属基复合材料建设项目外部供电工程核准的批复》（玉发改能源复〔2025〕6号），项目代码：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2412-530427-04-01-129194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zh-CN" w:eastAsia="zh-CN"/>
        </w:rPr>
        <w:t>项目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zh-CN" w:eastAsia="zh-CN"/>
        </w:rPr>
        <w:t>总投资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717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zh-CN" w:eastAsia="zh-CN"/>
        </w:rPr>
        <w:t>万元，其中环保投资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37.5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zh-CN" w:eastAsia="zh-CN"/>
        </w:rPr>
        <w:t>万元，环保投资占总投资</w:t>
      </w:r>
      <w:r>
        <w:rPr>
          <w:rFonts w:hint="eastAsia" w:ascii="Times New Roman" w:hAnsi="方正仿宋_GBK" w:eastAsia="方正仿宋_GBK" w:cs="Times New Roman"/>
          <w:bCs/>
          <w:kern w:val="0"/>
          <w:sz w:val="32"/>
          <w:szCs w:val="32"/>
          <w:lang w:val="en-US" w:eastAsia="zh-CN"/>
        </w:rPr>
        <w:t>5.23</w:t>
      </w:r>
      <w:r>
        <w:rPr>
          <w:rFonts w:hint="default" w:ascii="Times New Roman" w:hAnsi="方正仿宋_GBK" w:eastAsia="方正仿宋_GBK" w:cs="Times New Roman"/>
          <w:bCs/>
          <w:kern w:val="0"/>
          <w:sz w:val="32"/>
          <w:szCs w:val="32"/>
          <w:lang w:val="zh-CN" w:eastAsia="zh-CN"/>
        </w:rPr>
        <w:t>%。</w:t>
      </w:r>
    </w:p>
    <w:p w14:paraId="78B255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项目设计、建设和运营过程中应重点做好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的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</w:t>
      </w:r>
    </w:p>
    <w:p w14:paraId="2F31B77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eastAsia="方正仿宋_GBK"/>
          <w:sz w:val="32"/>
        </w:rPr>
        <w:t>（一）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严格做好施工期的各项环境保护工作，落实扬尘、废水、固废、噪声等污染防治措施，清洁文明施工，严格实施项目水土保持各项措施，有效控制施工开挖造成的水土流失，严防施工期对环境保护目标及周围环境造成污染，对生态环境造成破坏。</w:t>
      </w:r>
    </w:p>
    <w:p w14:paraId="1962D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eastAsia="方正仿宋_GBK"/>
          <w:sz w:val="32"/>
        </w:rPr>
        <w:t>（</w:t>
      </w:r>
      <w:r>
        <w:rPr>
          <w:rFonts w:hint="eastAsia" w:eastAsia="方正仿宋_GBK"/>
          <w:sz w:val="32"/>
        </w:rPr>
        <w:t>二</w:t>
      </w:r>
      <w:r>
        <w:rPr>
          <w:rFonts w:eastAsia="方正仿宋_GBK"/>
          <w:sz w:val="32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严格控制工程占地，尽可能降低项目建设对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公益林及周边农田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的生态造成破坏。加强施工人员培训，施工前对施工人员和工程管理人员进行宣传教育，树立各种保护动物的宣传牌，并发放宣传手册，介绍保护动物和常见动物的一般习性及保护动物的措施，提高施工人员的保护意识，自觉保护野生动物，严禁捕猎野生动物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。</w:t>
      </w:r>
    </w:p>
    <w:p w14:paraId="436A846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eastAsia="方正仿宋_GBK"/>
          <w:bCs/>
          <w:color w:val="000000"/>
          <w:kern w:val="0"/>
          <w:sz w:val="32"/>
          <w:szCs w:val="32"/>
        </w:rPr>
        <w:t>（</w:t>
      </w:r>
      <w:r>
        <w:rPr>
          <w:rFonts w:hint="eastAsia" w:eastAsia="方正仿宋_GBK"/>
          <w:bCs/>
          <w:color w:val="000000"/>
          <w:kern w:val="0"/>
          <w:sz w:val="32"/>
          <w:szCs w:val="32"/>
        </w:rPr>
        <w:t>三</w:t>
      </w:r>
      <w:r>
        <w:rPr>
          <w:rFonts w:eastAsia="方正仿宋_GBK"/>
          <w:bCs/>
          <w:color w:val="000000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必须严格按《电磁环境控制限值》（GB8702-2014）、《输变电建设项目环境保护技术要求》（HJ1113-2020）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、《110kV～750kV架空输电线路设计规范》（GB50545-2010）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等相关规定设计、建设、运营。认真落实《报告表》提出的环境保护措施，确保项目运行后周边保护目标电磁环境满足《电磁环境控制限值》（GB8702-2014）中电场强度4kV/m、磁感应强度100μT的公众曝露控制限值的要求。</w:t>
      </w:r>
    </w:p>
    <w:p w14:paraId="3EF3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eastAsia="方正仿宋_GBK"/>
          <w:bCs/>
          <w:color w:val="000000"/>
          <w:kern w:val="0"/>
          <w:sz w:val="32"/>
          <w:szCs w:val="32"/>
        </w:rPr>
      </w:pPr>
      <w:r>
        <w:rPr>
          <w:rFonts w:eastAsia="方正仿宋_GBK"/>
          <w:bCs/>
          <w:color w:val="000000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加强线路沿线巡查和维护，使之保持良好的运行状态，发现线路异常或事故及时上报、检查，防止由于运行故障产生的噪声环境影响，确保输电线周边声环境满足《声环境质量标准》（GB3096-2008）中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相应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功能区标准限值要求。</w:t>
      </w:r>
    </w:p>
    <w:p w14:paraId="01A1B1D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</w:rPr>
        <w:t>（五）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严格落实固体废物分类处置和综合利用措施。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线路维护过程中更换废旧电气设备、材料等收集后交给原供应商回收处置，不得随意丢弃。</w:t>
      </w:r>
    </w:p>
    <w:p w14:paraId="6AD3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</w:rPr>
        <w:t>（六）</w:t>
      </w:r>
      <w:r>
        <w:rPr>
          <w:rFonts w:eastAsia="方正仿宋_GBK"/>
          <w:sz w:val="32"/>
        </w:rPr>
        <w:t>加强环境污染风险防范和应急管理。按照《企业事业单位突发环境事件应急预案备案管理办法（试行）》等要求，</w:t>
      </w:r>
      <w:r>
        <w:rPr>
          <w:rFonts w:eastAsia="方正仿宋_GBK"/>
          <w:bCs/>
          <w:sz w:val="32"/>
          <w:szCs w:val="32"/>
        </w:rPr>
        <w:t>严格落实《报告表》提出的各项环境风险防治措施，</w:t>
      </w:r>
      <w:r>
        <w:rPr>
          <w:rFonts w:eastAsia="方正仿宋_GBK"/>
          <w:sz w:val="32"/>
          <w:szCs w:val="32"/>
        </w:rPr>
        <w:t>制定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完善环境风险防范和环境安全隐患排查治理措施，按照有关规定建立环境安全隐患制度，</w:t>
      </w:r>
      <w:r>
        <w:rPr>
          <w:rFonts w:eastAsia="方正仿宋_GBK"/>
          <w:sz w:val="32"/>
        </w:rPr>
        <w:t>落实应急物资和经费</w:t>
      </w:r>
      <w:r>
        <w:rPr>
          <w:rFonts w:hint="eastAsia" w:eastAsia="方正仿宋_GBK"/>
          <w:sz w:val="32"/>
        </w:rPr>
        <w:t>，</w:t>
      </w:r>
      <w:r>
        <w:rPr>
          <w:rFonts w:eastAsia="方正仿宋_GBK"/>
          <w:sz w:val="32"/>
        </w:rPr>
        <w:t>建立应急培训档案</w:t>
      </w:r>
      <w:r>
        <w:rPr>
          <w:rFonts w:hint="eastAsia" w:eastAsia="方正仿宋_GBK"/>
          <w:sz w:val="32"/>
        </w:rPr>
        <w:t>和</w:t>
      </w:r>
      <w:r>
        <w:rPr>
          <w:rFonts w:eastAsia="方正仿宋_GBK"/>
          <w:sz w:val="32"/>
          <w:szCs w:val="32"/>
        </w:rPr>
        <w:t>隐患排查治理档案，及时发现并消除环境安全隐患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bCs/>
          <w:sz w:val="32"/>
          <w:szCs w:val="32"/>
        </w:rPr>
        <w:t>严防突发环境事故发生</w:t>
      </w:r>
      <w:r>
        <w:rPr>
          <w:rFonts w:hint="eastAsia" w:eastAsia="方正仿宋_GBK"/>
          <w:bCs/>
          <w:sz w:val="32"/>
          <w:szCs w:val="32"/>
        </w:rPr>
        <w:t>，</w:t>
      </w:r>
      <w:r>
        <w:rPr>
          <w:rFonts w:eastAsia="方正仿宋_GBK"/>
          <w:bCs/>
          <w:sz w:val="32"/>
          <w:szCs w:val="32"/>
        </w:rPr>
        <w:t>编制突发环境事件（事故）应急预案报市生态环境局新平分</w:t>
      </w:r>
      <w:r>
        <w:rPr>
          <w:rFonts w:eastAsia="方正仿宋_GBK"/>
          <w:sz w:val="32"/>
          <w:szCs w:val="32"/>
        </w:rPr>
        <w:t>局备案。</w:t>
      </w:r>
    </w:p>
    <w:p w14:paraId="778FADE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三、其他相关要求</w:t>
      </w:r>
    </w:p>
    <w:p w14:paraId="461F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Times New Roman Regular" w:hAnsi="Times New Roman Regular" w:eastAsia="方正仿宋_GB2312" w:cs="Times New Roman Regular"/>
          <w:bCs/>
          <w:kern w:val="0"/>
          <w:sz w:val="32"/>
          <w:szCs w:val="32"/>
        </w:rPr>
      </w:pPr>
      <w:r>
        <w:rPr>
          <w:rFonts w:hint="eastAsia" w:eastAsia="方正仿宋_GBK"/>
          <w:sz w:val="32"/>
        </w:rPr>
        <w:t>（一）</w:t>
      </w:r>
      <w:r>
        <w:rPr>
          <w:rFonts w:eastAsia="方正仿宋_GBK"/>
          <w:sz w:val="32"/>
        </w:rPr>
        <w:t>《报告</w:t>
      </w:r>
      <w:r>
        <w:rPr>
          <w:rFonts w:hint="eastAsia" w:eastAsia="方正仿宋_GBK"/>
          <w:sz w:val="32"/>
        </w:rPr>
        <w:t>表</w:t>
      </w:r>
      <w:r>
        <w:rPr>
          <w:rFonts w:eastAsia="方正仿宋_GBK"/>
          <w:sz w:val="32"/>
        </w:rPr>
        <w:t>》经批准后，如工程的规模、地点、生产工艺或者防治污染、防止生态破坏的措施发生重大变动的，你单位应当依法重新报批环境影响评价文件，否则不得动工建设。在项目建设、运行过程中产生不符合经审批的《报告</w:t>
      </w:r>
      <w:r>
        <w:rPr>
          <w:rFonts w:hint="eastAsia" w:eastAsia="方正仿宋_GBK"/>
          <w:sz w:val="32"/>
        </w:rPr>
        <w:t>表</w:t>
      </w:r>
      <w:r>
        <w:rPr>
          <w:rFonts w:eastAsia="方正仿宋_GBK"/>
          <w:sz w:val="32"/>
        </w:rPr>
        <w:t>》情形且不属于重大变动的，你单位应当组织</w:t>
      </w:r>
      <w:r>
        <w:rPr>
          <w:rFonts w:hint="eastAsia" w:eastAsia="方正仿宋_GBK"/>
          <w:sz w:val="32"/>
        </w:rPr>
        <w:t>重新编制《报告表》</w:t>
      </w:r>
      <w:r>
        <w:rPr>
          <w:rFonts w:eastAsia="方正仿宋_GBK"/>
          <w:sz w:val="32"/>
        </w:rPr>
        <w:t>，采取改进措施，按规定</w:t>
      </w:r>
      <w:r>
        <w:rPr>
          <w:rFonts w:hint="eastAsia" w:eastAsia="方正仿宋_GBK"/>
          <w:sz w:val="32"/>
        </w:rPr>
        <w:t>上报审批</w:t>
      </w:r>
      <w:r>
        <w:rPr>
          <w:rFonts w:eastAsia="方正仿宋_GBK"/>
          <w:sz w:val="32"/>
        </w:rPr>
        <w:t>。自《报告</w:t>
      </w:r>
      <w:r>
        <w:rPr>
          <w:rFonts w:hint="eastAsia" w:eastAsia="方正仿宋_GBK"/>
          <w:sz w:val="32"/>
        </w:rPr>
        <w:t>表</w:t>
      </w:r>
      <w:r>
        <w:rPr>
          <w:rFonts w:eastAsia="方正仿宋_GBK"/>
          <w:sz w:val="32"/>
        </w:rPr>
        <w:t>》批准之日起，如超过5年项目方开工建设的，环境影响评价文件应当依法报有审批权的审批部门重新审核。</w:t>
      </w:r>
    </w:p>
    <w:p w14:paraId="3A48E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（二）项目建设和运行需要取得其他行政许可或办理相关手续的，须依法依规报有关行政主管部门办理，并根据主管部门的要求，进一步完善相关保护措施。</w:t>
      </w:r>
    </w:p>
    <w:p w14:paraId="41CCC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Ansi="方正仿宋_GBK"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严格落实“三同时”制度。你公司应严格履行生态环境保护主体责任，建立内部生态环境管理体系，明确机构人员职责和制度，加强生态环境管理，推进各项措施落实。认真落实施工期环境监理工作，制定并落实施工期和运营期生态环境跟踪监测方案，根据结果不断优化各项生态环境保护和污染防治措施。必须严格执行配套的环境保护设施与主体工程同时设计、同时施工、同时投产使用的“三同时”制度。按规定程序开展竣工环境保护验收。</w:t>
      </w:r>
    </w:p>
    <w:p w14:paraId="4C7E1D56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/>
        <w:textAlignment w:val="auto"/>
      </w:pPr>
      <w:r>
        <w:rPr>
          <w:rFonts w:hint="eastAsia" w:eastAsia="方正仿宋_GBK"/>
          <w:bCs/>
          <w:kern w:val="0"/>
          <w:sz w:val="32"/>
          <w:szCs w:val="32"/>
        </w:rPr>
        <w:t>（四）玉溪市</w:t>
      </w:r>
      <w:r>
        <w:rPr>
          <w:rFonts w:eastAsia="方正仿宋_GBK"/>
          <w:bCs/>
          <w:kern w:val="0"/>
          <w:sz w:val="32"/>
          <w:szCs w:val="32"/>
        </w:rPr>
        <w:t>生态环境保护综合行政执法</w:t>
      </w:r>
      <w:r>
        <w:rPr>
          <w:rFonts w:hint="eastAsia" w:eastAsia="方正仿宋_GBK"/>
          <w:bCs/>
          <w:kern w:val="0"/>
          <w:sz w:val="32"/>
          <w:szCs w:val="32"/>
        </w:rPr>
        <w:t>支队和玉溪市生态环境局新平分局要</w:t>
      </w:r>
      <w:r>
        <w:rPr>
          <w:rFonts w:eastAsia="方正仿宋_GBK"/>
          <w:bCs/>
          <w:kern w:val="0"/>
          <w:sz w:val="32"/>
          <w:szCs w:val="32"/>
        </w:rPr>
        <w:t>切实承担事中事后监管责任，</w:t>
      </w:r>
      <w:r>
        <w:rPr>
          <w:rFonts w:hint="eastAsia" w:eastAsia="方正仿宋_GBK"/>
          <w:bCs/>
          <w:kern w:val="0"/>
          <w:sz w:val="32"/>
          <w:szCs w:val="32"/>
        </w:rPr>
        <w:t>履行属地监管职责，</w:t>
      </w:r>
      <w:r>
        <w:rPr>
          <w:rFonts w:eastAsia="方正仿宋_GBK"/>
          <w:bCs/>
          <w:kern w:val="0"/>
          <w:sz w:val="32"/>
          <w:szCs w:val="32"/>
        </w:rPr>
        <w:t>按照法律法规及《关于进一步完善建设项目环境保护“三同时”及竣工环境保护自主验收监管工作机制的意见》（环执法〔2021〕70号）等文件要求，加强对项目的环境保护“三同时”、竣工环境保护自主验收等执法监管。</w:t>
      </w:r>
    </w:p>
    <w:p w14:paraId="4B2A9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79C4A22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35DA4AD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</w:pPr>
    </w:p>
    <w:p w14:paraId="35380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5E475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eastAsia="方正仿宋_GBK"/>
          <w:bCs/>
          <w:kern w:val="0"/>
          <w:sz w:val="32"/>
          <w:szCs w:val="32"/>
          <w:highlight w:val="yellow"/>
        </w:rPr>
      </w:pPr>
      <w:r>
        <w:rPr>
          <w:rFonts w:eastAsia="方正仿宋_GBK"/>
          <w:bCs/>
          <w:kern w:val="0"/>
          <w:sz w:val="32"/>
          <w:szCs w:val="32"/>
        </w:rPr>
        <w:t xml:space="preserve">                           202</w:t>
      </w:r>
      <w:r>
        <w:rPr>
          <w:rFonts w:hint="eastAsia" w:eastAsia="方正仿宋_GBK"/>
          <w:bCs/>
          <w:kern w:val="0"/>
          <w:sz w:val="32"/>
          <w:szCs w:val="32"/>
        </w:rPr>
        <w:t>5</w:t>
      </w:r>
      <w:r>
        <w:rPr>
          <w:rFonts w:eastAsia="方正仿宋_GBK"/>
          <w:bCs/>
          <w:kern w:val="0"/>
          <w:sz w:val="32"/>
          <w:szCs w:val="32"/>
        </w:rPr>
        <w:t>年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bCs/>
          <w:kern w:val="0"/>
          <w:sz w:val="32"/>
          <w:szCs w:val="32"/>
        </w:rPr>
        <w:t>月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18</w:t>
      </w:r>
      <w:r>
        <w:rPr>
          <w:rFonts w:eastAsia="方正仿宋_GBK"/>
          <w:bCs/>
          <w:kern w:val="0"/>
          <w:sz w:val="32"/>
          <w:szCs w:val="32"/>
        </w:rPr>
        <w:t>日</w:t>
      </w:r>
    </w:p>
    <w:p w14:paraId="647F46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（此件公开发布）</w:t>
      </w:r>
    </w:p>
    <w:p w14:paraId="4D4D00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038B8E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3AFCE2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25DCD1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0CEA34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795C3C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12F3A1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1114BD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bookmarkStart w:id="2" w:name="_GoBack"/>
      <w:bookmarkEnd w:id="2"/>
    </w:p>
    <w:p w14:paraId="0397F1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25CF89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08C2CF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</w:p>
    <w:p w14:paraId="3681F2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default" w:eastAsia="方正仿宋_GBK"/>
          <w:bCs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úì.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3CAC9"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CE4DA8"/>
    <w:multiLevelType w:val="singleLevel"/>
    <w:tmpl w:val="32CE4D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jcyM2E0ZTg3YjgyZjQyYTg2ZTRkMGM4ZDdhMWUifQ=="/>
  </w:docVars>
  <w:rsids>
    <w:rsidRoot w:val="2AAF282F"/>
    <w:rsid w:val="00251335"/>
    <w:rsid w:val="002C7551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1901A10"/>
    <w:rsid w:val="022E6AD9"/>
    <w:rsid w:val="02C92423"/>
    <w:rsid w:val="02D359C2"/>
    <w:rsid w:val="03405326"/>
    <w:rsid w:val="03DF7990"/>
    <w:rsid w:val="047A7F12"/>
    <w:rsid w:val="05436FA8"/>
    <w:rsid w:val="066A0886"/>
    <w:rsid w:val="06D849E3"/>
    <w:rsid w:val="075F1CAC"/>
    <w:rsid w:val="07CE7264"/>
    <w:rsid w:val="09294E4C"/>
    <w:rsid w:val="0A5C471D"/>
    <w:rsid w:val="0A5D4D3F"/>
    <w:rsid w:val="0A955323"/>
    <w:rsid w:val="0B2C6D5D"/>
    <w:rsid w:val="0C11428E"/>
    <w:rsid w:val="0CD1482E"/>
    <w:rsid w:val="0D625FF1"/>
    <w:rsid w:val="0DF93715"/>
    <w:rsid w:val="0EE81C04"/>
    <w:rsid w:val="10085FCB"/>
    <w:rsid w:val="10600A97"/>
    <w:rsid w:val="11851A07"/>
    <w:rsid w:val="11DC6270"/>
    <w:rsid w:val="12080F2A"/>
    <w:rsid w:val="126224F8"/>
    <w:rsid w:val="13DD3E12"/>
    <w:rsid w:val="14325F56"/>
    <w:rsid w:val="143A6D20"/>
    <w:rsid w:val="147C6156"/>
    <w:rsid w:val="147D33EC"/>
    <w:rsid w:val="14A7237E"/>
    <w:rsid w:val="14F53A51"/>
    <w:rsid w:val="150771D6"/>
    <w:rsid w:val="15906E34"/>
    <w:rsid w:val="15B44512"/>
    <w:rsid w:val="175B5421"/>
    <w:rsid w:val="17773ABF"/>
    <w:rsid w:val="17951DDA"/>
    <w:rsid w:val="17A544C1"/>
    <w:rsid w:val="17D20987"/>
    <w:rsid w:val="187622AE"/>
    <w:rsid w:val="18C74774"/>
    <w:rsid w:val="18CE063C"/>
    <w:rsid w:val="19234F44"/>
    <w:rsid w:val="1A3C7BBE"/>
    <w:rsid w:val="1A5F6E8E"/>
    <w:rsid w:val="1A8C320C"/>
    <w:rsid w:val="1AF06846"/>
    <w:rsid w:val="1B5961B8"/>
    <w:rsid w:val="1BB55796"/>
    <w:rsid w:val="1D22560D"/>
    <w:rsid w:val="1D36222A"/>
    <w:rsid w:val="1E6F08DE"/>
    <w:rsid w:val="1EA25257"/>
    <w:rsid w:val="1EE0592A"/>
    <w:rsid w:val="208965AF"/>
    <w:rsid w:val="20AA77ED"/>
    <w:rsid w:val="20E24817"/>
    <w:rsid w:val="22070E99"/>
    <w:rsid w:val="221338AA"/>
    <w:rsid w:val="22B47180"/>
    <w:rsid w:val="24404051"/>
    <w:rsid w:val="252B1D4D"/>
    <w:rsid w:val="254949A5"/>
    <w:rsid w:val="259A3B4A"/>
    <w:rsid w:val="25B310C3"/>
    <w:rsid w:val="25B61F3B"/>
    <w:rsid w:val="25CE3729"/>
    <w:rsid w:val="266470F6"/>
    <w:rsid w:val="26E52AD8"/>
    <w:rsid w:val="26F33055"/>
    <w:rsid w:val="270A1F02"/>
    <w:rsid w:val="272844C9"/>
    <w:rsid w:val="273C53CB"/>
    <w:rsid w:val="2750082C"/>
    <w:rsid w:val="27D902BE"/>
    <w:rsid w:val="27E028FD"/>
    <w:rsid w:val="285716F9"/>
    <w:rsid w:val="286E622A"/>
    <w:rsid w:val="2AAF282F"/>
    <w:rsid w:val="2B5D1FBE"/>
    <w:rsid w:val="2BA80578"/>
    <w:rsid w:val="2C4B3AF0"/>
    <w:rsid w:val="2CE31097"/>
    <w:rsid w:val="2D9B5CF7"/>
    <w:rsid w:val="2E8D30CF"/>
    <w:rsid w:val="2FAE1C18"/>
    <w:rsid w:val="301F335D"/>
    <w:rsid w:val="30AB341D"/>
    <w:rsid w:val="30BA0CF3"/>
    <w:rsid w:val="30E34D34"/>
    <w:rsid w:val="31A812D2"/>
    <w:rsid w:val="32810117"/>
    <w:rsid w:val="33364881"/>
    <w:rsid w:val="334A0CFF"/>
    <w:rsid w:val="352542C8"/>
    <w:rsid w:val="35692B73"/>
    <w:rsid w:val="370D5223"/>
    <w:rsid w:val="376E2D82"/>
    <w:rsid w:val="38403B90"/>
    <w:rsid w:val="38AC02C2"/>
    <w:rsid w:val="38B41D0D"/>
    <w:rsid w:val="38CA66E0"/>
    <w:rsid w:val="392B5427"/>
    <w:rsid w:val="3BA00084"/>
    <w:rsid w:val="3C7F4DE2"/>
    <w:rsid w:val="3C7F7E1B"/>
    <w:rsid w:val="3EF1250A"/>
    <w:rsid w:val="3F155B26"/>
    <w:rsid w:val="410858E9"/>
    <w:rsid w:val="41332E43"/>
    <w:rsid w:val="416A0536"/>
    <w:rsid w:val="41D86F7B"/>
    <w:rsid w:val="423A11FD"/>
    <w:rsid w:val="429513FF"/>
    <w:rsid w:val="42A177C8"/>
    <w:rsid w:val="432D68FF"/>
    <w:rsid w:val="436F1C50"/>
    <w:rsid w:val="43E27842"/>
    <w:rsid w:val="43F3462F"/>
    <w:rsid w:val="449823AC"/>
    <w:rsid w:val="44A14CE2"/>
    <w:rsid w:val="44C339FF"/>
    <w:rsid w:val="4580253E"/>
    <w:rsid w:val="4586478D"/>
    <w:rsid w:val="45A5300C"/>
    <w:rsid w:val="45B72F61"/>
    <w:rsid w:val="46D524F5"/>
    <w:rsid w:val="473D3C1B"/>
    <w:rsid w:val="481B4AAA"/>
    <w:rsid w:val="488E05B4"/>
    <w:rsid w:val="48E376BD"/>
    <w:rsid w:val="49600971"/>
    <w:rsid w:val="498875C7"/>
    <w:rsid w:val="4A51456E"/>
    <w:rsid w:val="4AEF13B7"/>
    <w:rsid w:val="4B0E06C8"/>
    <w:rsid w:val="4C2226B4"/>
    <w:rsid w:val="4C963E7C"/>
    <w:rsid w:val="4CF01C24"/>
    <w:rsid w:val="4CFC6926"/>
    <w:rsid w:val="4DD53083"/>
    <w:rsid w:val="4EBA33D0"/>
    <w:rsid w:val="4ECA26AB"/>
    <w:rsid w:val="4FBF2EF4"/>
    <w:rsid w:val="4FC24B2F"/>
    <w:rsid w:val="501F6C42"/>
    <w:rsid w:val="51C9023B"/>
    <w:rsid w:val="51FE1BA6"/>
    <w:rsid w:val="524D5852"/>
    <w:rsid w:val="52601BDC"/>
    <w:rsid w:val="52D2446B"/>
    <w:rsid w:val="534A1F20"/>
    <w:rsid w:val="54B95797"/>
    <w:rsid w:val="54ED6695"/>
    <w:rsid w:val="54FD6EDC"/>
    <w:rsid w:val="55090B63"/>
    <w:rsid w:val="55C5056F"/>
    <w:rsid w:val="56490678"/>
    <w:rsid w:val="56685559"/>
    <w:rsid w:val="56BD2497"/>
    <w:rsid w:val="56C8798F"/>
    <w:rsid w:val="56F53885"/>
    <w:rsid w:val="570502E5"/>
    <w:rsid w:val="57062473"/>
    <w:rsid w:val="57BF3583"/>
    <w:rsid w:val="583667C1"/>
    <w:rsid w:val="583C72D7"/>
    <w:rsid w:val="591816AF"/>
    <w:rsid w:val="5A4822A0"/>
    <w:rsid w:val="5A7D0E49"/>
    <w:rsid w:val="5B530E0D"/>
    <w:rsid w:val="5BBB79D4"/>
    <w:rsid w:val="5BEC4998"/>
    <w:rsid w:val="5C590380"/>
    <w:rsid w:val="5CFE5258"/>
    <w:rsid w:val="5D0964B2"/>
    <w:rsid w:val="5E04242A"/>
    <w:rsid w:val="5E9B6186"/>
    <w:rsid w:val="5EB95888"/>
    <w:rsid w:val="5EE571AE"/>
    <w:rsid w:val="5F402FCF"/>
    <w:rsid w:val="5F4A3E48"/>
    <w:rsid w:val="5FA40E41"/>
    <w:rsid w:val="6158114D"/>
    <w:rsid w:val="61682A0D"/>
    <w:rsid w:val="62197AC8"/>
    <w:rsid w:val="629C6B78"/>
    <w:rsid w:val="63161C90"/>
    <w:rsid w:val="642A014A"/>
    <w:rsid w:val="642F4117"/>
    <w:rsid w:val="644E7BB0"/>
    <w:rsid w:val="65BD6006"/>
    <w:rsid w:val="65C33A84"/>
    <w:rsid w:val="65D43D57"/>
    <w:rsid w:val="65EF6265"/>
    <w:rsid w:val="661C059B"/>
    <w:rsid w:val="664C74D8"/>
    <w:rsid w:val="66C51CC3"/>
    <w:rsid w:val="670F1B12"/>
    <w:rsid w:val="6783156C"/>
    <w:rsid w:val="67E051FD"/>
    <w:rsid w:val="67E67E6E"/>
    <w:rsid w:val="67F40045"/>
    <w:rsid w:val="69624277"/>
    <w:rsid w:val="69BB5472"/>
    <w:rsid w:val="6A065065"/>
    <w:rsid w:val="6A970CFF"/>
    <w:rsid w:val="6B24315D"/>
    <w:rsid w:val="6B8F627B"/>
    <w:rsid w:val="6C196406"/>
    <w:rsid w:val="6CC816B1"/>
    <w:rsid w:val="6D9A715C"/>
    <w:rsid w:val="6DC4470E"/>
    <w:rsid w:val="6F4C5C4D"/>
    <w:rsid w:val="702C48A1"/>
    <w:rsid w:val="70967830"/>
    <w:rsid w:val="709D12FB"/>
    <w:rsid w:val="71280BD2"/>
    <w:rsid w:val="737547B1"/>
    <w:rsid w:val="7417602D"/>
    <w:rsid w:val="74667AB9"/>
    <w:rsid w:val="75A07590"/>
    <w:rsid w:val="76862181"/>
    <w:rsid w:val="76EB5318"/>
    <w:rsid w:val="78031BEB"/>
    <w:rsid w:val="783F1C54"/>
    <w:rsid w:val="789718A7"/>
    <w:rsid w:val="79732DC7"/>
    <w:rsid w:val="7A1F67B7"/>
    <w:rsid w:val="7A2E13A1"/>
    <w:rsid w:val="7AA60FD4"/>
    <w:rsid w:val="7ADA625F"/>
    <w:rsid w:val="7B7E0F63"/>
    <w:rsid w:val="7BD56DC6"/>
    <w:rsid w:val="7C9E2CE2"/>
    <w:rsid w:val="7CCE20D6"/>
    <w:rsid w:val="7D2257CD"/>
    <w:rsid w:val="7D304BE5"/>
    <w:rsid w:val="7D7CC109"/>
    <w:rsid w:val="7E5B1083"/>
    <w:rsid w:val="7E8004BE"/>
    <w:rsid w:val="7ED664FF"/>
    <w:rsid w:val="7FBA0DBB"/>
    <w:rsid w:val="7FCB2CDB"/>
    <w:rsid w:val="7FE49F59"/>
    <w:rsid w:val="9FF3C456"/>
    <w:rsid w:val="ADFF37CF"/>
    <w:rsid w:val="BBA5F45B"/>
    <w:rsid w:val="F77383FA"/>
    <w:rsid w:val="FF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widowControl/>
      <w:ind w:firstLine="420"/>
    </w:pPr>
    <w:rPr>
      <w:sz w:val="28"/>
      <w:szCs w:val="2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line="0" w:lineRule="atLeast"/>
      <w:ind w:firstLine="527" w:firstLineChars="200"/>
    </w:pPr>
    <w:rPr>
      <w:rFonts w:ascii="仿宋_GB2312" w:eastAsia="仿宋_GB2312"/>
      <w:sz w:val="28"/>
    </w:rPr>
  </w:style>
  <w:style w:type="paragraph" w:styleId="8">
    <w:name w:val="Body Text First Indent 2"/>
    <w:basedOn w:val="7"/>
    <w:next w:val="9"/>
    <w:qFormat/>
    <w:uiPriority w:val="0"/>
    <w:pPr>
      <w:ind w:firstLine="420" w:firstLineChars="200"/>
    </w:pPr>
  </w:style>
  <w:style w:type="paragraph" w:styleId="9">
    <w:name w:val="Body Text First Indent"/>
    <w:basedOn w:val="6"/>
    <w:next w:val="1"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0">
    <w:name w:val="Plain Text"/>
    <w:basedOn w:val="1"/>
    <w:next w:val="11"/>
    <w:qFormat/>
    <w:uiPriority w:val="0"/>
    <w:rPr>
      <w:rFonts w:ascii="宋体" w:hAnsi="Courier New"/>
      <w:szCs w:val="20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oúì." w:hAnsi="Times New Roman" w:eastAsia="oúì." w:cs="oúì."/>
      <w:color w:val="000000"/>
      <w:sz w:val="24"/>
      <w:szCs w:val="24"/>
      <w:lang w:val="en-US" w:eastAsia="zh-CN" w:bidi="ar-SA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正文1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6">
    <w:name w:val="toc 2"/>
    <w:basedOn w:val="1"/>
    <w:next w:val="1"/>
    <w:qFormat/>
    <w:uiPriority w:val="39"/>
    <w:pPr>
      <w:ind w:left="420" w:leftChars="200"/>
    </w:pPr>
    <w:rPr>
      <w:szCs w:val="24"/>
    </w:rPr>
  </w:style>
  <w:style w:type="character" w:styleId="19">
    <w:name w:val="page number"/>
    <w:basedOn w:val="18"/>
    <w:qFormat/>
    <w:uiPriority w:val="0"/>
  </w:style>
  <w:style w:type="paragraph" w:customStyle="1" w:styleId="20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1">
    <w:name w:val="样式 样式 左 首行缩进:  2 字符 + 首行缩进:  2 字符"/>
    <w:basedOn w:val="1"/>
    <w:qFormat/>
    <w:uiPriority w:val="0"/>
    <w:pPr>
      <w:adjustRightInd w:val="0"/>
      <w:snapToGrid w:val="0"/>
      <w:ind w:left="1134" w:firstLine="480"/>
      <w:jc w:val="left"/>
    </w:pPr>
    <w:rPr>
      <w:rFonts w:cs="宋体"/>
      <w:color w:val="000000"/>
      <w:szCs w:val="20"/>
    </w:rPr>
  </w:style>
  <w:style w:type="paragraph" w:customStyle="1" w:styleId="22">
    <w:name w:val="纯文本1"/>
    <w:basedOn w:val="1"/>
    <w:qFormat/>
    <w:uiPriority w:val="0"/>
    <w:rPr>
      <w:rFonts w:ascii="宋体" w:hAnsi="Courier New"/>
    </w:rPr>
  </w:style>
  <w:style w:type="paragraph" w:customStyle="1" w:styleId="23">
    <w:name w:val="Plain Text1"/>
    <w:basedOn w:val="1"/>
    <w:qFormat/>
    <w:uiPriority w:val="0"/>
    <w:rPr>
      <w:rFonts w:ascii="宋体" w:hAnsi="Courier New"/>
    </w:rPr>
  </w:style>
  <w:style w:type="paragraph" w:customStyle="1" w:styleId="24">
    <w:name w:val="Normal Indent1"/>
    <w:basedOn w:val="1"/>
    <w:qFormat/>
    <w:uiPriority w:val="0"/>
    <w:pPr>
      <w:ind w:firstLine="420"/>
    </w:pPr>
  </w:style>
  <w:style w:type="paragraph" w:customStyle="1" w:styleId="25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5</Pages>
  <Words>2004</Words>
  <Characters>2185</Characters>
  <Lines>17</Lines>
  <Paragraphs>4</Paragraphs>
  <TotalTime>17</TotalTime>
  <ScaleCrop>false</ScaleCrop>
  <LinksUpToDate>false</LinksUpToDate>
  <CharactersWithSpaces>2229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2020-08-06T06:42:00Z</dcterms:created>
  <dc:creator>马腾</dc:creator>
  <cp:lastModifiedBy>Administrator</cp:lastModifiedBy>
  <cp:lastPrinted>2025-09-03T14:49:00Z</cp:lastPrinted>
  <dcterms:modified xsi:type="dcterms:W3CDTF">2025-09-17T07:07:03Z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F2717023F39C420E98216C416EEC2B17</vt:lpwstr>
  </property>
  <property fmtid="{D5CDD505-2E9C-101B-9397-08002B2CF9AE}" pid="4" name="KSOTemplateDocerSaveRecord">
    <vt:lpwstr>eyJoZGlkIjoiZWI4YjcyM2E0ZTg3YjgyZjQyYTg2ZTRkMGM4ZDdhMWUifQ==</vt:lpwstr>
  </property>
</Properties>
</file>