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E7F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方正小标宋_GBK" w:cs="Times New Roman"/>
          <w:bCs/>
          <w:color w:val="auto"/>
          <w:sz w:val="72"/>
          <w:szCs w:val="72"/>
        </w:rPr>
      </w:pPr>
    </w:p>
    <w:p w14:paraId="6D7FC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方正小标宋_GBK" w:cs="Times New Roman"/>
          <w:bCs/>
          <w:color w:val="auto"/>
          <w:sz w:val="72"/>
          <w:szCs w:val="72"/>
        </w:rPr>
      </w:pPr>
    </w:p>
    <w:p w14:paraId="6D6C8F88">
      <w:pPr>
        <w:adjustRightInd w:val="0"/>
        <w:snapToGrid w:val="0"/>
        <w:spacing w:line="240" w:lineRule="auto"/>
        <w:ind w:firstLine="0" w:firstLineChars="0"/>
        <w:jc w:val="center"/>
        <w:outlineLvl w:val="0"/>
        <w:rPr>
          <w:rFonts w:hint="default" w:ascii="Times New Roman" w:hAnsi="Times New Roman" w:eastAsia="方正小标宋_GBK" w:cs="Times New Roman"/>
          <w:bCs/>
          <w:color w:val="auto"/>
          <w:sz w:val="72"/>
          <w:szCs w:val="72"/>
        </w:rPr>
      </w:pPr>
      <w:bookmarkStart w:id="0" w:name="_Toc17799"/>
      <w:r>
        <w:rPr>
          <w:rFonts w:hint="default" w:ascii="Times New Roman" w:hAnsi="Times New Roman" w:eastAsia="方正小标宋_GBK" w:cs="Times New Roman"/>
          <w:bCs/>
          <w:color w:val="auto"/>
          <w:sz w:val="72"/>
          <w:szCs w:val="72"/>
        </w:rPr>
        <w:t>建设项目环境影响报告表</w:t>
      </w:r>
      <w:bookmarkEnd w:id="0"/>
    </w:p>
    <w:p w14:paraId="30EC454C">
      <w:pPr>
        <w:adjustRightInd w:val="0"/>
        <w:snapToGrid w:val="0"/>
        <w:spacing w:beforeLines="80" w:line="240" w:lineRule="auto"/>
        <w:ind w:firstLine="0" w:firstLineChars="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w:t>
      </w:r>
      <w:r>
        <w:rPr>
          <w:rFonts w:hint="default" w:ascii="Times New Roman" w:hAnsi="Times New Roman" w:eastAsia="楷体_GB2312" w:cs="Times New Roman"/>
          <w:bCs/>
          <w:color w:val="auto"/>
          <w:sz w:val="48"/>
          <w:szCs w:val="48"/>
          <w:lang w:val="en-US" w:eastAsia="zh-CN"/>
        </w:rPr>
        <w:t>污染影响类</w:t>
      </w:r>
      <w:r>
        <w:rPr>
          <w:rFonts w:hint="default" w:ascii="Times New Roman" w:hAnsi="Times New Roman" w:eastAsia="楷体_GB2312" w:cs="Times New Roman"/>
          <w:bCs/>
          <w:color w:val="auto"/>
          <w:sz w:val="48"/>
          <w:szCs w:val="48"/>
        </w:rPr>
        <w:t>）</w:t>
      </w:r>
    </w:p>
    <w:p w14:paraId="31E77F42">
      <w:pPr>
        <w:spacing w:line="240" w:lineRule="auto"/>
        <w:ind w:firstLine="0" w:firstLineChars="0"/>
        <w:rPr>
          <w:rFonts w:hint="default" w:ascii="Times New Roman" w:hAnsi="Times New Roman" w:eastAsia="宋体" w:cs="Times New Roman"/>
          <w:color w:val="auto"/>
          <w:sz w:val="21"/>
        </w:rPr>
      </w:pPr>
    </w:p>
    <w:p w14:paraId="6ABC4A5A">
      <w:pPr>
        <w:spacing w:line="240" w:lineRule="auto"/>
        <w:ind w:firstLine="0" w:firstLineChars="0"/>
        <w:jc w:val="center"/>
        <w:rPr>
          <w:rFonts w:hint="default" w:ascii="Times New Roman" w:hAnsi="Times New Roman" w:eastAsia="仿宋" w:cs="Times New Roman"/>
          <w:color w:val="auto"/>
          <w:sz w:val="52"/>
          <w:szCs w:val="52"/>
        </w:rPr>
      </w:pPr>
    </w:p>
    <w:p w14:paraId="39DEE6A9">
      <w:pPr>
        <w:spacing w:line="240" w:lineRule="auto"/>
        <w:ind w:firstLine="1040" w:firstLineChars="0"/>
        <w:rPr>
          <w:rFonts w:hint="default" w:ascii="Times New Roman" w:hAnsi="Times New Roman" w:eastAsia="仿宋" w:cs="Times New Roman"/>
          <w:color w:val="auto"/>
          <w:sz w:val="44"/>
          <w:szCs w:val="44"/>
        </w:rPr>
      </w:pPr>
    </w:p>
    <w:p w14:paraId="616AEA08">
      <w:pPr>
        <w:spacing w:line="240" w:lineRule="auto"/>
        <w:ind w:firstLine="1040" w:firstLineChars="0"/>
        <w:rPr>
          <w:rFonts w:hint="default" w:ascii="Times New Roman" w:hAnsi="Times New Roman" w:eastAsia="仿宋" w:cs="Times New Roman"/>
          <w:color w:val="auto"/>
          <w:sz w:val="44"/>
          <w:szCs w:val="44"/>
        </w:rPr>
      </w:pPr>
    </w:p>
    <w:p w14:paraId="4378B527">
      <w:pPr>
        <w:spacing w:line="240" w:lineRule="auto"/>
        <w:ind w:firstLine="1040" w:firstLineChars="0"/>
        <w:rPr>
          <w:rFonts w:hint="default" w:ascii="Times New Roman" w:hAnsi="Times New Roman" w:eastAsia="仿宋" w:cs="Times New Roman"/>
          <w:color w:val="auto"/>
          <w:sz w:val="44"/>
          <w:szCs w:val="44"/>
        </w:rPr>
      </w:pPr>
    </w:p>
    <w:p w14:paraId="07E4411D">
      <w:pPr>
        <w:spacing w:line="240" w:lineRule="auto"/>
        <w:ind w:firstLine="1040" w:firstLineChars="0"/>
        <w:rPr>
          <w:rFonts w:hint="default" w:ascii="Times New Roman" w:hAnsi="Times New Roman" w:eastAsia="仿宋" w:cs="Times New Roman"/>
          <w:color w:val="auto"/>
          <w:sz w:val="44"/>
          <w:szCs w:val="44"/>
        </w:rPr>
      </w:pPr>
    </w:p>
    <w:p w14:paraId="01E4F6C0">
      <w:pPr>
        <w:widowControl w:val="0"/>
        <w:wordWrap/>
        <w:adjustRightInd w:val="0"/>
        <w:snapToGrid w:val="0"/>
        <w:spacing w:line="480" w:lineRule="auto"/>
        <w:ind w:left="3200" w:hanging="3200" w:hangingChars="1000"/>
        <w:jc w:val="both"/>
        <w:textAlignment w:val="auto"/>
        <w:rPr>
          <w:rFonts w:hint="default" w:ascii="Times New Roman" w:hAnsi="Times New Roman" w:eastAsia="仿宋_GB2312" w:cs="Times New Roman"/>
          <w:color w:val="auto"/>
          <w:sz w:val="32"/>
          <w:szCs w:val="32"/>
          <w:u w:val="single"/>
          <w:lang w:val="en-US"/>
        </w:rPr>
      </w:pPr>
      <w:r>
        <w:rPr>
          <w:rFonts w:hint="default" w:ascii="Times New Roman" w:hAnsi="Times New Roman" w:eastAsia="仿宋_GB2312" w:cs="Times New Roman"/>
          <w:color w:val="auto"/>
          <w:sz w:val="32"/>
          <w:szCs w:val="32"/>
        </w:rPr>
        <w:t>项目名称：</w:t>
      </w:r>
      <w:r>
        <w:rPr>
          <w:rFonts w:hint="eastAsia" w:eastAsia="仿宋_GB2312" w:cs="Times New Roman"/>
          <w:color w:val="auto"/>
          <w:sz w:val="32"/>
          <w:szCs w:val="32"/>
          <w:u w:val="single"/>
          <w:lang w:eastAsia="zh-CN"/>
        </w:rPr>
        <w:t>轻花工贸泡沫颗粒生产线项目</w:t>
      </w:r>
      <w:r>
        <w:rPr>
          <w:rFonts w:hint="default" w:ascii="Times New Roman" w:hAnsi="Times New Roman" w:eastAsia="仿宋_GB2312" w:cs="Times New Roman"/>
          <w:color w:val="auto"/>
          <w:sz w:val="32"/>
          <w:szCs w:val="32"/>
          <w:u w:val="single"/>
          <w:lang w:val="en-US" w:eastAsia="zh-CN"/>
        </w:rPr>
        <w:t xml:space="preserve">        </w:t>
      </w:r>
      <w:bookmarkStart w:id="35" w:name="_GoBack"/>
      <w:bookmarkEnd w:id="35"/>
      <w:r>
        <w:rPr>
          <w:rFonts w:hint="default" w:ascii="Times New Roman" w:hAnsi="Times New Roman" w:eastAsia="仿宋_GB2312" w:cs="Times New Roman"/>
          <w:color w:val="auto"/>
          <w:sz w:val="32"/>
          <w:szCs w:val="32"/>
          <w:u w:val="single"/>
          <w:lang w:val="en-US" w:eastAsia="zh-CN"/>
        </w:rPr>
        <w:t xml:space="preserve"> </w:t>
      </w:r>
    </w:p>
    <w:p w14:paraId="105E8B7C">
      <w:pPr>
        <w:widowControl w:val="0"/>
        <w:wordWrap/>
        <w:adjustRightInd w:val="0"/>
        <w:snapToGrid w:val="0"/>
        <w:spacing w:line="480" w:lineRule="auto"/>
        <w:ind w:firstLine="0" w:firstLineChars="0"/>
        <w:textAlignment w:val="auto"/>
        <w:rPr>
          <w:rFonts w:hint="default" w:ascii="Times New Roman" w:hAnsi="Times New Roman" w:eastAsia="仿宋_GB2312" w:cs="Times New Roman"/>
          <w:color w:val="auto"/>
          <w:sz w:val="32"/>
          <w:szCs w:val="32"/>
          <w:u w:val="single"/>
          <w:lang w:val="en-US" w:eastAsia="zh-CN"/>
        </w:rPr>
      </w:pPr>
      <w:r>
        <w:rPr>
          <w:rFonts w:hint="default" w:ascii="Times New Roman" w:hAnsi="Times New Roman" w:eastAsia="仿宋_GB2312" w:cs="Times New Roman"/>
          <w:color w:val="auto"/>
          <w:sz w:val="32"/>
          <w:szCs w:val="32"/>
        </w:rPr>
        <w:t>建设单位（盖章）：</w:t>
      </w:r>
      <w:r>
        <w:rPr>
          <w:rFonts w:hint="default" w:ascii="Times New Roman" w:hAnsi="Times New Roman" w:eastAsia="仿宋_GB2312" w:cs="Times New Roman"/>
          <w:color w:val="auto"/>
          <w:sz w:val="32"/>
          <w:szCs w:val="32"/>
          <w:u w:val="single"/>
          <w:lang w:val="en-US" w:eastAsia="zh-CN"/>
        </w:rPr>
        <w:t xml:space="preserve">   </w:t>
      </w:r>
      <w:r>
        <w:rPr>
          <w:rFonts w:hint="eastAsia" w:eastAsia="仿宋_GB2312" w:cs="Times New Roman"/>
          <w:color w:val="auto"/>
          <w:sz w:val="32"/>
          <w:szCs w:val="32"/>
          <w:u w:val="single"/>
          <w:lang w:eastAsia="zh-CN"/>
        </w:rPr>
        <w:t>玉溪轻花工贸有限公司</w:t>
      </w:r>
      <w:r>
        <w:rPr>
          <w:rFonts w:hint="default" w:ascii="Times New Roman" w:hAnsi="Times New Roman" w:eastAsia="仿宋_GB2312" w:cs="Times New Roman"/>
          <w:color w:val="auto"/>
          <w:sz w:val="32"/>
          <w:szCs w:val="32"/>
          <w:u w:val="single"/>
          <w:lang w:val="en-US" w:eastAsia="zh-CN"/>
        </w:rPr>
        <w:t xml:space="preserve">          </w:t>
      </w:r>
    </w:p>
    <w:p w14:paraId="192257CB">
      <w:pPr>
        <w:widowControl w:val="0"/>
        <w:wordWrap/>
        <w:adjustRightInd w:val="0"/>
        <w:snapToGrid w:val="0"/>
        <w:spacing w:line="480" w:lineRule="auto"/>
        <w:ind w:firstLine="0" w:firstLineChars="0"/>
        <w:textAlignment w:val="auto"/>
        <w:rPr>
          <w:rFonts w:hint="default" w:ascii="Times New Roman" w:hAnsi="Times New Roman" w:eastAsia="仿宋_GB2312" w:cs="Times New Roman"/>
          <w:color w:val="auto"/>
          <w:sz w:val="32"/>
          <w:szCs w:val="32"/>
          <w:u w:val="single"/>
        </w:rPr>
      </w:pPr>
      <w:r>
        <w:rPr>
          <w:rFonts w:hint="default" w:ascii="Times New Roman" w:hAnsi="Times New Roman" w:eastAsia="仿宋_GB2312" w:cs="Times New Roman"/>
          <w:color w:val="auto"/>
          <w:sz w:val="32"/>
          <w:szCs w:val="32"/>
        </w:rPr>
        <w:t>编制日期：</w:t>
      </w:r>
      <w:r>
        <w:rPr>
          <w:rFonts w:hint="default" w:ascii="Times New Roman" w:hAnsi="Times New Roman" w:eastAsia="仿宋_GB2312" w:cs="Times New Roman"/>
          <w:color w:val="auto"/>
          <w:sz w:val="32"/>
          <w:szCs w:val="32"/>
          <w:u w:val="single"/>
        </w:rPr>
        <w:t xml:space="preserve">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202</w:t>
      </w:r>
      <w:r>
        <w:rPr>
          <w:rFonts w:hint="eastAsia" w:eastAsia="仿宋_GB2312" w:cs="Times New Roman"/>
          <w:color w:val="auto"/>
          <w:sz w:val="32"/>
          <w:szCs w:val="32"/>
          <w:u w:val="single"/>
          <w:lang w:val="en-US" w:eastAsia="zh-CN"/>
        </w:rPr>
        <w:t>5</w:t>
      </w:r>
      <w:r>
        <w:rPr>
          <w:rFonts w:hint="default" w:ascii="Times New Roman" w:hAnsi="Times New Roman" w:eastAsia="仿宋_GB2312" w:cs="Times New Roman"/>
          <w:color w:val="auto"/>
          <w:sz w:val="32"/>
          <w:szCs w:val="32"/>
          <w:u w:val="single"/>
        </w:rPr>
        <w:t>年</w:t>
      </w:r>
      <w:r>
        <w:rPr>
          <w:rFonts w:hint="eastAsia" w:eastAsia="仿宋_GB2312" w:cs="Times New Roman"/>
          <w:color w:val="auto"/>
          <w:sz w:val="32"/>
          <w:szCs w:val="32"/>
          <w:u w:val="single"/>
          <w:lang w:val="en-US" w:eastAsia="zh-CN"/>
        </w:rPr>
        <w:t>08</w:t>
      </w:r>
      <w:r>
        <w:rPr>
          <w:rFonts w:hint="default" w:ascii="Times New Roman" w:hAnsi="Times New Roman" w:eastAsia="仿宋_GB2312" w:cs="Times New Roman"/>
          <w:color w:val="auto"/>
          <w:sz w:val="32"/>
          <w:szCs w:val="32"/>
          <w:u w:val="single"/>
        </w:rPr>
        <w:t xml:space="preserve">月   </w:t>
      </w:r>
      <w:r>
        <w:rPr>
          <w:rFonts w:hint="default" w:ascii="Times New Roman" w:hAnsi="Times New Roman" w:eastAsia="仿宋_GB2312" w:cs="Times New Roman"/>
          <w:color w:val="auto"/>
          <w:sz w:val="32"/>
          <w:szCs w:val="32"/>
          <w:u w:val="single"/>
          <w:lang w:val="en-US" w:eastAsia="zh-CN"/>
        </w:rPr>
        <w:t xml:space="preserve">     </w:t>
      </w:r>
      <w:r>
        <w:rPr>
          <w:rFonts w:hint="default" w:ascii="Times New Roman" w:hAnsi="Times New Roman" w:eastAsia="仿宋_GB2312" w:cs="Times New Roman"/>
          <w:color w:val="auto"/>
          <w:sz w:val="32"/>
          <w:szCs w:val="32"/>
          <w:u w:val="single"/>
        </w:rPr>
        <w:t xml:space="preserve">     </w:t>
      </w:r>
    </w:p>
    <w:p w14:paraId="39F39331">
      <w:pPr>
        <w:adjustRightInd w:val="0"/>
        <w:snapToGrid w:val="0"/>
        <w:spacing w:line="288" w:lineRule="auto"/>
        <w:ind w:firstLine="1040" w:firstLineChars="0"/>
        <w:rPr>
          <w:rFonts w:hint="default" w:ascii="Times New Roman" w:hAnsi="Times New Roman" w:eastAsia="仿宋_GB2312" w:cs="Times New Roman"/>
          <w:color w:val="auto"/>
          <w:sz w:val="36"/>
          <w:szCs w:val="36"/>
        </w:rPr>
      </w:pPr>
      <w:bookmarkStart w:id="1" w:name="_Hlk57884087"/>
    </w:p>
    <w:p w14:paraId="1248FAC8">
      <w:pPr>
        <w:adjustRightInd w:val="0"/>
        <w:snapToGrid w:val="0"/>
        <w:spacing w:line="288" w:lineRule="auto"/>
        <w:ind w:firstLine="1040" w:firstLineChars="0"/>
        <w:rPr>
          <w:rFonts w:hint="default" w:ascii="Times New Roman" w:hAnsi="Times New Roman" w:eastAsia="仿宋_GB2312" w:cs="Times New Roman"/>
          <w:color w:val="auto"/>
          <w:sz w:val="36"/>
          <w:szCs w:val="36"/>
        </w:rPr>
      </w:pPr>
    </w:p>
    <w:bookmarkEnd w:id="1"/>
    <w:p w14:paraId="599C8659">
      <w:pPr>
        <w:adjustRightInd w:val="0"/>
        <w:snapToGrid w:val="0"/>
        <w:spacing w:line="288" w:lineRule="auto"/>
        <w:ind w:firstLine="0" w:firstLineChars="0"/>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5415BE08">
      <w:pPr>
        <w:spacing w:line="240" w:lineRule="auto"/>
        <w:ind w:firstLine="0" w:firstLineChars="0"/>
        <w:rPr>
          <w:rFonts w:hint="default" w:ascii="Times New Roman" w:hAnsi="Times New Roman" w:eastAsia="宋体" w:cs="Times New Roman"/>
          <w:color w:val="auto"/>
          <w:sz w:val="21"/>
        </w:rPr>
      </w:pPr>
    </w:p>
    <w:p w14:paraId="16284687">
      <w:pPr>
        <w:rPr>
          <w:rFonts w:hint="default" w:ascii="Times New Roman" w:hAnsi="Times New Roman" w:cs="Times New Roman"/>
          <w:color w:val="auto"/>
        </w:rPr>
        <w:sectPr>
          <w:headerReference r:id="rId5" w:type="default"/>
          <w:footerReference r:id="rId6" w:type="default"/>
          <w:pgSz w:w="11906" w:h="16838"/>
          <w:pgMar w:top="1440" w:right="1800" w:bottom="1440" w:left="1800" w:header="851" w:footer="992" w:gutter="0"/>
          <w:cols w:space="720" w:num="1"/>
          <w:docGrid w:type="lines" w:linePitch="312" w:charSpace="0"/>
        </w:sectPr>
      </w:pPr>
      <w:r>
        <w:rPr>
          <w:rFonts w:hint="default" w:ascii="Times New Roman" w:hAnsi="Times New Roman" w:cs="Times New Roman"/>
          <w:color w:val="auto"/>
        </w:rPr>
        <w:br w:type="page"/>
      </w:r>
    </w:p>
    <w:tbl>
      <w:tblPr>
        <w:tblStyle w:val="34"/>
        <w:tblW w:w="85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5"/>
        <w:gridCol w:w="240"/>
        <w:gridCol w:w="4117"/>
      </w:tblGrid>
      <w:tr w14:paraId="2C6F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3" w:hRule="atLeast"/>
          <w:jc w:val="center"/>
        </w:trPr>
        <w:tc>
          <w:tcPr>
            <w:tcW w:w="4175" w:type="dxa"/>
            <w:noWrap w:val="0"/>
            <w:vAlign w:val="top"/>
          </w:tcPr>
          <w:p w14:paraId="0D8B2ABD">
            <w:pPr>
              <w:pStyle w:val="43"/>
              <w:rPr>
                <w:rFonts w:hint="eastAsia" w:ascii="宋体" w:hAnsi="宋体" w:eastAsia="宋体" w:cs="宋体"/>
                <w:color w:val="auto"/>
                <w:sz w:val="21"/>
                <w:szCs w:val="21"/>
                <w:vertAlign w:val="baseline"/>
                <w:lang w:val="en-US" w:eastAsia="zh-CN"/>
              </w:rPr>
            </w:pPr>
            <w:r>
              <w:rPr>
                <w:color w:val="auto"/>
                <w:sz w:val="21"/>
              </w:rPr>
              <mc:AlternateContent>
                <mc:Choice Requires="wps">
                  <w:drawing>
                    <wp:anchor distT="0" distB="0" distL="114300" distR="114300" simplePos="0" relativeHeight="251682816" behindDoc="0" locked="0" layoutInCell="1" allowOverlap="1">
                      <wp:simplePos x="0" y="0"/>
                      <wp:positionH relativeFrom="column">
                        <wp:posOffset>283210</wp:posOffset>
                      </wp:positionH>
                      <wp:positionV relativeFrom="paragraph">
                        <wp:posOffset>543560</wp:posOffset>
                      </wp:positionV>
                      <wp:extent cx="2190115" cy="1657350"/>
                      <wp:effectExtent l="9525" t="9525" r="10160" b="9525"/>
                      <wp:wrapNone/>
                      <wp:docPr id="5" name="任意多边形 5"/>
                      <wp:cNvGraphicFramePr/>
                      <a:graphic xmlns:a="http://schemas.openxmlformats.org/drawingml/2006/main">
                        <a:graphicData uri="http://schemas.microsoft.com/office/word/2010/wordprocessingShape">
                          <wps:wsp>
                            <wps:cNvSpPr/>
                            <wps:spPr>
                              <a:xfrm>
                                <a:off x="1423035" y="1464310"/>
                                <a:ext cx="2190115" cy="1657350"/>
                              </a:xfrm>
                              <a:custGeom>
                                <a:avLst/>
                                <a:gdLst>
                                  <a:gd name="connisteX0" fmla="*/ 438150 w 2124075"/>
                                  <a:gd name="connsiteY0" fmla="*/ 1276350 h 1657350"/>
                                  <a:gd name="connisteX1" fmla="*/ 323850 w 2124075"/>
                                  <a:gd name="connsiteY1" fmla="*/ 1219200 h 1657350"/>
                                  <a:gd name="connisteX2" fmla="*/ 0 w 2124075"/>
                                  <a:gd name="connsiteY2" fmla="*/ 561975 h 1657350"/>
                                  <a:gd name="connisteX3" fmla="*/ 85725 w 2124075"/>
                                  <a:gd name="connsiteY3" fmla="*/ 400050 h 1657350"/>
                                  <a:gd name="connisteX4" fmla="*/ 666750 w 2124075"/>
                                  <a:gd name="connsiteY4" fmla="*/ 0 h 1657350"/>
                                  <a:gd name="connisteX5" fmla="*/ 1638300 w 2124075"/>
                                  <a:gd name="connsiteY5" fmla="*/ 114300 h 1657350"/>
                                  <a:gd name="connisteX6" fmla="*/ 1905000 w 2124075"/>
                                  <a:gd name="connsiteY6" fmla="*/ 142875 h 1657350"/>
                                  <a:gd name="connisteX7" fmla="*/ 1876425 w 2124075"/>
                                  <a:gd name="connsiteY7" fmla="*/ 504825 h 1657350"/>
                                  <a:gd name="connisteX8" fmla="*/ 1866900 w 2124075"/>
                                  <a:gd name="connsiteY8" fmla="*/ 628650 h 1657350"/>
                                  <a:gd name="connisteX9" fmla="*/ 1866900 w 2124075"/>
                                  <a:gd name="connsiteY9" fmla="*/ 762000 h 1657350"/>
                                  <a:gd name="connisteX10" fmla="*/ 1952625 w 2124075"/>
                                  <a:gd name="connsiteY10" fmla="*/ 1000125 h 1657350"/>
                                  <a:gd name="connisteX11" fmla="*/ 1990725 w 2124075"/>
                                  <a:gd name="connsiteY11" fmla="*/ 1162050 h 1657350"/>
                                  <a:gd name="connisteX12" fmla="*/ 2057400 w 2124075"/>
                                  <a:gd name="connsiteY12" fmla="*/ 1304925 h 1657350"/>
                                  <a:gd name="connisteX13" fmla="*/ 2124075 w 2124075"/>
                                  <a:gd name="connsiteY13" fmla="*/ 1419225 h 1657350"/>
                                  <a:gd name="connisteX14" fmla="*/ 2095500 w 2124075"/>
                                  <a:gd name="connsiteY14" fmla="*/ 1514475 h 1657350"/>
                                  <a:gd name="connisteX15" fmla="*/ 2000250 w 2124075"/>
                                  <a:gd name="connsiteY15" fmla="*/ 1590675 h 1657350"/>
                                  <a:gd name="connisteX16" fmla="*/ 1847850 w 2124075"/>
                                  <a:gd name="connsiteY16" fmla="*/ 1657350 h 1657350"/>
                                  <a:gd name="connisteX17" fmla="*/ 1695450 w 2124075"/>
                                  <a:gd name="connsiteY17" fmla="*/ 1533525 h 1657350"/>
                                  <a:gd name="connisteX18" fmla="*/ 1466850 w 2124075"/>
                                  <a:gd name="connsiteY18" fmla="*/ 1419225 h 1657350"/>
                                  <a:gd name="connisteX19" fmla="*/ 1371600 w 2124075"/>
                                  <a:gd name="connsiteY19" fmla="*/ 1381125 h 1657350"/>
                                  <a:gd name="connisteX20" fmla="*/ 438150 w 2124075"/>
                                  <a:gd name="connsiteY20" fmla="*/ 1276350 h 16573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 ang="0">
                                    <a:pos x="connisteX18" y="connsiteY18"/>
                                  </a:cxn>
                                  <a:cxn ang="0">
                                    <a:pos x="connisteX19" y="connsiteY19"/>
                                  </a:cxn>
                                  <a:cxn ang="0">
                                    <a:pos x="connisteX20" y="connsiteY20"/>
                                  </a:cxn>
                                </a:cxnLst>
                                <a:rect l="l" t="t" r="r" b="b"/>
                                <a:pathLst>
                                  <a:path w="2124075" h="1657350">
                                    <a:moveTo>
                                      <a:pt x="438150" y="1276350"/>
                                    </a:moveTo>
                                    <a:lnTo>
                                      <a:pt x="323850" y="1219200"/>
                                    </a:lnTo>
                                    <a:lnTo>
                                      <a:pt x="0" y="561975"/>
                                    </a:lnTo>
                                    <a:lnTo>
                                      <a:pt x="85725" y="400050"/>
                                    </a:lnTo>
                                    <a:lnTo>
                                      <a:pt x="666750" y="0"/>
                                    </a:lnTo>
                                    <a:lnTo>
                                      <a:pt x="1638300" y="114300"/>
                                    </a:lnTo>
                                    <a:lnTo>
                                      <a:pt x="1905000" y="142875"/>
                                    </a:lnTo>
                                    <a:lnTo>
                                      <a:pt x="1876425" y="504825"/>
                                    </a:lnTo>
                                    <a:lnTo>
                                      <a:pt x="1866900" y="628650"/>
                                    </a:lnTo>
                                    <a:lnTo>
                                      <a:pt x="1866900" y="762000"/>
                                    </a:lnTo>
                                    <a:lnTo>
                                      <a:pt x="1952625" y="1000125"/>
                                    </a:lnTo>
                                    <a:lnTo>
                                      <a:pt x="1990725" y="1162050"/>
                                    </a:lnTo>
                                    <a:lnTo>
                                      <a:pt x="2057400" y="1304925"/>
                                    </a:lnTo>
                                    <a:lnTo>
                                      <a:pt x="2124075" y="1419225"/>
                                    </a:lnTo>
                                    <a:lnTo>
                                      <a:pt x="2095500" y="1514475"/>
                                    </a:lnTo>
                                    <a:lnTo>
                                      <a:pt x="2000250" y="1590675"/>
                                    </a:lnTo>
                                    <a:lnTo>
                                      <a:pt x="1847850" y="1657350"/>
                                    </a:lnTo>
                                    <a:lnTo>
                                      <a:pt x="1695450" y="1533525"/>
                                    </a:lnTo>
                                    <a:lnTo>
                                      <a:pt x="1466850" y="1419225"/>
                                    </a:lnTo>
                                    <a:lnTo>
                                      <a:pt x="1371600" y="1381125"/>
                                    </a:lnTo>
                                    <a:lnTo>
                                      <a:pt x="438150" y="1276350"/>
                                    </a:lnTo>
                                    <a:close/>
                                  </a:path>
                                </a:pathLst>
                              </a:cu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2.3pt;margin-top:42.8pt;height:130.5pt;width:172.45pt;z-index:251682816;mso-width-relative:page;mso-height-relative:page;" filled="f" stroked="t" coordsize="2124075,1657350" o:gfxdata="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" path="m438150,1276350l323850,1219200,0,561975,85725,400050,666750,0,1638300,114300,1905000,142875,1876425,504825,1866900,628650,1866900,762000,1952625,1000125,1990725,1162050,2057400,1304925,2124075,1419225,2095500,1514475,2000250,1590675,1847850,1657350,1695450,1533525,1466850,1419225,1371600,1381125,438150,1276350xe">
                      <v:path o:connectlocs="451772,1276350;333918,1219200;0,561975;88390,400050;687480,0;1689236,114300;1964228,142875;1934765,504825;1924944,628650;1924944,762000;2013334,1000125;2052618,1162050;2121366,1304925;2190115,1419225;2160651,1514475;2062440,1590675;1905301,1657350;1748163,1533525;1512456,1419225;1414244,1381125;451772,1276350" o:connectangles="0,0,0,0,0,0,0,0,0,0,0,0,0,0,0,0,0,0,0,0,0"/>
                      <v:fill on="f" focussize="0,0"/>
                      <v:stroke weight="1.5pt" color="#FF0000 [2404]" joinstyle="round"/>
                      <v:imagedata o:title=""/>
                      <o:lock v:ext="edit" aspectratio="f"/>
                    </v:shape>
                  </w:pict>
                </mc:Fallback>
              </mc:AlternateContent>
            </w: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838200</wp:posOffset>
                      </wp:positionH>
                      <wp:positionV relativeFrom="paragraph">
                        <wp:posOffset>1076325</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D2878">
                                  <w:pPr>
                                    <w:ind w:left="0" w:leftChars="0" w:firstLine="0" w:firstLineChars="0"/>
                                    <w:rPr>
                                      <w:rFonts w:hint="eastAsia" w:eastAsia="宋体"/>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val="en-US" w:eastAsia="zh-CN"/>
                                      <w14:shadow w14:blurRad="38100" w14:dist="19050" w14:dir="2700000" w14:sx="100000" w14:sy="100000" w14:kx="0" w14:ky="0" w14:algn="tl">
                                        <w14:schemeClr w14:val="dk1">
                                          <w14:alpha w14:val="60000"/>
                                        </w14:schemeClr>
                                      </w14:shadow>
                                    </w:rPr>
                                    <w:t>项目所在地</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66pt;margin-top:84.75pt;height:144pt;width:144pt;mso-wrap-style:none;z-index:251676672;mso-width-relative:page;mso-height-relative:page;" filled="f" stroked="f" coordsize="21600,21600" o:gfxdata="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l0WsNcAAAALAQAADwAAAAAAAAABACAAAAAiAAAAZHJzL2Rvd25y&#10;ZXYueG1sUEsBAhQAFAAAAAgAh07iQAGK4Hs4AgAAZwQAAA4AAAAAAAAAAQAgAAAAJgEAAGRycy9l&#10;Mm9Eb2MueG1sUEsFBgAAAAAGAAYAWQEAANAFAAAAAA==&#10;">
                      <v:fill on="f" focussize="0,0"/>
                      <v:stroke on="f" weight="0.5pt"/>
                      <v:imagedata o:title=""/>
                      <o:lock v:ext="edit" aspectratio="f"/>
                      <v:textbox style="mso-fit-shape-to-text:t;">
                        <w:txbxContent>
                          <w:p w14:paraId="237D2878">
                            <w:pPr>
                              <w:ind w:left="0" w:leftChars="0" w:firstLine="0" w:firstLineChars="0"/>
                              <w:rPr>
                                <w:rFonts w:hint="eastAsia" w:eastAsia="宋体"/>
                                <w:b/>
                                <w:bCs/>
                                <w:color w:val="FF0000"/>
                                <w:sz w:val="28"/>
                                <w:szCs w:val="28"/>
                                <w:lang w:eastAsia="zh-CN"/>
                                <w14:shadow w14:blurRad="38100" w14:dist="19050" w14:dir="2700000" w14:sx="100000" w14:sy="100000" w14:kx="0" w14:ky="0" w14:algn="tl">
                                  <w14:schemeClr w14:val="dk1">
                                    <w14:alpha w14:val="60000"/>
                                  </w14:schemeClr>
                                </w14:shadow>
                              </w:rPr>
                            </w:pPr>
                            <w:r>
                              <w:rPr>
                                <w:rFonts w:hint="eastAsia"/>
                                <w:b/>
                                <w:bCs/>
                                <w:color w:val="FF0000"/>
                                <w:sz w:val="28"/>
                                <w:szCs w:val="28"/>
                                <w:lang w:val="en-US" w:eastAsia="zh-CN"/>
                                <w14:shadow w14:blurRad="38100" w14:dist="19050" w14:dir="2700000" w14:sx="100000" w14:sy="100000" w14:kx="0" w14:ky="0" w14:algn="tl">
                                  <w14:schemeClr w14:val="dk1">
                                    <w14:alpha w14:val="60000"/>
                                  </w14:schemeClr>
                                </w14:shadow>
                              </w:rPr>
                              <w:t>项目所在地</w:t>
                            </w:r>
                          </w:p>
                        </w:txbxContent>
                      </v:textbox>
                    </v:shape>
                  </w:pict>
                </mc:Fallback>
              </mc:AlternateContent>
            </w:r>
            <w:r>
              <w:rPr>
                <w:color w:val="auto"/>
                <w:sz w:val="21"/>
              </w:rPr>
              <w:drawing>
                <wp:inline distT="0" distB="0" distL="114300" distR="114300">
                  <wp:extent cx="2559050" cy="2630170"/>
                  <wp:effectExtent l="0" t="0" r="12700" b="17780"/>
                  <wp:docPr id="4" name="图片 4" descr="DJI_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JI_0661"/>
                          <pic:cNvPicPr>
                            <a:picLocks noChangeAspect="1"/>
                          </pic:cNvPicPr>
                        </pic:nvPicPr>
                        <pic:blipFill>
                          <a:blip r:embed="rId10"/>
                          <a:stretch>
                            <a:fillRect/>
                          </a:stretch>
                        </pic:blipFill>
                        <pic:spPr>
                          <a:xfrm>
                            <a:off x="0" y="0"/>
                            <a:ext cx="2559050" cy="2630170"/>
                          </a:xfrm>
                          <a:prstGeom prst="rect">
                            <a:avLst/>
                          </a:prstGeom>
                        </pic:spPr>
                      </pic:pic>
                    </a:graphicData>
                  </a:graphic>
                </wp:inline>
              </w:drawing>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1679575</wp:posOffset>
                      </wp:positionH>
                      <wp:positionV relativeFrom="paragraph">
                        <wp:posOffset>2476500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396E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2.25pt;margin-top:195pt;height:144pt;width:144pt;mso-wrap-style:none;z-index:251672576;mso-width-relative:page;mso-height-relative:page;" filled="f" stroked="f" coordsize="21600,21600" o:gfxdata="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Tc45O2gAAAAsBAAAPAAAAAAAAAAEAIAAAACIAAABkcnMvZG93&#10;bnJldi54bWxQSwECFAAUAAAACACHTuJA0YdtBzcCAABnBAAADgAAAAAAAAABACAAAAApAQAAZHJz&#10;L2Uyb0RvYy54bWxQSwUGAAAAAAYABgBZAQAA0gUAAAAA&#10;">
                      <v:fill on="f" focussize="0,0"/>
                      <v:stroke on="f" weight="0.5pt"/>
                      <v:imagedata o:title=""/>
                      <o:lock v:ext="edit" aspectratio="f"/>
                      <v:textbox style="mso-fit-shape-to-text:t;">
                        <w:txbxContent>
                          <w:p w14:paraId="4B6396EA">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v:textbox>
                    </v:shap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711835</wp:posOffset>
                      </wp:positionH>
                      <wp:positionV relativeFrom="paragraph">
                        <wp:posOffset>1328420</wp:posOffset>
                      </wp:positionV>
                      <wp:extent cx="9525" cy="85725"/>
                      <wp:effectExtent l="0" t="0" r="0" b="0"/>
                      <wp:wrapNone/>
                      <wp:docPr id="12" name="任意多边形 12"/>
                      <wp:cNvGraphicFramePr/>
                      <a:graphic xmlns:a="http://schemas.openxmlformats.org/drawingml/2006/main">
                        <a:graphicData uri="http://schemas.microsoft.com/office/word/2010/wordprocessingShape">
                          <wps:wsp>
                            <wps:cNvSpPr/>
                            <wps:spPr>
                              <a:xfrm>
                                <a:off x="0" y="0"/>
                                <a:ext cx="9525" cy="85725"/>
                              </a:xfrm>
                              <a:custGeom>
                                <a:avLst/>
                                <a:gdLst/>
                                <a:ahLst/>
                                <a:cxnLst/>
                                <a:pathLst>
                                  <a:path w="15" h="135">
                                    <a:moveTo>
                                      <a:pt x="0" y="0"/>
                                    </a:moveTo>
                                    <a:lnTo>
                                      <a:pt x="0" y="135"/>
                                    </a:lnTo>
                                    <a:lnTo>
                                      <a:pt x="15" y="120"/>
                                    </a:lnTo>
                                  </a:path>
                                </a:pathLst>
                              </a:custGeom>
                              <a:noFill/>
                              <a:ln>
                                <a:noFill/>
                              </a:ln>
                            </wps:spPr>
                            <wps:bodyPr upright="1"/>
                          </wps:wsp>
                        </a:graphicData>
                      </a:graphic>
                    </wp:anchor>
                  </w:drawing>
                </mc:Choice>
                <mc:Fallback>
                  <w:pict>
                    <v:shape id="_x0000_s1026" o:spid="_x0000_s1026" o:spt="100" style="position:absolute;left:0pt;margin-left:56.05pt;margin-top:104.6pt;height:6.75pt;width:0.75pt;z-index:251671552;mso-width-relative:page;mso-height-relative:page;" filled="f" stroked="f" coordsize="15,135" o:gfxdata="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K5NZ&#10;1wAAAAsBAAAPAAAAAAAAAAEAIAAAACIAAABkcnMvZG93bnJldi54bWxQSwECFAAUAAAACACHTuJA&#10;JPX0Q+kBAAD8AwAADgAAAAAAAAABACAAAAAmAQAAZHJzL2Uyb0RvYy54bWxQSwUGAAAAAAYABgBZ&#10;AQAAgQUAAAAA&#10;" path="m0,0l0,135,15,120e">
                      <v:fill on="f" focussize="0,0"/>
                      <v:stroke on="f"/>
                      <v:imagedata o:title=""/>
                      <o:lock v:ext="edit" aspectratio="f"/>
                    </v:shape>
                  </w:pict>
                </mc:Fallback>
              </mc:AlternateContent>
            </w:r>
          </w:p>
        </w:tc>
        <w:tc>
          <w:tcPr>
            <w:tcW w:w="240" w:type="dxa"/>
            <w:noWrap w:val="0"/>
            <w:vAlign w:val="top"/>
          </w:tcPr>
          <w:p w14:paraId="651552AA">
            <w:pPr>
              <w:rPr>
                <w:rFonts w:hint="eastAsia" w:ascii="宋体" w:hAnsi="宋体" w:eastAsia="宋体" w:cs="宋体"/>
                <w:color w:val="auto"/>
                <w:sz w:val="21"/>
                <w:szCs w:val="21"/>
                <w:vertAlign w:val="baseline"/>
              </w:rPr>
            </w:pPr>
          </w:p>
        </w:tc>
        <w:tc>
          <w:tcPr>
            <w:tcW w:w="4117" w:type="dxa"/>
            <w:noWrap w:val="0"/>
            <w:vAlign w:val="top"/>
          </w:tcPr>
          <w:p w14:paraId="496B4086">
            <w:pPr>
              <w:ind w:left="0" w:leftChars="0" w:firstLine="0" w:firstLineChars="0"/>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4"/>
                <w:szCs w:val="24"/>
                <w:vertAlign w:val="baseline"/>
                <w:lang w:val="en-US" w:eastAsia="zh-CN"/>
              </w:rPr>
              <w:drawing>
                <wp:inline distT="0" distB="0" distL="114300" distR="114300">
                  <wp:extent cx="2514600" cy="2690495"/>
                  <wp:effectExtent l="0" t="0" r="0" b="14605"/>
                  <wp:docPr id="32" name="图片 32" descr="9475efc4a7a176b93e84df8e9a352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9475efc4a7a176b93e84df8e9a3528e"/>
                          <pic:cNvPicPr>
                            <a:picLocks noChangeAspect="1"/>
                          </pic:cNvPicPr>
                        </pic:nvPicPr>
                        <pic:blipFill>
                          <a:blip r:embed="rId11"/>
                          <a:stretch>
                            <a:fillRect/>
                          </a:stretch>
                        </pic:blipFill>
                        <pic:spPr>
                          <a:xfrm>
                            <a:off x="0" y="0"/>
                            <a:ext cx="2514600" cy="2690495"/>
                          </a:xfrm>
                          <a:prstGeom prst="rect">
                            <a:avLst/>
                          </a:prstGeom>
                        </pic:spPr>
                      </pic:pic>
                    </a:graphicData>
                  </a:graphic>
                </wp:inline>
              </w:drawing>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1647825</wp:posOffset>
                      </wp:positionH>
                      <wp:positionV relativeFrom="paragraph">
                        <wp:posOffset>2381250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1D220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9.75pt;margin-top:187.5pt;height:144pt;width:144pt;mso-wrap-style:none;z-index:251673600;mso-width-relative:page;mso-height-relative:page;" filled="f" stroked="f" coordsize="21600,21600" o:gfxdata="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MZn/TaAAAACwEAAA8AAAAAAAAAAQAgAAAAIgAAAGRycy9kb3du&#10;cmV2LnhtbFBLAQIUABQAAAAIAIdO4kBhCUH6NgIAAGcEAAAOAAAAAAAAAAEAIAAAACkBAABkcnMv&#10;ZTJvRG9jLnhtbFBLBQYAAAAABgAGAFkBAADRBQAAAAA=&#10;">
                      <v:fill on="f" focussize="0,0"/>
                      <v:stroke on="f" weight="0.5pt"/>
                      <v:imagedata o:title=""/>
                      <o:lock v:ext="edit" aspectratio="f"/>
                      <v:textbox style="mso-fit-shape-to-text:t;">
                        <w:txbxContent>
                          <w:p w14:paraId="581D220C">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v:textbox>
                    </v:shape>
                  </w:pict>
                </mc:Fallback>
              </mc:AlternateContent>
            </w:r>
          </w:p>
        </w:tc>
      </w:tr>
      <w:tr w14:paraId="61C45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4175" w:type="dxa"/>
            <w:noWrap w:val="0"/>
            <w:vAlign w:val="top"/>
          </w:tcPr>
          <w:p w14:paraId="60F867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项目所在地</w:t>
            </w:r>
          </w:p>
        </w:tc>
        <w:tc>
          <w:tcPr>
            <w:tcW w:w="240" w:type="dxa"/>
            <w:noWrap w:val="0"/>
            <w:vAlign w:val="top"/>
          </w:tcPr>
          <w:p w14:paraId="5976C3A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cs="宋体"/>
                <w:color w:val="auto"/>
                <w:sz w:val="24"/>
                <w:szCs w:val="24"/>
                <w:vertAlign w:val="baseline"/>
                <w:lang w:val="en-US" w:eastAsia="zh-CN"/>
              </w:rPr>
            </w:pPr>
          </w:p>
        </w:tc>
        <w:tc>
          <w:tcPr>
            <w:tcW w:w="4117" w:type="dxa"/>
            <w:noWrap w:val="0"/>
            <w:vAlign w:val="top"/>
          </w:tcPr>
          <w:p w14:paraId="6021B0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项目封闭厂房内部</w:t>
            </w:r>
          </w:p>
        </w:tc>
      </w:tr>
      <w:tr w14:paraId="27AC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9" w:hRule="atLeast"/>
          <w:jc w:val="center"/>
        </w:trPr>
        <w:tc>
          <w:tcPr>
            <w:tcW w:w="4175" w:type="dxa"/>
            <w:noWrap w:val="0"/>
            <w:vAlign w:val="top"/>
          </w:tcPr>
          <w:p w14:paraId="0C221D5C">
            <w:pPr>
              <w:ind w:left="0" w:leftChars="0" w:firstLine="0" w:firstLineChars="0"/>
              <w:rPr>
                <w:rFonts w:hint="default" w:ascii="宋体" w:hAnsi="宋体" w:eastAsia="宋体" w:cs="宋体"/>
                <w:color w:val="auto"/>
                <w:sz w:val="21"/>
                <w:szCs w:val="21"/>
                <w:vertAlign w:val="baseline"/>
                <w:lang w:val="en-US" w:eastAsia="zh-CN"/>
              </w:rPr>
            </w:pP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1631950</wp:posOffset>
                      </wp:positionH>
                      <wp:positionV relativeFrom="paragraph">
                        <wp:posOffset>2054225</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ED707">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8.5pt;margin-top:161.75pt;height:144pt;width:144pt;mso-wrap-style:none;z-index:251678720;mso-width-relative:page;mso-height-relative:page;" filled="f" stroked="f" coordsize="21600,21600" o:gfxdata="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lJC142gAAAAsBAAAPAAAAAAAAAAEAIAAAACIAAABkcnMvZG93&#10;bnJldi54bWxQSwECFAAUAAAACACHTuJARPw7jDcCAABnBAAADgAAAAAAAAABACAAAAApAQAAZHJz&#10;L2Uyb0RvYy54bWxQSwUGAAAAAAYABgBZAQAA0gUAAAAA&#10;">
                      <v:fill on="f" focussize="0,0"/>
                      <v:stroke on="f" weight="0.5pt"/>
                      <v:imagedata o:title=""/>
                      <o:lock v:ext="edit" aspectratio="f"/>
                      <v:textbox style="mso-fit-shape-to-text:t;">
                        <w:txbxContent>
                          <w:p w14:paraId="1A6ED707">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v:textbox>
                    </v:shape>
                  </w:pict>
                </mc:Fallback>
              </mc:AlternateContent>
            </w:r>
            <w:r>
              <w:rPr>
                <w:color w:val="auto"/>
                <w:sz w:val="21"/>
              </w:rPr>
              <w:drawing>
                <wp:inline distT="0" distB="0" distL="114300" distR="114300">
                  <wp:extent cx="2543175" cy="2342515"/>
                  <wp:effectExtent l="0" t="0" r="9525" b="635"/>
                  <wp:docPr id="38" name="图片 38" descr="DJI_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JI_0665"/>
                          <pic:cNvPicPr>
                            <a:picLocks noChangeAspect="1"/>
                          </pic:cNvPicPr>
                        </pic:nvPicPr>
                        <pic:blipFill>
                          <a:blip r:embed="rId12"/>
                          <a:stretch>
                            <a:fillRect/>
                          </a:stretch>
                        </pic:blipFill>
                        <pic:spPr>
                          <a:xfrm>
                            <a:off x="0" y="0"/>
                            <a:ext cx="2543175" cy="2342515"/>
                          </a:xfrm>
                          <a:prstGeom prst="rect">
                            <a:avLst/>
                          </a:prstGeom>
                        </pic:spPr>
                      </pic:pic>
                    </a:graphicData>
                  </a:graphic>
                </wp:inline>
              </w:drawing>
            </w:r>
          </w:p>
        </w:tc>
        <w:tc>
          <w:tcPr>
            <w:tcW w:w="240" w:type="dxa"/>
            <w:noWrap w:val="0"/>
            <w:vAlign w:val="top"/>
          </w:tcPr>
          <w:p w14:paraId="60E0C71E">
            <w:pPr>
              <w:rPr>
                <w:rFonts w:hint="eastAsia" w:ascii="宋体" w:hAnsi="宋体" w:eastAsia="宋体" w:cs="宋体"/>
                <w:color w:val="auto"/>
                <w:sz w:val="21"/>
                <w:szCs w:val="21"/>
                <w:vertAlign w:val="baseline"/>
              </w:rPr>
            </w:pPr>
          </w:p>
        </w:tc>
        <w:tc>
          <w:tcPr>
            <w:tcW w:w="4117" w:type="dxa"/>
            <w:noWrap w:val="0"/>
            <w:vAlign w:val="top"/>
          </w:tcPr>
          <w:p w14:paraId="24C96201">
            <w:pPr>
              <w:ind w:left="0" w:leftChars="0" w:firstLine="0" w:firstLineChars="0"/>
              <w:rPr>
                <w:rFonts w:hint="eastAsia" w:ascii="宋体" w:hAnsi="宋体" w:eastAsia="宋体" w:cs="宋体"/>
                <w:color w:val="auto"/>
                <w:sz w:val="21"/>
                <w:szCs w:val="21"/>
                <w:vertAlign w:val="baseline"/>
                <w:lang w:eastAsia="zh-CN"/>
              </w:rPr>
            </w:pP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1628775</wp:posOffset>
                      </wp:positionH>
                      <wp:positionV relativeFrom="paragraph">
                        <wp:posOffset>2044700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8035E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8.25pt;margin-top:161pt;height:144pt;width:144pt;mso-wrap-style:none;z-index:251679744;mso-width-relative:page;mso-height-relative:page;" filled="f" stroked="f" coordsize="21600,21600" o:gfxdata="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0GaRbZAAAACwEAAA8AAAAAAAAAAQAgAAAAIgAAAGRycy9kb3du&#10;cmV2LnhtbFBLAQIUABQAAAAIAIdO4kAeg/hkNwIAAGcEAAAOAAAAAAAAAAEAIAAAACgBAABkcnMv&#10;ZTJvRG9jLnhtbFBLBQYAAAAABgAGAFkBAADRBQAAAAA=&#10;">
                      <v:fill on="f" focussize="0,0"/>
                      <v:stroke on="f" weight="0.5pt"/>
                      <v:imagedata o:title=""/>
                      <o:lock v:ext="edit" aspectratio="f"/>
                      <v:textbox style="mso-fit-shape-to-text:t;">
                        <w:txbxContent>
                          <w:p w14:paraId="128035E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v:textbox>
                    </v:shape>
                  </w:pict>
                </mc:Fallback>
              </mc:AlternateContent>
            </w: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1746250</wp:posOffset>
                      </wp:positionH>
                      <wp:positionV relativeFrom="paragraph">
                        <wp:posOffset>710565</wp:posOffset>
                      </wp:positionV>
                      <wp:extent cx="833120" cy="524510"/>
                      <wp:effectExtent l="85725" t="50165" r="94615" b="50165"/>
                      <wp:wrapNone/>
                      <wp:docPr id="48" name="文本框 48"/>
                      <wp:cNvGraphicFramePr/>
                      <a:graphic xmlns:a="http://schemas.openxmlformats.org/drawingml/2006/main">
                        <a:graphicData uri="http://schemas.microsoft.com/office/word/2010/wordprocessingShape">
                          <wps:wsp>
                            <wps:cNvSpPr txBox="1"/>
                            <wps:spPr>
                              <a:xfrm rot="4680000">
                                <a:off x="5861685" y="5457825"/>
                                <a:ext cx="833120" cy="5245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F9DD6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FF0000"/>
                                      <w:lang w:val="en-US" w:eastAsia="zh-CN"/>
                                    </w:rPr>
                                  </w:pPr>
                                  <w:r>
                                    <w:rPr>
                                      <w:rFonts w:hint="eastAsia" w:asciiTheme="minorEastAsia" w:hAnsiTheme="minorEastAsia" w:eastAsiaTheme="minorEastAsia" w:cstheme="minorEastAsia"/>
                                      <w:color w:val="FF0000"/>
                                      <w:lang w:val="en-US" w:eastAsia="zh-CN"/>
                                    </w:rPr>
                                    <w:t>GB511 昆磨高速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55.95pt;height:41.3pt;width:65.6pt;rotation:5111808f;z-index:251676672;mso-width-relative:page;mso-height-relative:page;" fillcolor="#FFFFFF [3201]" filled="t" stroked="t" coordsize="21600,21600" o:gfxdata="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RH307ZAAAACwEAAA8AAAAAAAAAAQAgAAAAIgAAAGRycy9kb3ducmV2&#10;LnhtbFBLAQIUABQAAAAIAIdO4kBOjgorbQIAANIEAAAOAAAAAAAAAAEAIAAAACgBAABkcnMvZTJv&#10;RG9jLnhtbFBLBQYAAAAABgAGAFkBAAAHBgAAAAA=&#10;">
                      <v:fill on="t" focussize="0,0"/>
                      <v:stroke weight="0.5pt" color="#000000 [3204]" joinstyle="round"/>
                      <v:imagedata o:title=""/>
                      <o:lock v:ext="edit" aspectratio="f"/>
                      <v:textbox>
                        <w:txbxContent>
                          <w:p w14:paraId="1EF9DD6E">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FF0000"/>
                                <w:lang w:val="en-US" w:eastAsia="zh-CN"/>
                              </w:rPr>
                            </w:pPr>
                            <w:r>
                              <w:rPr>
                                <w:rFonts w:hint="eastAsia" w:asciiTheme="minorEastAsia" w:hAnsiTheme="minorEastAsia" w:eastAsiaTheme="minorEastAsia" w:cstheme="minorEastAsia"/>
                                <w:color w:val="FF0000"/>
                                <w:lang w:val="en-US" w:eastAsia="zh-CN"/>
                              </w:rPr>
                              <w:t>GB511 昆磨高速</w:t>
                            </w:r>
                          </w:p>
                        </w:txbxContent>
                      </v:textbox>
                    </v:shape>
                  </w:pict>
                </mc:Fallback>
              </mc:AlternateContent>
            </w: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589915</wp:posOffset>
                      </wp:positionH>
                      <wp:positionV relativeFrom="paragraph">
                        <wp:posOffset>1009015</wp:posOffset>
                      </wp:positionV>
                      <wp:extent cx="1067435" cy="395605"/>
                      <wp:effectExtent l="111125" t="34290" r="121920" b="41275"/>
                      <wp:wrapNone/>
                      <wp:docPr id="49" name="文本框 49"/>
                      <wp:cNvGraphicFramePr/>
                      <a:graphic xmlns:a="http://schemas.openxmlformats.org/drawingml/2006/main">
                        <a:graphicData uri="http://schemas.microsoft.com/office/word/2010/wordprocessingShape">
                          <wps:wsp>
                            <wps:cNvSpPr txBox="1"/>
                            <wps:spPr>
                              <a:xfrm rot="4680000">
                                <a:off x="0" y="0"/>
                                <a:ext cx="1067435" cy="3956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A4F5943">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color w:val="00B050"/>
                                      <w:lang w:val="en-US" w:eastAsia="zh-CN"/>
                                    </w:rPr>
                                    <w:t>G213 策磨线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45pt;margin-top:79.45pt;height:31.15pt;width:84.05pt;rotation:5111808f;z-index:251677696;mso-width-relative:page;mso-height-relative:page;" fillcolor="#FFFFFF [3201]" filled="t" stroked="t" coordsize="21600,21600" o:gfxdata="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pRKjhdcAAAAKAQAADwAAAAAAAAABACAAAAAiAAAAZHJzL2Rvd25yZXYueG1sUEsBAhQAFAAA&#10;AAgAh07iQNTOw85iAgAAxwQAAA4AAAAAAAAAAQAgAAAAJgEAAGRycy9lMm9Eb2MueG1sUEsFBgAA&#10;AAAGAAYAWQEAAPoFAAAAAA==&#10;">
                      <v:fill on="t" focussize="0,0"/>
                      <v:stroke weight="0.5pt" color="#000000 [3204]" joinstyle="round"/>
                      <v:imagedata o:title=""/>
                      <o:lock v:ext="edit" aspectratio="f"/>
                      <v:textbox>
                        <w:txbxContent>
                          <w:p w14:paraId="3A4F5943">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B050"/>
                                <w:lang w:val="en-US" w:eastAsia="zh-CN"/>
                              </w:rPr>
                            </w:pPr>
                            <w:r>
                              <w:rPr>
                                <w:rFonts w:hint="eastAsia" w:asciiTheme="minorEastAsia" w:hAnsiTheme="minorEastAsia" w:eastAsiaTheme="minorEastAsia" w:cstheme="minorEastAsia"/>
                                <w:color w:val="00B050"/>
                                <w:lang w:val="en-US" w:eastAsia="zh-CN"/>
                              </w:rPr>
                              <w:t>G213 策磨线</w:t>
                            </w:r>
                          </w:p>
                        </w:txbxContent>
                      </v:textbox>
                    </v:shape>
                  </w:pict>
                </mc:Fallback>
              </mc:AlternateContent>
            </w:r>
            <w:r>
              <w:rPr>
                <w:color w:val="auto"/>
                <w:sz w:val="21"/>
              </w:rPr>
              <w:drawing>
                <wp:inline distT="0" distB="0" distL="114300" distR="114300">
                  <wp:extent cx="2530475" cy="2325370"/>
                  <wp:effectExtent l="0" t="0" r="3175" b="17780"/>
                  <wp:docPr id="50" name="图片 50" descr="DJI_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DJI_0663"/>
                          <pic:cNvPicPr>
                            <a:picLocks noChangeAspect="1"/>
                          </pic:cNvPicPr>
                        </pic:nvPicPr>
                        <pic:blipFill>
                          <a:blip r:embed="rId13"/>
                          <a:stretch>
                            <a:fillRect/>
                          </a:stretch>
                        </pic:blipFill>
                        <pic:spPr>
                          <a:xfrm>
                            <a:off x="0" y="0"/>
                            <a:ext cx="2530475" cy="2325370"/>
                          </a:xfrm>
                          <a:prstGeom prst="rect">
                            <a:avLst/>
                          </a:prstGeom>
                        </pic:spPr>
                      </pic:pic>
                    </a:graphicData>
                  </a:graphic>
                </wp:inline>
              </w:drawing>
            </w: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1337310</wp:posOffset>
                      </wp:positionH>
                      <wp:positionV relativeFrom="paragraph">
                        <wp:posOffset>304800</wp:posOffset>
                      </wp:positionV>
                      <wp:extent cx="552450" cy="2019935"/>
                      <wp:effectExtent l="9525" t="3810" r="9525" b="14605"/>
                      <wp:wrapNone/>
                      <wp:docPr id="46" name="任意多边形 46"/>
                      <wp:cNvGraphicFramePr/>
                      <a:graphic xmlns:a="http://schemas.openxmlformats.org/drawingml/2006/main">
                        <a:graphicData uri="http://schemas.microsoft.com/office/word/2010/wordprocessingShape">
                          <wps:wsp>
                            <wps:cNvSpPr/>
                            <wps:spPr>
                              <a:xfrm>
                                <a:off x="5290185" y="5221605"/>
                                <a:ext cx="552450" cy="2019935"/>
                              </a:xfrm>
                              <a:custGeom>
                                <a:avLst/>
                                <a:gdLst>
                                  <a:gd name="connisteX0" fmla="*/ 533400 w 533400"/>
                                  <a:gd name="connsiteY0" fmla="*/ 2647950 h 2647950"/>
                                  <a:gd name="connisteX1" fmla="*/ 200025 w 533400"/>
                                  <a:gd name="connsiteY1" fmla="*/ 1657350 h 2647950"/>
                                  <a:gd name="connisteX2" fmla="*/ 95250 w 533400"/>
                                  <a:gd name="connsiteY2" fmla="*/ 1104900 h 2647950"/>
                                  <a:gd name="connisteX3" fmla="*/ 0 w 533400"/>
                                  <a:gd name="connsiteY3" fmla="*/ 647700 h 2647950"/>
                                  <a:gd name="connisteX4" fmla="*/ 57150 w 533400"/>
                                  <a:gd name="connsiteY4" fmla="*/ 219075 h 2647950"/>
                                  <a:gd name="connisteX5" fmla="*/ 123825 w 533400"/>
                                  <a:gd name="connsiteY5" fmla="*/ 0 h 26479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533400" h="2647950">
                                    <a:moveTo>
                                      <a:pt x="533400" y="2647950"/>
                                    </a:moveTo>
                                    <a:lnTo>
                                      <a:pt x="200025" y="1657350"/>
                                    </a:lnTo>
                                    <a:lnTo>
                                      <a:pt x="95250" y="1104900"/>
                                    </a:lnTo>
                                    <a:lnTo>
                                      <a:pt x="0" y="647700"/>
                                    </a:lnTo>
                                    <a:lnTo>
                                      <a:pt x="57150" y="219075"/>
                                    </a:lnTo>
                                    <a:lnTo>
                                      <a:pt x="123825" y="0"/>
                                    </a:lnTo>
                                  </a:path>
                                </a:pathLst>
                              </a:custGeom>
                              <a:noFill/>
                              <a:ln w="19050">
                                <a:solidFill>
                                  <a:srgbClr val="00B05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05.3pt;margin-top:24pt;height:159.05pt;width:43.5pt;z-index:251674624;mso-width-relative:page;mso-height-relative:page;" filled="f" stroked="t" coordsize="533400,2647950" o:gfxdata="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K&#10;5SXm2gAAAAoBAAAPAAAAAAAAAAEAIAAAACIAAABkcnMvZG93bnJldi54bWxQSwECFAAUAAAACACH&#10;TuJA4Y+B0T8DAAASCQAADgAAAAAAAAABACAAAAApAQAAZHJzL2Uyb0RvYy54bWxQSwUGAAAAAAYA&#10;BgBZAQAA2gYAAAAA&#10;" path="m533400,2647950l200025,1657350,95250,1104900,0,647700,57150,219075,123825,0e">
                      <v:path o:connectlocs="552450,2019935;207168,1264275;98651,842850;0,494084;59191,167116;128247,0" o:connectangles="0,0,0,0,0,0"/>
                      <v:fill on="f" focussize="0,0"/>
                      <v:stroke weight="1.5pt" color="#00B050 [2404]" joinstyle="round"/>
                      <v:imagedata o:title=""/>
                      <o:lock v:ext="edit" aspectratio="f"/>
                    </v:shape>
                  </w:pict>
                </mc:Fallback>
              </mc:AlternateContent>
            </w: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1718310</wp:posOffset>
                      </wp:positionH>
                      <wp:positionV relativeFrom="paragraph">
                        <wp:posOffset>171450</wp:posOffset>
                      </wp:positionV>
                      <wp:extent cx="619125" cy="2096135"/>
                      <wp:effectExtent l="12700" t="7620" r="15875" b="10795"/>
                      <wp:wrapNone/>
                      <wp:docPr id="45" name="任意多边形 45"/>
                      <wp:cNvGraphicFramePr/>
                      <a:graphic xmlns:a="http://schemas.openxmlformats.org/drawingml/2006/main">
                        <a:graphicData uri="http://schemas.microsoft.com/office/word/2010/wordprocessingShape">
                          <wps:wsp>
                            <wps:cNvSpPr/>
                            <wps:spPr>
                              <a:xfrm>
                                <a:off x="5680710" y="4964430"/>
                                <a:ext cx="619125" cy="2096135"/>
                              </a:xfrm>
                              <a:custGeom>
                                <a:avLst/>
                                <a:gdLst>
                                  <a:gd name="connisteX0" fmla="*/ 704850 w 704850"/>
                                  <a:gd name="connsiteY0" fmla="*/ 2933700 h 2933700"/>
                                  <a:gd name="connisteX1" fmla="*/ 304800 w 704850"/>
                                  <a:gd name="connsiteY1" fmla="*/ 1885950 h 2933700"/>
                                  <a:gd name="connisteX2" fmla="*/ 76200 w 704850"/>
                                  <a:gd name="connsiteY2" fmla="*/ 1257300 h 2933700"/>
                                  <a:gd name="connisteX3" fmla="*/ 0 w 704850"/>
                                  <a:gd name="connsiteY3" fmla="*/ 723900 h 2933700"/>
                                  <a:gd name="connisteX4" fmla="*/ 47625 w 704850"/>
                                  <a:gd name="connsiteY4" fmla="*/ 200025 h 2933700"/>
                                  <a:gd name="connisteX5" fmla="*/ 171450 w 704850"/>
                                  <a:gd name="connsiteY5" fmla="*/ 0 h 29337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704850" h="2933700">
                                    <a:moveTo>
                                      <a:pt x="704850" y="2933700"/>
                                    </a:moveTo>
                                    <a:lnTo>
                                      <a:pt x="304800" y="1885950"/>
                                    </a:lnTo>
                                    <a:lnTo>
                                      <a:pt x="76200" y="1257300"/>
                                    </a:lnTo>
                                    <a:lnTo>
                                      <a:pt x="0" y="723900"/>
                                    </a:lnTo>
                                    <a:lnTo>
                                      <a:pt x="47625" y="200025"/>
                                    </a:lnTo>
                                    <a:lnTo>
                                      <a:pt x="171450" y="0"/>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35.3pt;margin-top:13.5pt;height:165.05pt;width:48.75pt;z-index:251675648;mso-width-relative:page;mso-height-relative:page;" filled="f" stroked="t" coordsize="704850,2933700" o:gfxdata="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LTP6gzYAAAA&#10;CgEAAA8AAAAAAAAAAQAgAAAAIgAAAGRycy9kb3ducmV2LnhtbFBLAQIUABQAAAAIAIdO4kDzAZKK&#10;OgMAABIJAAAOAAAAAAAAAAEAIAAAACcBAABkcnMvZTJvRG9jLnhtbFBLBQYAAAAABgAGAFkBAADT&#10;BgAAAAA=&#10;" path="m704850,2933700l304800,1885950,76200,1257300,0,723900,47625,200025,171450,0e">
                      <v:path o:connectlocs="619125,2096135;267729,1347515;66932,898343;0,517228;41832,142918;150597,0" o:connectangles="0,0,0,0,0,0"/>
                      <v:fill on="f" focussize="0,0"/>
                      <v:stroke weight="2pt" color="#FF0000 [2404]" joinstyle="round"/>
                      <v:imagedata o:title=""/>
                      <o:lock v:ext="edit" aspectratio="f"/>
                    </v:shape>
                  </w:pict>
                </mc:Fallback>
              </mc:AlternateContent>
            </w:r>
          </w:p>
        </w:tc>
      </w:tr>
      <w:tr w14:paraId="7C20F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75" w:type="dxa"/>
            <w:noWrap w:val="0"/>
            <w:vAlign w:val="top"/>
          </w:tcPr>
          <w:p w14:paraId="5FB80411">
            <w:pPr>
              <w:spacing w:line="240" w:lineRule="auto"/>
              <w:ind w:left="0" w:leftChars="0" w:firstLine="0" w:firstLineChars="0"/>
              <w:jc w:val="center"/>
              <w:rPr>
                <w:rFonts w:hint="default"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项目区南侧</w:t>
            </w:r>
          </w:p>
        </w:tc>
        <w:tc>
          <w:tcPr>
            <w:tcW w:w="240" w:type="dxa"/>
            <w:noWrap w:val="0"/>
            <w:vAlign w:val="top"/>
          </w:tcPr>
          <w:p w14:paraId="436963A9">
            <w:pPr>
              <w:spacing w:line="240" w:lineRule="auto"/>
              <w:ind w:left="0" w:leftChars="0" w:firstLine="0" w:firstLineChars="0"/>
              <w:jc w:val="center"/>
              <w:rPr>
                <w:rFonts w:hint="eastAsia" w:ascii="宋体" w:hAnsi="宋体" w:cs="宋体"/>
                <w:color w:val="auto"/>
                <w:sz w:val="24"/>
                <w:szCs w:val="24"/>
                <w:vertAlign w:val="baseline"/>
                <w:lang w:val="en-US" w:eastAsia="zh-CN"/>
              </w:rPr>
            </w:pPr>
          </w:p>
        </w:tc>
        <w:tc>
          <w:tcPr>
            <w:tcW w:w="4117" w:type="dxa"/>
            <w:noWrap w:val="0"/>
            <w:vAlign w:val="top"/>
          </w:tcPr>
          <w:p w14:paraId="4513B04E">
            <w:pPr>
              <w:spacing w:line="240" w:lineRule="auto"/>
              <w:ind w:left="0" w:leftChars="0" w:firstLine="0" w:firstLineChars="0"/>
              <w:jc w:val="center"/>
              <w:rPr>
                <w:rFonts w:hint="eastAsia"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项目区东侧</w:t>
            </w:r>
          </w:p>
        </w:tc>
      </w:tr>
      <w:tr w14:paraId="23EF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75" w:type="dxa"/>
            <w:noWrap w:val="0"/>
            <w:vAlign w:val="top"/>
          </w:tcPr>
          <w:p w14:paraId="00278F45">
            <w:pPr>
              <w:spacing w:line="240" w:lineRule="auto"/>
              <w:ind w:left="0" w:leftChars="0" w:firstLine="0" w:firstLineChars="0"/>
              <w:jc w:val="both"/>
              <w:rPr>
                <w:rFonts w:hint="eastAsia" w:ascii="宋体" w:hAnsi="宋体" w:eastAsia="宋体" w:cs="宋体"/>
                <w:color w:val="auto"/>
                <w:sz w:val="24"/>
                <w:szCs w:val="24"/>
                <w:vertAlign w:val="baseline"/>
                <w:lang w:val="en-US" w:eastAsia="zh-CN"/>
              </w:rPr>
            </w:pPr>
            <w:r>
              <w:rPr>
                <w:color w:val="auto"/>
                <w:sz w:val="21"/>
              </w:rPr>
              <w:drawing>
                <wp:inline distT="0" distB="0" distL="114300" distR="114300">
                  <wp:extent cx="2536825" cy="2503170"/>
                  <wp:effectExtent l="0" t="0" r="15875" b="11430"/>
                  <wp:docPr id="6" name="图片 6" descr="90813c191ddb7534306df55ef40e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0813c191ddb7534306df55ef40e902"/>
                          <pic:cNvPicPr>
                            <a:picLocks noChangeAspect="1"/>
                          </pic:cNvPicPr>
                        </pic:nvPicPr>
                        <pic:blipFill>
                          <a:blip r:embed="rId14"/>
                          <a:stretch>
                            <a:fillRect/>
                          </a:stretch>
                        </pic:blipFill>
                        <pic:spPr>
                          <a:xfrm>
                            <a:off x="0" y="0"/>
                            <a:ext cx="2536825" cy="2503170"/>
                          </a:xfrm>
                          <a:prstGeom prst="rect">
                            <a:avLst/>
                          </a:prstGeom>
                        </pic:spPr>
                      </pic:pic>
                    </a:graphicData>
                  </a:graphic>
                </wp:inline>
              </w:drawing>
            </w:r>
            <w:r>
              <w:rPr>
                <w:color w:val="auto"/>
                <w:sz w:val="21"/>
              </w:rPr>
              <mc:AlternateContent>
                <mc:Choice Requires="wps">
                  <w:drawing>
                    <wp:anchor distT="0" distB="0" distL="114300" distR="114300" simplePos="0" relativeHeight="251681792" behindDoc="0" locked="0" layoutInCell="1" allowOverlap="1">
                      <wp:simplePos x="0" y="0"/>
                      <wp:positionH relativeFrom="column">
                        <wp:posOffset>1679575</wp:posOffset>
                      </wp:positionH>
                      <wp:positionV relativeFrom="paragraph">
                        <wp:posOffset>2256155</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CF064">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2.25pt;margin-top:177.65pt;height:144pt;width:144pt;mso-wrap-style:none;z-index:251681792;mso-width-relative:page;mso-height-relative:page;" filled="f" stroked="f" coordsize="21600,21600" o:gfxdata="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rGPQ2gAAAAsBAAAPAAAAAAAAAAEAIAAAACIAAABkcnMvZG93&#10;bnJldi54bWxQSwECFAAUAAAACACHTuJAzo51GDcCAABnBAAADgAAAAAAAAABACAAAAApAQAAZHJz&#10;L2Uyb0RvYy54bWxQSwUGAAAAAAYABgBZAQAA0gUAAAAA&#10;">
                      <v:fill on="f" focussize="0,0"/>
                      <v:stroke on="f" weight="0.5pt"/>
                      <v:imagedata o:title=""/>
                      <o:lock v:ext="edit" aspectratio="f"/>
                      <v:textbox style="mso-fit-shape-to-text:t;">
                        <w:txbxContent>
                          <w:p w14:paraId="546CF064">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v:textbox>
                    </v:shape>
                  </w:pict>
                </mc:Fallback>
              </mc:AlternateContent>
            </w:r>
          </w:p>
        </w:tc>
        <w:tc>
          <w:tcPr>
            <w:tcW w:w="240" w:type="dxa"/>
            <w:noWrap w:val="0"/>
            <w:vAlign w:val="top"/>
          </w:tcPr>
          <w:p w14:paraId="2B5F51ED">
            <w:pPr>
              <w:spacing w:line="240" w:lineRule="auto"/>
              <w:jc w:val="center"/>
              <w:rPr>
                <w:rFonts w:hint="eastAsia" w:ascii="宋体" w:hAnsi="宋体" w:eastAsia="宋体" w:cs="宋体"/>
                <w:color w:val="auto"/>
                <w:sz w:val="24"/>
                <w:szCs w:val="24"/>
                <w:vertAlign w:val="baseline"/>
                <w:lang w:val="en-US" w:eastAsia="zh-CN"/>
              </w:rPr>
            </w:pPr>
          </w:p>
        </w:tc>
        <w:tc>
          <w:tcPr>
            <w:tcW w:w="4117" w:type="dxa"/>
            <w:noWrap w:val="0"/>
            <w:vAlign w:val="top"/>
          </w:tcPr>
          <w:p w14:paraId="0C961C7A">
            <w:pPr>
              <w:spacing w:line="240" w:lineRule="auto"/>
              <w:ind w:left="0" w:leftChars="0" w:firstLine="0" w:firstLineChars="0"/>
              <w:jc w:val="both"/>
              <w:rPr>
                <w:rFonts w:hint="eastAsia" w:ascii="宋体" w:hAnsi="宋体" w:eastAsia="宋体" w:cs="宋体"/>
                <w:color w:val="auto"/>
                <w:sz w:val="24"/>
                <w:szCs w:val="24"/>
                <w:vertAlign w:val="baseline"/>
                <w:lang w:val="en-US" w:eastAsia="zh-CN"/>
              </w:rPr>
            </w:pP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1657350</wp:posOffset>
                      </wp:positionH>
                      <wp:positionV relativeFrom="paragraph">
                        <wp:posOffset>2265680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90D94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30.5pt;margin-top:178.4pt;height:144pt;width:144pt;mso-wrap-style:none;z-index:251680768;mso-width-relative:page;mso-height-relative:page;" filled="f" stroked="f" coordsize="21600,21600" o:gfxdata="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ZRbLNoAAAALAQAADwAAAAAAAAABACAAAAAiAAAAZHJzL2Rv&#10;d25yZXYueG1sUEsBAhQAFAAAAAgAh07iQNyE39c4AgAAZwQAAA4AAAAAAAAAAQAgAAAAKQEAAGRy&#10;cy9lMm9Eb2MueG1sUEsFBgAAAAAGAAYAWQEAANMFAAAAAA==&#10;">
                      <v:fill on="f" focussize="0,0"/>
                      <v:stroke on="f" weight="0.5pt"/>
                      <v:imagedata o:title=""/>
                      <o:lock v:ext="edit" aspectratio="f"/>
                      <v:textbox style="mso-fit-shape-to-text:t;">
                        <w:txbxContent>
                          <w:p w14:paraId="6F90D94F">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eastAsia="宋体"/>
                                <w:b/>
                                <w:bCs/>
                                <w:color w:val="FFFF00"/>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FFFF00"/>
                                <w:sz w:val="24"/>
                                <w:szCs w:val="24"/>
                                <w:lang w:val="en-US" w:eastAsia="zh-CN"/>
                                <w14:shadow w14:blurRad="38100" w14:dist="19050" w14:dir="2700000" w14:sx="100000" w14:sy="100000" w14:kx="0" w14:ky="0" w14:algn="tl">
                                  <w14:schemeClr w14:val="dk1">
                                    <w14:alpha w14:val="60000"/>
                                  </w14:schemeClr>
                                </w14:shadow>
                              </w:rPr>
                              <w:t>2025.06.06</w:t>
                            </w:r>
                          </w:p>
                        </w:txbxContent>
                      </v:textbox>
                    </v:shape>
                  </w:pict>
                </mc:Fallback>
              </mc:AlternateContent>
            </w:r>
            <w:r>
              <w:rPr>
                <w:rFonts w:hint="eastAsia" w:ascii="宋体" w:hAnsi="宋体" w:eastAsia="宋体" w:cs="宋体"/>
                <w:color w:val="auto"/>
                <w:sz w:val="24"/>
                <w:szCs w:val="24"/>
                <w:vertAlign w:val="baseline"/>
                <w:lang w:val="en-US" w:eastAsia="zh-CN"/>
              </w:rPr>
              <w:drawing>
                <wp:inline distT="0" distB="0" distL="114300" distR="114300">
                  <wp:extent cx="2529840" cy="2543175"/>
                  <wp:effectExtent l="0" t="0" r="3810" b="9525"/>
                  <wp:docPr id="33" name="图片 33" descr="910d4231cfaf16e982c7f0c6f47f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910d4231cfaf16e982c7f0c6f47f702"/>
                          <pic:cNvPicPr>
                            <a:picLocks noChangeAspect="1"/>
                          </pic:cNvPicPr>
                        </pic:nvPicPr>
                        <pic:blipFill>
                          <a:blip r:embed="rId15"/>
                          <a:stretch>
                            <a:fillRect/>
                          </a:stretch>
                        </pic:blipFill>
                        <pic:spPr>
                          <a:xfrm>
                            <a:off x="0" y="0"/>
                            <a:ext cx="2529840" cy="2543175"/>
                          </a:xfrm>
                          <a:prstGeom prst="rect">
                            <a:avLst/>
                          </a:prstGeom>
                        </pic:spPr>
                      </pic:pic>
                    </a:graphicData>
                  </a:graphic>
                </wp:inline>
              </w:drawing>
            </w:r>
          </w:p>
        </w:tc>
      </w:tr>
      <w:tr w14:paraId="4BBE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4175" w:type="dxa"/>
            <w:noWrap w:val="0"/>
            <w:vAlign w:val="top"/>
          </w:tcPr>
          <w:p w14:paraId="72EA7513">
            <w:pPr>
              <w:spacing w:line="240" w:lineRule="auto"/>
              <w:ind w:left="0" w:leftChars="0" w:firstLine="0" w:firstLineChars="0"/>
              <w:jc w:val="center"/>
              <w:rPr>
                <w:rFonts w:hint="default"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工程师现场踏勘图</w:t>
            </w:r>
          </w:p>
        </w:tc>
        <w:tc>
          <w:tcPr>
            <w:tcW w:w="240" w:type="dxa"/>
            <w:noWrap w:val="0"/>
            <w:vAlign w:val="top"/>
          </w:tcPr>
          <w:p w14:paraId="32FCD1F6">
            <w:pPr>
              <w:spacing w:line="240" w:lineRule="auto"/>
              <w:ind w:left="0" w:leftChars="0" w:firstLine="0" w:firstLineChars="0"/>
              <w:jc w:val="center"/>
              <w:rPr>
                <w:rFonts w:hint="eastAsia" w:ascii="宋体" w:hAnsi="宋体" w:cs="宋体"/>
                <w:color w:val="auto"/>
                <w:sz w:val="24"/>
                <w:szCs w:val="24"/>
                <w:vertAlign w:val="baseline"/>
                <w:lang w:val="en-US" w:eastAsia="zh-CN"/>
              </w:rPr>
            </w:pPr>
          </w:p>
        </w:tc>
        <w:tc>
          <w:tcPr>
            <w:tcW w:w="4117" w:type="dxa"/>
            <w:noWrap w:val="0"/>
            <w:vAlign w:val="top"/>
          </w:tcPr>
          <w:p w14:paraId="20846CEE">
            <w:pPr>
              <w:spacing w:line="240" w:lineRule="auto"/>
              <w:ind w:left="0" w:leftChars="0" w:firstLine="0" w:firstLineChars="0"/>
              <w:jc w:val="center"/>
              <w:rPr>
                <w:rFonts w:hint="default" w:ascii="宋体" w:hAnsi="宋体" w:cs="宋体"/>
                <w:color w:val="auto"/>
                <w:sz w:val="24"/>
                <w:szCs w:val="24"/>
                <w:vertAlign w:val="baseline"/>
                <w:lang w:val="en-US" w:eastAsia="zh-CN"/>
              </w:rPr>
            </w:pPr>
            <w:r>
              <w:rPr>
                <w:rFonts w:hint="eastAsia" w:ascii="宋体" w:hAnsi="宋体" w:cs="宋体"/>
                <w:color w:val="auto"/>
                <w:sz w:val="24"/>
                <w:szCs w:val="24"/>
                <w:vertAlign w:val="baseline"/>
                <w:lang w:val="en-US" w:eastAsia="zh-CN"/>
              </w:rPr>
              <w:t>项目区已硬化的道路</w:t>
            </w:r>
          </w:p>
        </w:tc>
      </w:tr>
    </w:tbl>
    <w:p w14:paraId="32651860">
      <w:pPr>
        <w:ind w:left="0" w:leftChars="0"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val="en-US" w:eastAsia="zh-CN"/>
        </w:rPr>
        <w:t xml:space="preserve"> 项目现场勘踏图</w:t>
      </w:r>
    </w:p>
    <w:p w14:paraId="526E37DF">
      <w:pPr>
        <w:pStyle w:val="27"/>
        <w:ind w:left="0" w:leftChars="0" w:firstLine="0" w:firstLineChars="0"/>
        <w:rPr>
          <w:rFonts w:hint="eastAsia" w:ascii="Times New Roman" w:hAnsi="Times New Roman" w:eastAsia="宋体" w:cs="Times New Roman"/>
          <w:color w:val="auto"/>
          <w:lang w:eastAsia="zh-CN"/>
        </w:rPr>
        <w:sectPr>
          <w:pgSz w:w="11906" w:h="16838"/>
          <w:pgMar w:top="1440" w:right="1800" w:bottom="1440" w:left="1800" w:header="851" w:footer="992" w:gutter="0"/>
          <w:cols w:space="720" w:num="1"/>
          <w:docGrid w:type="lines" w:linePitch="312" w:charSpace="0"/>
        </w:sectPr>
      </w:pPr>
    </w:p>
    <w:p w14:paraId="38057021">
      <w:pPr>
        <w:pStyle w:val="27"/>
        <w:rPr>
          <w:rFonts w:hint="default" w:ascii="Times New Roman" w:hAnsi="Times New Roman" w:cs="Times New Roman"/>
          <w:color w:val="auto"/>
        </w:rPr>
      </w:pPr>
    </w:p>
    <w:p w14:paraId="5EE2C4F9">
      <w:pPr>
        <w:ind w:firstLine="0" w:firstLineChars="0"/>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目</w:t>
      </w:r>
      <w:r>
        <w:rPr>
          <w:rFonts w:hint="eastAsia" w:cs="Times New Roman"/>
          <w:b/>
          <w:bCs/>
          <w:color w:val="auto"/>
          <w:sz w:val="28"/>
          <w:szCs w:val="28"/>
          <w:lang w:val="en-US" w:eastAsia="zh-CN"/>
        </w:rPr>
        <w:t xml:space="preserve">  </w:t>
      </w:r>
      <w:r>
        <w:rPr>
          <w:rFonts w:hint="default" w:ascii="Times New Roman" w:hAnsi="Times New Roman" w:cs="Times New Roman"/>
          <w:b/>
          <w:bCs/>
          <w:color w:val="auto"/>
          <w:sz w:val="28"/>
          <w:szCs w:val="28"/>
        </w:rPr>
        <w:t>录</w:t>
      </w:r>
    </w:p>
    <w:p w14:paraId="5B744E03">
      <w:pPr>
        <w:pStyle w:val="28"/>
        <w:tabs>
          <w:tab w:val="right" w:leader="dot" w:pos="8306"/>
        </w:tabs>
        <w:rPr>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"1-1" \h \u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_Toc13225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一、</w:t>
      </w:r>
      <w:r>
        <w:rPr>
          <w:rFonts w:hint="default" w:ascii="Times New Roman" w:hAnsi="Times New Roman" w:cs="Times New Roman"/>
          <w:color w:val="auto"/>
        </w:rPr>
        <w:t>建设项目基本情况</w:t>
      </w:r>
      <w:r>
        <w:rPr>
          <w:color w:val="auto"/>
        </w:rPr>
        <w:tab/>
      </w:r>
      <w:r>
        <w:rPr>
          <w:rFonts w:hint="eastAsia"/>
          <w:color w:val="auto"/>
          <w:lang w:val="en-US" w:eastAsia="zh-CN"/>
        </w:rPr>
        <w:t>1</w:t>
      </w:r>
      <w:r>
        <w:rPr>
          <w:rFonts w:hint="default" w:ascii="Times New Roman" w:hAnsi="Times New Roman" w:cs="Times New Roman"/>
          <w:color w:val="auto"/>
          <w:szCs w:val="24"/>
        </w:rPr>
        <w:fldChar w:fldCharType="end"/>
      </w:r>
    </w:p>
    <w:p w14:paraId="39A2FB79">
      <w:pPr>
        <w:pStyle w:val="28"/>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_Toc309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二、</w:t>
      </w:r>
      <w:r>
        <w:rPr>
          <w:rFonts w:hint="default" w:ascii="Times New Roman" w:hAnsi="Times New Roman" w:cs="Times New Roman"/>
          <w:color w:val="auto"/>
        </w:rPr>
        <w:t>建设项目工程分析</w:t>
      </w:r>
      <w:r>
        <w:rPr>
          <w:color w:val="auto"/>
        </w:rPr>
        <w:tab/>
      </w:r>
      <w:r>
        <w:rPr>
          <w:color w:val="auto"/>
        </w:rPr>
        <w:fldChar w:fldCharType="begin"/>
      </w:r>
      <w:r>
        <w:rPr>
          <w:color w:val="auto"/>
        </w:rPr>
        <w:instrText xml:space="preserve"> PAGEREF _Toc309 \h </w:instrText>
      </w:r>
      <w:r>
        <w:rPr>
          <w:color w:val="auto"/>
        </w:rPr>
        <w:fldChar w:fldCharType="separate"/>
      </w:r>
      <w:r>
        <w:rPr>
          <w:color w:val="auto"/>
        </w:rPr>
        <w:t>35</w:t>
      </w:r>
      <w:r>
        <w:rPr>
          <w:color w:val="auto"/>
        </w:rPr>
        <w:fldChar w:fldCharType="end"/>
      </w:r>
      <w:r>
        <w:rPr>
          <w:rFonts w:hint="default" w:ascii="Times New Roman" w:hAnsi="Times New Roman" w:cs="Times New Roman"/>
          <w:color w:val="auto"/>
          <w:szCs w:val="24"/>
        </w:rPr>
        <w:fldChar w:fldCharType="end"/>
      </w:r>
    </w:p>
    <w:p w14:paraId="08DB0D23">
      <w:pPr>
        <w:pStyle w:val="28"/>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_Toc4973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三、</w:t>
      </w:r>
      <w:r>
        <w:rPr>
          <w:rFonts w:hint="default" w:ascii="Times New Roman" w:hAnsi="Times New Roman" w:cs="Times New Roman"/>
          <w:color w:val="auto"/>
        </w:rPr>
        <w:t>区域环境质量现状、环境保护目标及评价标准</w:t>
      </w:r>
      <w:r>
        <w:rPr>
          <w:color w:val="auto"/>
        </w:rPr>
        <w:tab/>
      </w:r>
      <w:r>
        <w:rPr>
          <w:color w:val="auto"/>
        </w:rPr>
        <w:fldChar w:fldCharType="begin"/>
      </w:r>
      <w:r>
        <w:rPr>
          <w:color w:val="auto"/>
        </w:rPr>
        <w:instrText xml:space="preserve"> PAGEREF _Toc4973 \h </w:instrText>
      </w:r>
      <w:r>
        <w:rPr>
          <w:color w:val="auto"/>
        </w:rPr>
        <w:fldChar w:fldCharType="separate"/>
      </w:r>
      <w:r>
        <w:rPr>
          <w:color w:val="auto"/>
        </w:rPr>
        <w:t>50</w:t>
      </w:r>
      <w:r>
        <w:rPr>
          <w:color w:val="auto"/>
        </w:rPr>
        <w:fldChar w:fldCharType="end"/>
      </w:r>
      <w:r>
        <w:rPr>
          <w:rFonts w:hint="default" w:ascii="Times New Roman" w:hAnsi="Times New Roman" w:cs="Times New Roman"/>
          <w:color w:val="auto"/>
          <w:szCs w:val="24"/>
        </w:rPr>
        <w:fldChar w:fldCharType="end"/>
      </w:r>
    </w:p>
    <w:p w14:paraId="27F1AF5C">
      <w:pPr>
        <w:pStyle w:val="28"/>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_Toc25628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四、主要环境影响和保护措施</w:t>
      </w:r>
      <w:r>
        <w:rPr>
          <w:color w:val="auto"/>
        </w:rPr>
        <w:tab/>
      </w:r>
      <w:r>
        <w:rPr>
          <w:color w:val="auto"/>
        </w:rPr>
        <w:fldChar w:fldCharType="begin"/>
      </w:r>
      <w:r>
        <w:rPr>
          <w:color w:val="auto"/>
        </w:rPr>
        <w:instrText xml:space="preserve"> PAGEREF _Toc25628 \h </w:instrText>
      </w:r>
      <w:r>
        <w:rPr>
          <w:color w:val="auto"/>
        </w:rPr>
        <w:fldChar w:fldCharType="separate"/>
      </w:r>
      <w:r>
        <w:rPr>
          <w:color w:val="auto"/>
        </w:rPr>
        <w:t>61</w:t>
      </w:r>
      <w:r>
        <w:rPr>
          <w:color w:val="auto"/>
        </w:rPr>
        <w:fldChar w:fldCharType="end"/>
      </w:r>
      <w:r>
        <w:rPr>
          <w:rFonts w:hint="default" w:ascii="Times New Roman" w:hAnsi="Times New Roman" w:cs="Times New Roman"/>
          <w:color w:val="auto"/>
          <w:szCs w:val="24"/>
        </w:rPr>
        <w:fldChar w:fldCharType="end"/>
      </w:r>
    </w:p>
    <w:p w14:paraId="102C585C">
      <w:pPr>
        <w:pStyle w:val="28"/>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_Toc13367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五、环境保护措施监督检查清单</w:t>
      </w:r>
      <w:r>
        <w:rPr>
          <w:color w:val="auto"/>
        </w:rPr>
        <w:tab/>
      </w:r>
      <w:r>
        <w:rPr>
          <w:color w:val="auto"/>
        </w:rPr>
        <w:fldChar w:fldCharType="begin"/>
      </w:r>
      <w:r>
        <w:rPr>
          <w:color w:val="auto"/>
        </w:rPr>
        <w:instrText xml:space="preserve"> PAGEREF _Toc13367 \h </w:instrText>
      </w:r>
      <w:r>
        <w:rPr>
          <w:color w:val="auto"/>
        </w:rPr>
        <w:fldChar w:fldCharType="separate"/>
      </w:r>
      <w:r>
        <w:rPr>
          <w:color w:val="auto"/>
        </w:rPr>
        <w:t>96</w:t>
      </w:r>
      <w:r>
        <w:rPr>
          <w:color w:val="auto"/>
        </w:rPr>
        <w:fldChar w:fldCharType="end"/>
      </w:r>
      <w:r>
        <w:rPr>
          <w:rFonts w:hint="default" w:ascii="Times New Roman" w:hAnsi="Times New Roman" w:cs="Times New Roman"/>
          <w:color w:val="auto"/>
          <w:szCs w:val="24"/>
        </w:rPr>
        <w:fldChar w:fldCharType="end"/>
      </w:r>
    </w:p>
    <w:p w14:paraId="3C7E82CD">
      <w:pPr>
        <w:pStyle w:val="28"/>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_Toc13537 </w:instrText>
      </w:r>
      <w:r>
        <w:rPr>
          <w:rFonts w:hint="default" w:ascii="Times New Roman" w:hAnsi="Times New Roman" w:cs="Times New Roman"/>
          <w:color w:val="auto"/>
          <w:szCs w:val="24"/>
        </w:rPr>
        <w:fldChar w:fldCharType="separate"/>
      </w:r>
      <w:r>
        <w:rPr>
          <w:rFonts w:hint="eastAsia" w:ascii="Times New Roman" w:hAnsi="Times New Roman" w:eastAsia="宋体" w:cs="Times New Roman"/>
          <w:color w:val="auto"/>
          <w:kern w:val="44"/>
          <w:szCs w:val="24"/>
          <w:lang w:val="en-US" w:eastAsia="zh-CN" w:bidi="ar-SA"/>
        </w:rPr>
        <w:t>六、</w:t>
      </w:r>
      <w:r>
        <w:rPr>
          <w:rFonts w:hint="default" w:ascii="Times New Roman" w:hAnsi="Times New Roman" w:eastAsia="宋体" w:cs="Times New Roman"/>
          <w:color w:val="auto"/>
          <w:kern w:val="44"/>
          <w:szCs w:val="24"/>
          <w:lang w:val="en-US" w:eastAsia="zh-CN" w:bidi="ar-SA"/>
        </w:rPr>
        <w:t>结论</w:t>
      </w:r>
      <w:r>
        <w:rPr>
          <w:color w:val="auto"/>
        </w:rPr>
        <w:tab/>
      </w:r>
      <w:r>
        <w:rPr>
          <w:color w:val="auto"/>
        </w:rPr>
        <w:fldChar w:fldCharType="begin"/>
      </w:r>
      <w:r>
        <w:rPr>
          <w:color w:val="auto"/>
        </w:rPr>
        <w:instrText xml:space="preserve"> PAGEREF _Toc13537 \h </w:instrText>
      </w:r>
      <w:r>
        <w:rPr>
          <w:color w:val="auto"/>
        </w:rPr>
        <w:fldChar w:fldCharType="separate"/>
      </w:r>
      <w:r>
        <w:rPr>
          <w:color w:val="auto"/>
        </w:rPr>
        <w:t>104</w:t>
      </w:r>
      <w:r>
        <w:rPr>
          <w:color w:val="auto"/>
        </w:rPr>
        <w:fldChar w:fldCharType="end"/>
      </w:r>
      <w:r>
        <w:rPr>
          <w:rFonts w:hint="default" w:ascii="Times New Roman" w:hAnsi="Times New Roman" w:cs="Times New Roman"/>
          <w:color w:val="auto"/>
          <w:szCs w:val="24"/>
        </w:rPr>
        <w:fldChar w:fldCharType="end"/>
      </w:r>
    </w:p>
    <w:p w14:paraId="34BA7BCD">
      <w:pPr>
        <w:pStyle w:val="28"/>
        <w:tabs>
          <w:tab w:val="right" w:leader="dot" w:pos="8306"/>
        </w:tabs>
        <w:rPr>
          <w:color w:val="auto"/>
        </w:rPr>
      </w:pPr>
      <w:r>
        <w:rPr>
          <w:rFonts w:hint="default" w:ascii="Times New Roman" w:hAnsi="Times New Roman" w:cs="Times New Roman"/>
          <w:color w:val="auto"/>
          <w:szCs w:val="24"/>
        </w:rPr>
        <w:fldChar w:fldCharType="begin"/>
      </w:r>
      <w:r>
        <w:rPr>
          <w:rFonts w:hint="default" w:ascii="Times New Roman" w:hAnsi="Times New Roman" w:cs="Times New Roman"/>
          <w:color w:val="auto"/>
          <w:szCs w:val="24"/>
        </w:rPr>
        <w:instrText xml:space="preserve"> HYPERLINK \l _Toc31138 </w:instrText>
      </w:r>
      <w:r>
        <w:rPr>
          <w:rFonts w:hint="default" w:ascii="Times New Roman" w:hAnsi="Times New Roman" w:cs="Times New Roman"/>
          <w:color w:val="auto"/>
          <w:szCs w:val="24"/>
        </w:rPr>
        <w:fldChar w:fldCharType="separate"/>
      </w:r>
      <w:r>
        <w:rPr>
          <w:rFonts w:hint="default" w:ascii="Times New Roman" w:hAnsi="Times New Roman" w:eastAsia="宋体" w:cs="Times New Roman"/>
          <w:color w:val="auto"/>
          <w:kern w:val="44"/>
          <w:szCs w:val="24"/>
          <w:lang w:val="en-US" w:eastAsia="zh-CN" w:bidi="ar-SA"/>
        </w:rPr>
        <w:t>建设项目污染物排放量汇总表</w:t>
      </w:r>
      <w:r>
        <w:rPr>
          <w:color w:val="auto"/>
        </w:rPr>
        <w:tab/>
      </w:r>
      <w:r>
        <w:rPr>
          <w:color w:val="auto"/>
        </w:rPr>
        <w:fldChar w:fldCharType="begin"/>
      </w:r>
      <w:r>
        <w:rPr>
          <w:color w:val="auto"/>
        </w:rPr>
        <w:instrText xml:space="preserve"> PAGEREF _Toc31138 \h </w:instrText>
      </w:r>
      <w:r>
        <w:rPr>
          <w:color w:val="auto"/>
        </w:rPr>
        <w:fldChar w:fldCharType="separate"/>
      </w:r>
      <w:r>
        <w:rPr>
          <w:color w:val="auto"/>
        </w:rPr>
        <w:t>105</w:t>
      </w:r>
      <w:r>
        <w:rPr>
          <w:color w:val="auto"/>
        </w:rPr>
        <w:fldChar w:fldCharType="end"/>
      </w:r>
      <w:r>
        <w:rPr>
          <w:rFonts w:hint="default" w:ascii="Times New Roman" w:hAnsi="Times New Roman" w:cs="Times New Roman"/>
          <w:color w:val="auto"/>
          <w:szCs w:val="24"/>
        </w:rPr>
        <w:fldChar w:fldCharType="end"/>
      </w:r>
    </w:p>
    <w:p w14:paraId="70F2585B">
      <w:pPr>
        <w:ind w:firstLine="480"/>
        <w:rPr>
          <w:rFonts w:hint="default" w:ascii="Times New Roman" w:hAnsi="Times New Roman" w:cs="Times New Roman"/>
          <w:color w:val="auto"/>
          <w:szCs w:val="24"/>
        </w:rPr>
      </w:pPr>
      <w:r>
        <w:rPr>
          <w:rFonts w:hint="default" w:ascii="Times New Roman" w:hAnsi="Times New Roman" w:cs="Times New Roman"/>
          <w:color w:val="auto"/>
          <w:szCs w:val="24"/>
        </w:rPr>
        <w:fldChar w:fldCharType="end"/>
      </w:r>
    </w:p>
    <w:p w14:paraId="3D0983F1">
      <w:pPr>
        <w:pStyle w:val="2"/>
        <w:rPr>
          <w:rFonts w:hint="default" w:ascii="Times New Roman" w:hAnsi="Times New Roman" w:cs="Times New Roman"/>
          <w:color w:val="auto"/>
          <w:szCs w:val="24"/>
        </w:rPr>
      </w:pPr>
    </w:p>
    <w:p w14:paraId="64989C7F">
      <w:pPr>
        <w:pStyle w:val="2"/>
        <w:rPr>
          <w:rFonts w:hint="default" w:ascii="Times New Roman" w:hAnsi="Times New Roman" w:cs="Times New Roman"/>
          <w:color w:val="auto"/>
          <w:szCs w:val="24"/>
        </w:rPr>
      </w:pPr>
    </w:p>
    <w:p w14:paraId="4CF4351E">
      <w:pPr>
        <w:pStyle w:val="2"/>
        <w:rPr>
          <w:rFonts w:hint="default" w:ascii="Times New Roman" w:hAnsi="Times New Roman" w:cs="Times New Roman"/>
          <w:color w:val="auto"/>
          <w:szCs w:val="24"/>
        </w:rPr>
      </w:pPr>
    </w:p>
    <w:p w14:paraId="3FBB0261">
      <w:pPr>
        <w:pStyle w:val="2"/>
        <w:rPr>
          <w:rFonts w:hint="default" w:ascii="Times New Roman" w:hAnsi="Times New Roman" w:cs="Times New Roman"/>
          <w:color w:val="auto"/>
          <w:szCs w:val="24"/>
        </w:rPr>
      </w:pPr>
    </w:p>
    <w:p w14:paraId="005A3E9B">
      <w:pPr>
        <w:pStyle w:val="2"/>
        <w:rPr>
          <w:rFonts w:hint="default" w:ascii="Times New Roman" w:hAnsi="Times New Roman" w:cs="Times New Roman"/>
          <w:color w:val="auto"/>
          <w:szCs w:val="24"/>
        </w:rPr>
      </w:pPr>
    </w:p>
    <w:p w14:paraId="00FC2C02">
      <w:pPr>
        <w:pStyle w:val="2"/>
        <w:rPr>
          <w:rFonts w:hint="default" w:ascii="Times New Roman" w:hAnsi="Times New Roman" w:cs="Times New Roman"/>
          <w:color w:val="auto"/>
          <w:szCs w:val="24"/>
        </w:rPr>
      </w:pPr>
    </w:p>
    <w:p w14:paraId="0CC5753E">
      <w:pPr>
        <w:pStyle w:val="2"/>
        <w:rPr>
          <w:rFonts w:hint="default" w:ascii="Times New Roman" w:hAnsi="Times New Roman" w:cs="Times New Roman"/>
          <w:color w:val="auto"/>
          <w:szCs w:val="24"/>
        </w:rPr>
      </w:pPr>
    </w:p>
    <w:p w14:paraId="4A642730">
      <w:pPr>
        <w:pStyle w:val="2"/>
        <w:rPr>
          <w:rFonts w:hint="default" w:ascii="Times New Roman" w:hAnsi="Times New Roman" w:cs="Times New Roman"/>
          <w:color w:val="auto"/>
          <w:szCs w:val="24"/>
        </w:rPr>
      </w:pPr>
    </w:p>
    <w:p w14:paraId="4CB32C30">
      <w:pPr>
        <w:pStyle w:val="2"/>
        <w:rPr>
          <w:rFonts w:hint="default" w:ascii="Times New Roman" w:hAnsi="Times New Roman" w:cs="Times New Roman"/>
          <w:color w:val="auto"/>
          <w:szCs w:val="24"/>
        </w:rPr>
      </w:pPr>
    </w:p>
    <w:p w14:paraId="100C9D30">
      <w:pPr>
        <w:pStyle w:val="2"/>
        <w:rPr>
          <w:rFonts w:hint="default" w:ascii="Times New Roman" w:hAnsi="Times New Roman" w:cs="Times New Roman"/>
          <w:color w:val="auto"/>
          <w:szCs w:val="24"/>
        </w:rPr>
      </w:pPr>
    </w:p>
    <w:p w14:paraId="4F9F6F04">
      <w:pPr>
        <w:pStyle w:val="2"/>
        <w:rPr>
          <w:rFonts w:hint="default" w:ascii="Times New Roman" w:hAnsi="Times New Roman" w:cs="Times New Roman"/>
          <w:color w:val="auto"/>
          <w:szCs w:val="24"/>
        </w:rPr>
      </w:pPr>
    </w:p>
    <w:p w14:paraId="7BE6F9A8">
      <w:pPr>
        <w:pStyle w:val="2"/>
        <w:rPr>
          <w:rFonts w:hint="default" w:ascii="Times New Roman" w:hAnsi="Times New Roman" w:cs="Times New Roman"/>
          <w:color w:val="auto"/>
          <w:szCs w:val="24"/>
        </w:rPr>
      </w:pPr>
    </w:p>
    <w:p w14:paraId="3FE23262">
      <w:pPr>
        <w:pStyle w:val="2"/>
        <w:rPr>
          <w:rFonts w:hint="default" w:ascii="Times New Roman" w:hAnsi="Times New Roman" w:cs="Times New Roman"/>
          <w:color w:val="auto"/>
          <w:szCs w:val="24"/>
        </w:rPr>
      </w:pPr>
    </w:p>
    <w:p w14:paraId="6E828B9D">
      <w:pPr>
        <w:pStyle w:val="2"/>
        <w:rPr>
          <w:rFonts w:hint="default" w:ascii="Times New Roman" w:hAnsi="Times New Roman" w:cs="Times New Roman"/>
          <w:color w:val="auto"/>
          <w:szCs w:val="24"/>
        </w:rPr>
      </w:pPr>
    </w:p>
    <w:p w14:paraId="6333D3EE">
      <w:pPr>
        <w:pStyle w:val="2"/>
        <w:rPr>
          <w:rFonts w:hint="default" w:ascii="Times New Roman" w:hAnsi="Times New Roman" w:cs="Times New Roman"/>
          <w:color w:val="auto"/>
          <w:szCs w:val="24"/>
        </w:rPr>
      </w:pPr>
    </w:p>
    <w:p w14:paraId="6DD2A5DC">
      <w:pPr>
        <w:pStyle w:val="2"/>
        <w:rPr>
          <w:rFonts w:hint="default" w:ascii="Times New Roman" w:hAnsi="Times New Roman" w:cs="Times New Roman"/>
          <w:color w:val="auto"/>
          <w:szCs w:val="24"/>
        </w:rPr>
      </w:pPr>
    </w:p>
    <w:p w14:paraId="5812CEEE">
      <w:pPr>
        <w:pStyle w:val="2"/>
        <w:rPr>
          <w:rFonts w:hint="default" w:ascii="Times New Roman" w:hAnsi="Times New Roman" w:cs="Times New Roman"/>
          <w:color w:val="auto"/>
          <w:szCs w:val="24"/>
        </w:rPr>
      </w:pPr>
    </w:p>
    <w:p w14:paraId="18DEFCF6">
      <w:pPr>
        <w:pStyle w:val="2"/>
        <w:rPr>
          <w:rFonts w:hint="default" w:ascii="Times New Roman" w:hAnsi="Times New Roman" w:cs="Times New Roman"/>
          <w:color w:val="auto"/>
          <w:szCs w:val="24"/>
        </w:rPr>
      </w:pPr>
    </w:p>
    <w:p w14:paraId="01B7E981">
      <w:pPr>
        <w:pStyle w:val="2"/>
        <w:rPr>
          <w:rFonts w:hint="default" w:ascii="Times New Roman" w:hAnsi="Times New Roman" w:cs="Times New Roman"/>
          <w:color w:val="auto"/>
          <w:szCs w:val="24"/>
        </w:rPr>
      </w:pPr>
    </w:p>
    <w:p w14:paraId="6980A241">
      <w:pPr>
        <w:pStyle w:val="2"/>
        <w:rPr>
          <w:rFonts w:hint="default" w:ascii="Times New Roman" w:hAnsi="Times New Roman" w:cs="Times New Roman"/>
          <w:color w:val="auto"/>
          <w:szCs w:val="24"/>
        </w:rPr>
      </w:pPr>
    </w:p>
    <w:p w14:paraId="2E87D126">
      <w:pPr>
        <w:ind w:left="0" w:leftChars="0" w:firstLine="0" w:firstLineChars="0"/>
        <w:rPr>
          <w:rFonts w:hint="default" w:ascii="Times New Roman" w:hAnsi="Times New Roman" w:cs="Times New Roman"/>
          <w:b/>
          <w:bCs/>
          <w:color w:val="auto"/>
          <w:sz w:val="28"/>
          <w:szCs w:val="28"/>
          <w:highlight w:val="none"/>
          <w:lang w:eastAsia="zh-CN"/>
        </w:rPr>
      </w:pPr>
    </w:p>
    <w:p w14:paraId="31A466A7">
      <w:pPr>
        <w:ind w:left="0" w:leftChars="0" w:firstLine="0" w:firstLineChars="0"/>
        <w:rPr>
          <w:rFonts w:hint="default" w:ascii="Times New Roman" w:hAnsi="Times New Roman" w:cs="Times New Roman"/>
          <w:b/>
          <w:bCs/>
          <w:color w:val="auto"/>
          <w:sz w:val="28"/>
          <w:szCs w:val="28"/>
          <w:highlight w:val="none"/>
          <w:lang w:eastAsia="zh-CN"/>
        </w:rPr>
      </w:pPr>
      <w:r>
        <w:rPr>
          <w:rFonts w:hint="default" w:ascii="Times New Roman" w:hAnsi="Times New Roman" w:cs="Times New Roman"/>
          <w:b/>
          <w:bCs/>
          <w:color w:val="auto"/>
          <w:sz w:val="28"/>
          <w:szCs w:val="28"/>
          <w:highlight w:val="none"/>
          <w:lang w:eastAsia="zh-CN"/>
        </w:rPr>
        <w:t>附件</w:t>
      </w:r>
    </w:p>
    <w:p w14:paraId="446B5C90">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eastAsia="zh-CN"/>
        </w:rPr>
        <w:t>附件</w:t>
      </w:r>
      <w:r>
        <w:rPr>
          <w:rFonts w:hint="default" w:ascii="Times New Roman" w:hAnsi="Times New Roman" w:cs="Times New Roman"/>
          <w:color w:val="auto"/>
          <w:szCs w:val="24"/>
          <w:highlight w:val="none"/>
          <w:lang w:val="en-US" w:eastAsia="zh-CN"/>
        </w:rPr>
        <w:t>1  委托书</w:t>
      </w:r>
    </w:p>
    <w:p w14:paraId="5FF51221">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附件2  备案证</w:t>
      </w:r>
    </w:p>
    <w:p w14:paraId="7A096FA2">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附件3  营业执照</w:t>
      </w:r>
      <w:r>
        <w:rPr>
          <w:rFonts w:hint="eastAsia" w:cs="Times New Roman"/>
          <w:color w:val="auto"/>
          <w:szCs w:val="24"/>
          <w:highlight w:val="none"/>
          <w:lang w:val="en-US" w:eastAsia="zh-CN"/>
        </w:rPr>
        <w:t>及法人身份证</w:t>
      </w:r>
    </w:p>
    <w:p w14:paraId="420F3EAD">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 xml:space="preserve">附件4  </w:t>
      </w:r>
      <w:r>
        <w:rPr>
          <w:rFonts w:hint="eastAsia" w:cs="Times New Roman"/>
          <w:color w:val="auto"/>
          <w:szCs w:val="24"/>
          <w:highlight w:val="none"/>
          <w:lang w:val="en-US" w:eastAsia="zh-CN"/>
        </w:rPr>
        <w:t>自然资源局三区三</w:t>
      </w:r>
      <w:r>
        <w:rPr>
          <w:rFonts w:hint="default" w:ascii="Times New Roman" w:hAnsi="Times New Roman" w:cs="Times New Roman"/>
          <w:color w:val="auto"/>
          <w:szCs w:val="24"/>
          <w:highlight w:val="none"/>
          <w:lang w:val="en-US" w:eastAsia="zh-CN"/>
        </w:rPr>
        <w:t>线查询</w:t>
      </w:r>
    </w:p>
    <w:p w14:paraId="511ABD2D">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附件5</w:t>
      </w:r>
      <w:r>
        <w:rPr>
          <w:rFonts w:hint="eastAsia" w:cs="Times New Roman"/>
          <w:color w:val="auto"/>
          <w:szCs w:val="24"/>
          <w:highlight w:val="none"/>
          <w:lang w:val="en-US" w:eastAsia="zh-CN"/>
        </w:rPr>
        <w:t xml:space="preserve"> </w:t>
      </w:r>
      <w:r>
        <w:rPr>
          <w:rFonts w:hint="default" w:ascii="Times New Roman" w:hAnsi="Times New Roman" w:cs="Times New Roman"/>
          <w:color w:val="auto"/>
          <w:szCs w:val="24"/>
          <w:highlight w:val="none"/>
          <w:lang w:val="en-US" w:eastAsia="zh-CN"/>
        </w:rPr>
        <w:t xml:space="preserve"> </w:t>
      </w:r>
      <w:r>
        <w:rPr>
          <w:rFonts w:hint="eastAsia" w:cs="Times New Roman"/>
          <w:color w:val="auto"/>
          <w:szCs w:val="24"/>
          <w:highlight w:val="none"/>
          <w:lang w:val="en-US" w:eastAsia="zh-CN"/>
        </w:rPr>
        <w:t>北城街道</w:t>
      </w:r>
      <w:r>
        <w:rPr>
          <w:rFonts w:hint="default" w:ascii="Times New Roman" w:hAnsi="Times New Roman" w:cs="Times New Roman"/>
          <w:color w:val="auto"/>
          <w:szCs w:val="24"/>
          <w:highlight w:val="none"/>
          <w:lang w:val="en-US" w:eastAsia="zh-CN"/>
        </w:rPr>
        <w:t>选址意见</w:t>
      </w:r>
    </w:p>
    <w:p w14:paraId="45483306">
      <w:pPr>
        <w:rPr>
          <w:rFonts w:hint="default" w:ascii="Times New Roman" w:hAnsi="Times New Roman"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附件6  三线一单管控单元查询结果图</w:t>
      </w:r>
    </w:p>
    <w:p w14:paraId="64C06451">
      <w:pPr>
        <w:rPr>
          <w:color w:val="auto"/>
          <w:highlight w:val="none"/>
        </w:rPr>
      </w:pPr>
      <w:r>
        <w:rPr>
          <w:rFonts w:hint="default" w:ascii="Times New Roman" w:hAnsi="Times New Roman" w:cs="Times New Roman"/>
          <w:color w:val="auto"/>
          <w:szCs w:val="24"/>
          <w:highlight w:val="none"/>
          <w:lang w:val="en-US" w:eastAsia="zh-CN"/>
        </w:rPr>
        <w:t>附件7  项目土地承包合同</w:t>
      </w:r>
    </w:p>
    <w:p w14:paraId="435E750F">
      <w:pPr>
        <w:rPr>
          <w:rFonts w:hint="eastAsia" w:ascii="Times New Roman" w:hAnsi="Times New Roman"/>
          <w:color w:val="auto"/>
          <w:highlight w:val="none"/>
          <w:lang w:eastAsia="zh-CN"/>
        </w:rPr>
      </w:pPr>
      <w:r>
        <w:rPr>
          <w:rFonts w:hint="eastAsia" w:ascii="Times New Roman" w:hAnsi="Times New Roman"/>
          <w:color w:val="auto"/>
          <w:highlight w:val="none"/>
        </w:rPr>
        <w:t xml:space="preserve">附件8 </w:t>
      </w:r>
      <w:r>
        <w:rPr>
          <w:rFonts w:hint="eastAsia" w:ascii="Times New Roman" w:hAnsi="Times New Roman"/>
          <w:color w:val="auto"/>
          <w:highlight w:val="none"/>
          <w:lang w:val="en-US" w:eastAsia="zh-CN"/>
        </w:rPr>
        <w:t xml:space="preserve"> 项目引用现状数据监测报告</w:t>
      </w:r>
    </w:p>
    <w:p w14:paraId="262F1D5C">
      <w:pPr>
        <w:rPr>
          <w:rFonts w:hint="default" w:ascii="Times New Roman" w:hAnsi="Times New Roman"/>
          <w:color w:val="auto"/>
          <w:highlight w:val="none"/>
          <w:lang w:val="en-US"/>
        </w:rPr>
      </w:pPr>
      <w:r>
        <w:rPr>
          <w:rFonts w:hint="eastAsia" w:ascii="Times New Roman" w:hAnsi="Times New Roman"/>
          <w:color w:val="auto"/>
          <w:highlight w:val="none"/>
        </w:rPr>
        <w:t>附件9</w:t>
      </w:r>
      <w:r>
        <w:rPr>
          <w:rFonts w:hint="eastAsia" w:ascii="Times New Roman" w:hAnsi="Times New Roman"/>
          <w:color w:val="auto"/>
          <w:highlight w:val="none"/>
          <w:lang w:val="en-US" w:eastAsia="zh-CN"/>
        </w:rPr>
        <w:t xml:space="preserve"> </w:t>
      </w:r>
      <w:r>
        <w:rPr>
          <w:rFonts w:hint="eastAsia" w:ascii="Times New Roman" w:hAnsi="Times New Roman"/>
          <w:color w:val="auto"/>
          <w:highlight w:val="none"/>
        </w:rPr>
        <w:t xml:space="preserve"> </w:t>
      </w:r>
      <w:r>
        <w:rPr>
          <w:rFonts w:hint="eastAsia" w:ascii="Times New Roman" w:hAnsi="Times New Roman"/>
          <w:color w:val="auto"/>
          <w:highlight w:val="none"/>
          <w:lang w:val="en-US" w:eastAsia="zh-CN"/>
        </w:rPr>
        <w:t>项目引用废气（甲苯）监测报告</w:t>
      </w:r>
    </w:p>
    <w:p w14:paraId="4522C449">
      <w:pP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附件10 可发性聚苯乙烯安全技术说明书</w:t>
      </w:r>
    </w:p>
    <w:p w14:paraId="75412A95">
      <w:pP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附件11 固体生物质颗粒燃料检测报告</w:t>
      </w:r>
    </w:p>
    <w:p w14:paraId="5DE9CF26">
      <w:pPr>
        <w:rPr>
          <w:rFonts w:hint="eastAsia" w:ascii="Times New Roman" w:hAnsi="Times New Roman"/>
          <w:color w:val="auto"/>
          <w:highlight w:val="none"/>
        </w:rPr>
      </w:pPr>
      <w:r>
        <w:rPr>
          <w:rFonts w:hint="eastAsia" w:ascii="Times New Roman" w:hAnsi="Times New Roman"/>
          <w:color w:val="auto"/>
          <w:highlight w:val="none"/>
        </w:rPr>
        <w:t>附件12 市政府关于取消西河水库饮用功能的文件</w:t>
      </w:r>
    </w:p>
    <w:p w14:paraId="430E73AB">
      <w:pPr>
        <w:rPr>
          <w:rFonts w:hint="default" w:ascii="Times New Roman" w:hAnsi="Times New Roman"/>
          <w:color w:val="auto"/>
          <w:highlight w:val="none"/>
          <w:lang w:val="en-US" w:eastAsia="zh-CN"/>
        </w:rPr>
      </w:pPr>
      <w:r>
        <w:rPr>
          <w:rFonts w:hint="eastAsia" w:ascii="Times New Roman" w:hAnsi="Times New Roman"/>
          <w:color w:val="auto"/>
          <w:highlight w:val="none"/>
        </w:rPr>
        <w:t>附件1</w:t>
      </w:r>
      <w:r>
        <w:rPr>
          <w:rFonts w:hint="eastAsia" w:ascii="Times New Roman" w:hAnsi="Times New Roman"/>
          <w:color w:val="auto"/>
          <w:highlight w:val="none"/>
          <w:lang w:val="en-US" w:eastAsia="zh-CN"/>
        </w:rPr>
        <w:t>3</w:t>
      </w:r>
      <w:r>
        <w:rPr>
          <w:rFonts w:hint="eastAsia" w:ascii="Times New Roman" w:hAnsi="Times New Roman"/>
          <w:color w:val="auto"/>
          <w:highlight w:val="none"/>
        </w:rPr>
        <w:t xml:space="preserve"> </w:t>
      </w:r>
      <w:r>
        <w:rPr>
          <w:rFonts w:hint="default" w:ascii="Times New Roman" w:hAnsi="Times New Roman"/>
          <w:color w:val="auto"/>
          <w:highlight w:val="none"/>
          <w:lang w:val="en-US" w:eastAsia="zh-CN"/>
        </w:rPr>
        <w:t>审核审定表</w:t>
      </w:r>
    </w:p>
    <w:p w14:paraId="7AEFF63C">
      <w:pP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附件14 技术咨询合同</w:t>
      </w:r>
    </w:p>
    <w:p w14:paraId="45BAABAC">
      <w:pP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附件15 专家意见及签到表</w:t>
      </w:r>
    </w:p>
    <w:p w14:paraId="7EE8E920">
      <w:pP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附件16 对照修改清单</w:t>
      </w:r>
    </w:p>
    <w:p w14:paraId="1373F50A">
      <w:pPr>
        <w:pStyle w:val="43"/>
        <w:rPr>
          <w:rFonts w:hint="eastAsia"/>
          <w:color w:val="auto"/>
          <w:lang w:eastAsia="zh-CN"/>
        </w:rPr>
      </w:pPr>
    </w:p>
    <w:p w14:paraId="2331A10D">
      <w:pPr>
        <w:ind w:left="0" w:leftChars="0" w:firstLine="0" w:firstLineChars="0"/>
        <w:rPr>
          <w:rFonts w:hint="eastAsia"/>
          <w:b/>
          <w:bCs/>
          <w:color w:val="auto"/>
          <w:sz w:val="28"/>
          <w:szCs w:val="28"/>
          <w:highlight w:val="none"/>
          <w:lang w:eastAsia="zh-CN"/>
        </w:rPr>
      </w:pPr>
      <w:r>
        <w:rPr>
          <w:rFonts w:hint="eastAsia"/>
          <w:b/>
          <w:bCs/>
          <w:color w:val="auto"/>
          <w:sz w:val="28"/>
          <w:szCs w:val="28"/>
          <w:highlight w:val="none"/>
          <w:lang w:eastAsia="zh-CN"/>
        </w:rPr>
        <w:t>附图</w:t>
      </w:r>
    </w:p>
    <w:p w14:paraId="4B341978">
      <w:pPr>
        <w:rPr>
          <w:rFonts w:hint="eastAsia"/>
          <w:color w:val="auto"/>
          <w:highlight w:val="none"/>
          <w:lang w:val="en-US" w:eastAsia="zh-CN"/>
        </w:rPr>
      </w:pPr>
      <w:r>
        <w:rPr>
          <w:rFonts w:hint="eastAsia"/>
          <w:color w:val="auto"/>
          <w:highlight w:val="none"/>
          <w:lang w:val="en-US" w:eastAsia="zh-CN"/>
        </w:rPr>
        <w:t>附图1 地理位置图</w:t>
      </w:r>
    </w:p>
    <w:p w14:paraId="6B723F75">
      <w:pPr>
        <w:rPr>
          <w:rFonts w:hint="default"/>
          <w:color w:val="auto"/>
          <w:highlight w:val="none"/>
          <w:lang w:eastAsia="zh-CN"/>
        </w:rPr>
      </w:pPr>
      <w:r>
        <w:rPr>
          <w:rFonts w:hint="default"/>
          <w:color w:val="auto"/>
          <w:highlight w:val="none"/>
          <w:lang w:eastAsia="zh-CN"/>
        </w:rPr>
        <w:t>附图2 项目区水系图</w:t>
      </w:r>
    </w:p>
    <w:p w14:paraId="16A9AEF8">
      <w:pPr>
        <w:rPr>
          <w:rFonts w:hint="default"/>
          <w:color w:val="auto"/>
          <w:highlight w:val="none"/>
          <w:lang w:eastAsia="zh-CN"/>
        </w:rPr>
      </w:pPr>
      <w:r>
        <w:rPr>
          <w:rFonts w:hint="default"/>
          <w:color w:val="auto"/>
          <w:highlight w:val="none"/>
          <w:lang w:eastAsia="zh-CN"/>
        </w:rPr>
        <w:t>附图3 平面布置图</w:t>
      </w:r>
    </w:p>
    <w:p w14:paraId="2EC8C453">
      <w:pPr>
        <w:rPr>
          <w:rFonts w:hint="default"/>
          <w:color w:val="auto"/>
          <w:lang w:val="en-US" w:eastAsia="zh-CN"/>
        </w:rPr>
      </w:pPr>
      <w:r>
        <w:rPr>
          <w:rFonts w:hint="default"/>
          <w:color w:val="auto"/>
          <w:highlight w:val="none"/>
          <w:lang w:eastAsia="zh-CN"/>
        </w:rPr>
        <w:t xml:space="preserve">附图4 </w:t>
      </w:r>
      <w:r>
        <w:rPr>
          <w:rFonts w:hint="eastAsia"/>
          <w:color w:val="auto"/>
          <w:highlight w:val="none"/>
          <w:lang w:val="en-US" w:eastAsia="zh-CN"/>
        </w:rPr>
        <w:t>项目分区防渗图</w:t>
      </w:r>
      <w:bookmarkStart w:id="2" w:name="_Toc13225"/>
    </w:p>
    <w:p w14:paraId="656EBB59">
      <w:pPr>
        <w:rPr>
          <w:rFonts w:hint="default"/>
          <w:color w:val="auto"/>
          <w:highlight w:val="none"/>
          <w:lang w:val="en-US" w:eastAsia="zh-CN"/>
        </w:rPr>
      </w:pPr>
      <w:r>
        <w:rPr>
          <w:rFonts w:hint="default"/>
          <w:color w:val="auto"/>
          <w:highlight w:val="none"/>
          <w:lang w:val="en-US" w:eastAsia="zh-CN"/>
        </w:rPr>
        <w:t>附图5 项目周边保护目标分布图</w:t>
      </w:r>
    </w:p>
    <w:p w14:paraId="1B0AC169">
      <w:pPr>
        <w:rPr>
          <w:rFonts w:hint="default"/>
          <w:color w:val="auto"/>
          <w:highlight w:val="none"/>
          <w:lang w:val="en-US" w:eastAsia="zh-CN"/>
        </w:rPr>
      </w:pPr>
      <w:r>
        <w:rPr>
          <w:rFonts w:hint="default"/>
          <w:color w:val="auto"/>
          <w:highlight w:val="none"/>
          <w:lang w:val="en-US" w:eastAsia="zh-CN"/>
        </w:rPr>
        <w:t>附图6 项目与云南省主体功能区规划关系示意图</w:t>
      </w:r>
    </w:p>
    <w:p w14:paraId="708EBFF0">
      <w:pPr>
        <w:pStyle w:val="11"/>
        <w:rPr>
          <w:rFonts w:hint="default" w:ascii="Times New Roman" w:hAnsi="Times New Roman" w:eastAsia="宋体" w:cs="黑体"/>
          <w:color w:val="auto"/>
          <w:kern w:val="2"/>
          <w:sz w:val="24"/>
          <w:szCs w:val="24"/>
          <w:highlight w:val="none"/>
          <w:lang w:val="en-US" w:eastAsia="zh-CN" w:bidi="ar-SA"/>
        </w:rPr>
        <w:sectPr>
          <w:footerReference r:id="rId7" w:type="default"/>
          <w:pgSz w:w="11906" w:h="16838"/>
          <w:pgMar w:top="1440" w:right="1800" w:bottom="1440" w:left="1800" w:header="851" w:footer="992" w:gutter="0"/>
          <w:pgNumType w:fmt="decimal" w:start="1"/>
          <w:cols w:space="720" w:num="1"/>
          <w:docGrid w:type="lines" w:linePitch="312" w:charSpace="0"/>
        </w:sectPr>
      </w:pPr>
      <w:r>
        <w:rPr>
          <w:rFonts w:hint="default" w:ascii="Times New Roman" w:hAnsi="Times New Roman" w:eastAsia="宋体" w:cs="黑体"/>
          <w:color w:val="auto"/>
          <w:kern w:val="2"/>
          <w:sz w:val="24"/>
          <w:szCs w:val="24"/>
          <w:highlight w:val="none"/>
          <w:lang w:val="en-US" w:eastAsia="zh-CN" w:bidi="ar-SA"/>
        </w:rPr>
        <w:t>附图7  项目与北城街道国土空间分布位置关系图</w:t>
      </w:r>
    </w:p>
    <w:p w14:paraId="161C6CDD">
      <w:pPr>
        <w:pStyle w:val="4"/>
        <w:numPr>
          <w:ilvl w:val="0"/>
          <w:numId w:val="0"/>
        </w:numPr>
        <w:ind w:firstLine="0" w:firstLineChars="0"/>
        <w:jc w:val="center"/>
        <w:rPr>
          <w:rFonts w:hint="default" w:ascii="Times New Roman" w:hAnsi="Times New Roman" w:cs="Times New Roman"/>
          <w:color w:val="auto"/>
        </w:rPr>
      </w:pPr>
      <w:r>
        <w:rPr>
          <w:rFonts w:hint="default" w:ascii="Times New Roman" w:hAnsi="Times New Roman" w:eastAsia="宋体" w:cs="Times New Roman"/>
          <w:b/>
          <w:color w:val="auto"/>
          <w:kern w:val="44"/>
          <w:sz w:val="28"/>
          <w:szCs w:val="24"/>
          <w:lang w:val="en-US" w:eastAsia="zh-CN" w:bidi="ar-SA"/>
        </w:rPr>
        <w:t>一、</w:t>
      </w:r>
      <w:r>
        <w:rPr>
          <w:rFonts w:hint="default" w:ascii="Times New Roman" w:hAnsi="Times New Roman" w:cs="Times New Roman"/>
          <w:color w:val="auto"/>
        </w:rPr>
        <w:t>建设项目基本情况</w:t>
      </w:r>
      <w:bookmarkEnd w:id="2"/>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1883"/>
        <w:gridCol w:w="1687"/>
        <w:gridCol w:w="3412"/>
      </w:tblGrid>
      <w:tr w14:paraId="442C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902" w:type="pct"/>
            <w:vAlign w:val="center"/>
          </w:tcPr>
          <w:p w14:paraId="04CAEE65">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建设项目名称</w:t>
            </w:r>
          </w:p>
        </w:tc>
        <w:tc>
          <w:tcPr>
            <w:tcW w:w="4097" w:type="pct"/>
            <w:gridSpan w:val="3"/>
            <w:vAlign w:val="center"/>
          </w:tcPr>
          <w:p w14:paraId="0534A6FA">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eastAsia="zh-CN"/>
              </w:rPr>
              <w:t>轻花工贸泡沫颗粒生产线项目</w:t>
            </w:r>
          </w:p>
        </w:tc>
      </w:tr>
      <w:tr w14:paraId="7565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02" w:type="pct"/>
            <w:vAlign w:val="center"/>
          </w:tcPr>
          <w:p w14:paraId="6714D221">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4097" w:type="pct"/>
            <w:gridSpan w:val="3"/>
            <w:vAlign w:val="center"/>
          </w:tcPr>
          <w:p w14:paraId="4E4F629E">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eastAsia" w:cs="Times New Roman"/>
                <w:color w:val="auto"/>
                <w:lang w:val="en-US" w:eastAsia="zh-CN"/>
              </w:rPr>
              <w:t>2506-530402-04-05-163903</w:t>
            </w:r>
          </w:p>
        </w:tc>
      </w:tr>
      <w:tr w14:paraId="514A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902" w:type="pct"/>
            <w:vAlign w:val="center"/>
          </w:tcPr>
          <w:p w14:paraId="27134B80">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建设单位联系人</w:t>
            </w:r>
          </w:p>
        </w:tc>
        <w:tc>
          <w:tcPr>
            <w:tcW w:w="1105" w:type="pct"/>
            <w:vAlign w:val="center"/>
          </w:tcPr>
          <w:p w14:paraId="372A9DA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eastAsia="宋体" w:cs="Times New Roman"/>
                <w:color w:val="auto"/>
                <w:lang w:val="en-US" w:eastAsia="zh-CN"/>
              </w:rPr>
            </w:pPr>
            <w:r>
              <w:rPr>
                <w:rFonts w:hint="eastAsia" w:eastAsia="宋体" w:cs="Times New Roman"/>
                <w:color w:val="auto"/>
                <w:lang w:val="en-US" w:eastAsia="zh-CN"/>
              </w:rPr>
              <w:t>卢铁中</w:t>
            </w:r>
          </w:p>
        </w:tc>
        <w:tc>
          <w:tcPr>
            <w:tcW w:w="990" w:type="pct"/>
            <w:vAlign w:val="center"/>
          </w:tcPr>
          <w:p w14:paraId="50DD24F6">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eastAsia="宋体" w:cs="Times New Roman"/>
                <w:color w:val="auto"/>
                <w:lang w:val="en-US" w:eastAsia="zh-CN"/>
              </w:rPr>
            </w:pPr>
            <w:r>
              <w:rPr>
                <w:rFonts w:hint="default" w:eastAsia="宋体" w:cs="Times New Roman"/>
                <w:color w:val="auto"/>
                <w:lang w:val="en-US" w:eastAsia="zh-CN"/>
              </w:rPr>
              <w:t>联系方式</w:t>
            </w:r>
          </w:p>
        </w:tc>
        <w:tc>
          <w:tcPr>
            <w:tcW w:w="2001" w:type="pct"/>
            <w:vAlign w:val="center"/>
          </w:tcPr>
          <w:p w14:paraId="1BB3A14B">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eastAsia="宋体" w:cs="Times New Roman"/>
                <w:color w:val="auto"/>
                <w:lang w:val="en-US" w:eastAsia="zh-CN"/>
              </w:rPr>
            </w:pPr>
            <w:r>
              <w:rPr>
                <w:rFonts w:hint="eastAsia" w:eastAsia="宋体" w:cs="Times New Roman"/>
                <w:color w:val="auto"/>
                <w:lang w:val="en-US" w:eastAsia="zh-CN"/>
              </w:rPr>
              <w:t>18737185358</w:t>
            </w:r>
          </w:p>
        </w:tc>
      </w:tr>
      <w:tr w14:paraId="7BCF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902" w:type="pct"/>
            <w:vAlign w:val="center"/>
          </w:tcPr>
          <w:p w14:paraId="66CC943F">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建设地点</w:t>
            </w:r>
          </w:p>
        </w:tc>
        <w:tc>
          <w:tcPr>
            <w:tcW w:w="4097" w:type="pct"/>
            <w:gridSpan w:val="3"/>
            <w:vAlign w:val="center"/>
          </w:tcPr>
          <w:p w14:paraId="41E8E980">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eastAsia="zh-CN"/>
              </w:rPr>
            </w:pPr>
            <w:r>
              <w:rPr>
                <w:rFonts w:hint="eastAsia" w:cs="Times New Roman"/>
                <w:color w:val="auto"/>
                <w:lang w:eastAsia="zh-CN"/>
              </w:rPr>
              <w:t>云南省玉溪市红塔区北城街道刺桐关社区一组岔箐脑</w:t>
            </w:r>
          </w:p>
        </w:tc>
      </w:tr>
      <w:tr w14:paraId="488B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902" w:type="pct"/>
            <w:vAlign w:val="center"/>
          </w:tcPr>
          <w:p w14:paraId="5905E507">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地理坐标</w:t>
            </w:r>
          </w:p>
        </w:tc>
        <w:tc>
          <w:tcPr>
            <w:tcW w:w="4097" w:type="pct"/>
            <w:gridSpan w:val="3"/>
            <w:vAlign w:val="center"/>
          </w:tcPr>
          <w:p w14:paraId="3D4FC8FB">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w:t>
            </w:r>
            <w:r>
              <w:rPr>
                <w:rFonts w:hint="eastAsia"/>
                <w:color w:val="auto"/>
                <w:lang w:eastAsia="zh-CN"/>
              </w:rPr>
              <w:t>东经</w:t>
            </w:r>
            <w:r>
              <w:rPr>
                <w:rFonts w:hint="eastAsia" w:cs="Times New Roman"/>
                <w:color w:val="auto"/>
                <w:u w:val="single"/>
                <w:lang w:eastAsia="zh-CN"/>
              </w:rPr>
              <w:t>102</w:t>
            </w:r>
            <w:r>
              <w:rPr>
                <w:rFonts w:hint="default" w:ascii="Times New Roman" w:hAnsi="Times New Roman" w:cs="Times New Roman"/>
                <w:color w:val="auto"/>
                <w:u w:val="single"/>
              </w:rPr>
              <w:t xml:space="preserve"> </w:t>
            </w:r>
            <w:r>
              <w:rPr>
                <w:rFonts w:hint="default" w:ascii="Times New Roman" w:hAnsi="Times New Roman" w:cs="Times New Roman"/>
                <w:color w:val="auto"/>
              </w:rPr>
              <w:t>度</w:t>
            </w:r>
            <w:r>
              <w:rPr>
                <w:rFonts w:hint="eastAsia" w:cs="Times New Roman"/>
                <w:color w:val="auto"/>
                <w:u w:val="single"/>
                <w:lang w:val="en-US" w:eastAsia="zh-CN"/>
              </w:rPr>
              <w:t>33</w:t>
            </w:r>
            <w:r>
              <w:rPr>
                <w:rFonts w:hint="default" w:ascii="Times New Roman" w:hAnsi="Times New Roman" w:cs="Times New Roman"/>
                <w:color w:val="auto"/>
              </w:rPr>
              <w:t>分</w:t>
            </w:r>
            <w:r>
              <w:rPr>
                <w:rFonts w:hint="eastAsia" w:cs="Times New Roman"/>
                <w:color w:val="auto"/>
                <w:u w:val="single"/>
                <w:lang w:val="en-US" w:eastAsia="zh-CN"/>
              </w:rPr>
              <w:t>30.645</w:t>
            </w:r>
            <w:r>
              <w:rPr>
                <w:rFonts w:hint="default" w:ascii="Times New Roman" w:hAnsi="Times New Roman" w:cs="Times New Roman"/>
                <w:color w:val="auto"/>
              </w:rPr>
              <w:t>秒，</w:t>
            </w:r>
            <w:r>
              <w:rPr>
                <w:rFonts w:hint="eastAsia" w:cs="Times New Roman"/>
                <w:color w:val="auto"/>
                <w:lang w:eastAsia="zh-CN"/>
              </w:rPr>
              <w:t>北纬</w:t>
            </w:r>
            <w:r>
              <w:rPr>
                <w:rFonts w:hint="default" w:ascii="Times New Roman" w:hAnsi="Times New Roman" w:cs="Times New Roman"/>
                <w:color w:val="auto"/>
                <w:u w:val="single"/>
              </w:rPr>
              <w:t>24</w:t>
            </w:r>
            <w:r>
              <w:rPr>
                <w:rFonts w:hint="default" w:ascii="Times New Roman" w:hAnsi="Times New Roman" w:cs="Times New Roman"/>
                <w:color w:val="auto"/>
              </w:rPr>
              <w:t>度</w:t>
            </w:r>
            <w:r>
              <w:rPr>
                <w:rFonts w:hint="eastAsia" w:cs="Times New Roman"/>
                <w:color w:val="auto"/>
                <w:u w:val="single"/>
                <w:lang w:val="en-US" w:eastAsia="zh-CN"/>
              </w:rPr>
              <w:t>31</w:t>
            </w:r>
            <w:r>
              <w:rPr>
                <w:rFonts w:hint="default" w:ascii="Times New Roman" w:hAnsi="Times New Roman" w:cs="Times New Roman"/>
                <w:color w:val="auto"/>
              </w:rPr>
              <w:t>分</w:t>
            </w:r>
            <w:r>
              <w:rPr>
                <w:rFonts w:hint="eastAsia" w:cs="Times New Roman"/>
                <w:color w:val="auto"/>
                <w:u w:val="single"/>
                <w:lang w:val="en-US" w:eastAsia="zh-CN"/>
              </w:rPr>
              <w:t>57.177</w:t>
            </w:r>
            <w:r>
              <w:rPr>
                <w:rFonts w:hint="default" w:ascii="Times New Roman" w:hAnsi="Times New Roman" w:cs="Times New Roman"/>
                <w:color w:val="auto"/>
              </w:rPr>
              <w:t>秒）</w:t>
            </w:r>
          </w:p>
        </w:tc>
      </w:tr>
      <w:tr w14:paraId="0B4A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902" w:type="pct"/>
            <w:vAlign w:val="center"/>
          </w:tcPr>
          <w:p w14:paraId="749B3D20">
            <w:pPr>
              <w:keepNext w:val="0"/>
              <w:keepLines/>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国民经济</w:t>
            </w:r>
          </w:p>
          <w:p w14:paraId="7B99ED1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w:t>
            </w:r>
          </w:p>
        </w:tc>
        <w:tc>
          <w:tcPr>
            <w:tcW w:w="1105" w:type="pct"/>
            <w:vAlign w:val="center"/>
          </w:tcPr>
          <w:p w14:paraId="5FDFCC99">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cs="Times New Roman"/>
                <w:color w:val="auto"/>
                <w:lang w:eastAsia="zh-CN"/>
              </w:rPr>
              <w:t>C2924泡沫塑料制造</w:t>
            </w:r>
          </w:p>
        </w:tc>
        <w:tc>
          <w:tcPr>
            <w:tcW w:w="990" w:type="pct"/>
            <w:vAlign w:val="center"/>
          </w:tcPr>
          <w:p w14:paraId="1DBAFFD7">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建设项目</w:t>
            </w:r>
          </w:p>
          <w:p w14:paraId="556F0AD0">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行业类别</w:t>
            </w:r>
          </w:p>
        </w:tc>
        <w:tc>
          <w:tcPr>
            <w:tcW w:w="2001" w:type="pct"/>
            <w:vAlign w:val="center"/>
          </w:tcPr>
          <w:p w14:paraId="037130EE">
            <w:pPr>
              <w:keepNext w:val="0"/>
              <w:keepLines/>
              <w:pageBreakBefore w:val="0"/>
              <w:widowControl w:val="0"/>
              <w:kinsoku/>
              <w:wordWrap w:val="0"/>
              <w:overflowPunct/>
              <w:topLinePunct/>
              <w:autoSpaceDE/>
              <w:autoSpaceDN/>
              <w:bidi w:val="0"/>
              <w:spacing w:line="240" w:lineRule="auto"/>
              <w:ind w:firstLine="0" w:firstLineChars="0"/>
              <w:jc w:val="both"/>
              <w:textAlignment w:val="auto"/>
              <w:rPr>
                <w:rFonts w:hint="eastAsia" w:ascii="Times New Roman" w:hAnsi="Times New Roman" w:eastAsia="宋体" w:cs="Times New Roman"/>
                <w:color w:val="auto"/>
                <w:lang w:eastAsia="zh-CN"/>
              </w:rPr>
            </w:pPr>
            <w:r>
              <w:rPr>
                <w:rFonts w:hint="default" w:ascii="Times New Roman" w:hAnsi="Times New Roman" w:cs="Times New Roman"/>
                <w:color w:val="auto"/>
              </w:rPr>
              <w:t>二十六、橡胶和塑料制品业 53、</w:t>
            </w:r>
            <w:r>
              <w:rPr>
                <w:rFonts w:hint="eastAsia" w:ascii="Times New Roman" w:hAnsi="Times New Roman" w:cs="Times New Roman"/>
                <w:color w:val="auto"/>
                <w:lang w:val="en-US" w:eastAsia="zh-CN"/>
              </w:rPr>
              <w:t>塑料制品业292</w:t>
            </w:r>
            <w:r>
              <w:rPr>
                <w:rFonts w:hint="default" w:ascii="Times New Roman" w:hAnsi="Times New Roman" w:cs="Times New Roman"/>
                <w:color w:val="auto"/>
              </w:rPr>
              <w:t>其他（年用非溶剂型低非甲烷总烃含量涂料10吨以下的除外）</w:t>
            </w:r>
          </w:p>
        </w:tc>
      </w:tr>
      <w:tr w14:paraId="442E6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902" w:type="pct"/>
            <w:vAlign w:val="center"/>
          </w:tcPr>
          <w:p w14:paraId="5C0EC548">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1105" w:type="pct"/>
            <w:vAlign w:val="center"/>
          </w:tcPr>
          <w:p w14:paraId="42448D24">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新建（迁建）</w:t>
            </w:r>
          </w:p>
          <w:p w14:paraId="2E4FC8AF">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改建</w:t>
            </w:r>
          </w:p>
          <w:p w14:paraId="29E45466">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扩建</w:t>
            </w:r>
          </w:p>
          <w:p w14:paraId="103356FE">
            <w:pPr>
              <w:keepNext w:val="0"/>
              <w:keepLines/>
              <w:pageBreakBefore w:val="0"/>
              <w:widowControl w:val="0"/>
              <w:kinsoku/>
              <w:wordWrap w:val="0"/>
              <w:overflowPunct/>
              <w:topLinePunct/>
              <w:autoSpaceDE/>
              <w:autoSpaceDN/>
              <w:bidi w:val="0"/>
              <w:spacing w:line="240" w:lineRule="auto"/>
              <w:ind w:firstLine="0" w:firstLineChars="0"/>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技术改造</w:t>
            </w:r>
          </w:p>
        </w:tc>
        <w:tc>
          <w:tcPr>
            <w:tcW w:w="990" w:type="pct"/>
            <w:vAlign w:val="center"/>
          </w:tcPr>
          <w:p w14:paraId="7632ED4C">
            <w:pPr>
              <w:keepNext w:val="0"/>
              <w:keepLines/>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建设项目</w:t>
            </w:r>
          </w:p>
          <w:p w14:paraId="71955F07">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申报情形</w:t>
            </w:r>
          </w:p>
        </w:tc>
        <w:tc>
          <w:tcPr>
            <w:tcW w:w="2001" w:type="pct"/>
            <w:vAlign w:val="center"/>
          </w:tcPr>
          <w:p w14:paraId="13D1FBF3">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 xml:space="preserve">首次申报项目         </w:t>
            </w:r>
          </w:p>
          <w:p w14:paraId="393E883B">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不予批准后再次申报项目</w:t>
            </w:r>
          </w:p>
          <w:p w14:paraId="64BF187E">
            <w:pPr>
              <w:keepNext w:val="0"/>
              <w:keepLines/>
              <w:pageBreakBefore w:val="0"/>
              <w:widowControl w:val="0"/>
              <w:kinsoku/>
              <w:wordWrap w:val="0"/>
              <w:overflowPunct/>
              <w:topLinePunct/>
              <w:autoSpaceDE/>
              <w:autoSpaceDN/>
              <w:bidi w:val="0"/>
              <w:spacing w:line="240" w:lineRule="auto"/>
              <w:ind w:firstLine="0" w:firstLineChars="0"/>
              <w:jc w:val="left"/>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 xml:space="preserve">超五年重新审核项目   </w:t>
            </w:r>
          </w:p>
          <w:p w14:paraId="26A3BE2C">
            <w:pPr>
              <w:keepNext w:val="0"/>
              <w:keepLines/>
              <w:pageBreakBefore w:val="0"/>
              <w:widowControl w:val="0"/>
              <w:kinsoku/>
              <w:wordWrap w:val="0"/>
              <w:overflowPunct/>
              <w:topLinePunct/>
              <w:autoSpaceDE/>
              <w:autoSpaceDN/>
              <w:bidi w:val="0"/>
              <w:spacing w:line="240" w:lineRule="auto"/>
              <w:ind w:firstLine="0" w:firstLineChars="0"/>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重大变动重新报批项目</w:t>
            </w:r>
          </w:p>
        </w:tc>
      </w:tr>
      <w:tr w14:paraId="1A86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902" w:type="pct"/>
            <w:vAlign w:val="center"/>
          </w:tcPr>
          <w:p w14:paraId="3D76CAED">
            <w:pPr>
              <w:keepNext w:val="0"/>
              <w:keepLines/>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项目审批（核准/备案）部门（选填）</w:t>
            </w:r>
          </w:p>
        </w:tc>
        <w:tc>
          <w:tcPr>
            <w:tcW w:w="1105" w:type="pct"/>
            <w:vAlign w:val="center"/>
          </w:tcPr>
          <w:p w14:paraId="4A9337EA">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cs="Times New Roman"/>
                <w:color w:val="auto"/>
                <w:lang w:eastAsia="zh-CN"/>
              </w:rPr>
              <w:t>红塔区发展和改革局</w:t>
            </w:r>
          </w:p>
        </w:tc>
        <w:tc>
          <w:tcPr>
            <w:tcW w:w="990" w:type="pct"/>
            <w:vAlign w:val="center"/>
          </w:tcPr>
          <w:p w14:paraId="58A021A4">
            <w:pPr>
              <w:keepNext w:val="0"/>
              <w:keepLines/>
              <w:pageBreakBefore w:val="0"/>
              <w:widowControl w:val="0"/>
              <w:kinsoku/>
              <w:wordWrap w:val="0"/>
              <w:overflowPunct/>
              <w:topLinePunct/>
              <w:autoSpaceDE/>
              <w:autoSpaceDN/>
              <w:bidi w:val="0"/>
              <w:adjustRightInd w:val="0"/>
              <w:snapToGrid w:val="0"/>
              <w:spacing w:line="240" w:lineRule="auto"/>
              <w:ind w:firstLine="0" w:firstLineChars="0"/>
              <w:textAlignment w:val="auto"/>
              <w:rPr>
                <w:rFonts w:hint="default" w:ascii="Times New Roman" w:hAnsi="Times New Roman" w:cs="Times New Roman"/>
                <w:color w:val="auto"/>
              </w:rPr>
            </w:pPr>
            <w:r>
              <w:rPr>
                <w:rFonts w:hint="default" w:ascii="Times New Roman" w:hAnsi="Times New Roman" w:cs="Times New Roman"/>
                <w:color w:val="auto"/>
              </w:rPr>
              <w:t>项目审批（核准/备案）文号（选填）</w:t>
            </w:r>
          </w:p>
        </w:tc>
        <w:tc>
          <w:tcPr>
            <w:tcW w:w="2001" w:type="pct"/>
            <w:vAlign w:val="center"/>
          </w:tcPr>
          <w:p w14:paraId="1A39CB9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eastAsia" w:cs="Times New Roman"/>
                <w:color w:val="auto"/>
                <w:lang w:val="en-US" w:eastAsia="zh-CN"/>
              </w:rPr>
              <w:t>/</w:t>
            </w:r>
            <w:r>
              <w:rPr>
                <w:rFonts w:hint="default" w:ascii="Times New Roman" w:hAnsi="Times New Roman" w:cs="Times New Roman"/>
                <w:color w:val="auto"/>
              </w:rPr>
              <w:t xml:space="preserve"> </w:t>
            </w:r>
          </w:p>
        </w:tc>
      </w:tr>
      <w:tr w14:paraId="38B4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902" w:type="pct"/>
            <w:vAlign w:val="center"/>
          </w:tcPr>
          <w:p w14:paraId="4865F6E9">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总投资</w:t>
            </w:r>
          </w:p>
          <w:p w14:paraId="08BD3B5F">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（万元）</w:t>
            </w:r>
          </w:p>
        </w:tc>
        <w:tc>
          <w:tcPr>
            <w:tcW w:w="1105" w:type="pct"/>
            <w:vAlign w:val="center"/>
          </w:tcPr>
          <w:p w14:paraId="11BEC889">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350</w:t>
            </w:r>
          </w:p>
        </w:tc>
        <w:tc>
          <w:tcPr>
            <w:tcW w:w="990" w:type="pct"/>
            <w:vAlign w:val="center"/>
          </w:tcPr>
          <w:p w14:paraId="3BA16BEE">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w:t>
            </w:r>
          </w:p>
          <w:p w14:paraId="23C1E14A">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（万元）</w:t>
            </w:r>
          </w:p>
        </w:tc>
        <w:tc>
          <w:tcPr>
            <w:tcW w:w="2001" w:type="pct"/>
            <w:vAlign w:val="center"/>
          </w:tcPr>
          <w:p w14:paraId="00A8FCDC">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52.5</w:t>
            </w:r>
          </w:p>
        </w:tc>
      </w:tr>
      <w:tr w14:paraId="2A03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902" w:type="pct"/>
            <w:vAlign w:val="center"/>
          </w:tcPr>
          <w:p w14:paraId="7A2724FC">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环保投资占比（%）</w:t>
            </w:r>
          </w:p>
        </w:tc>
        <w:tc>
          <w:tcPr>
            <w:tcW w:w="1105" w:type="pct"/>
            <w:vAlign w:val="center"/>
          </w:tcPr>
          <w:p w14:paraId="6A608F3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15</w:t>
            </w:r>
          </w:p>
        </w:tc>
        <w:tc>
          <w:tcPr>
            <w:tcW w:w="990" w:type="pct"/>
            <w:vAlign w:val="center"/>
          </w:tcPr>
          <w:p w14:paraId="11256EB3">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施工工期（月）</w:t>
            </w:r>
          </w:p>
        </w:tc>
        <w:tc>
          <w:tcPr>
            <w:tcW w:w="2001" w:type="pct"/>
            <w:vAlign w:val="center"/>
          </w:tcPr>
          <w:p w14:paraId="4F78B6D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eastAsia" w:ascii="Times New Roman" w:hAnsi="Times New Roman" w:eastAsia="宋体" w:cs="Times New Roman"/>
                <w:color w:val="auto"/>
                <w:lang w:eastAsia="zh-CN"/>
              </w:rPr>
            </w:pPr>
            <w:r>
              <w:rPr>
                <w:rFonts w:hint="eastAsia" w:cs="Times New Roman"/>
                <w:color w:val="auto"/>
                <w:lang w:val="en-US" w:eastAsia="zh-CN"/>
              </w:rPr>
              <w:t>2</w:t>
            </w:r>
          </w:p>
        </w:tc>
      </w:tr>
      <w:tr w14:paraId="4AEF9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902" w:type="pct"/>
            <w:vAlign w:val="center"/>
          </w:tcPr>
          <w:p w14:paraId="17206C0A">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是否开工建设</w:t>
            </w:r>
          </w:p>
        </w:tc>
        <w:tc>
          <w:tcPr>
            <w:tcW w:w="1105" w:type="pct"/>
            <w:vAlign w:val="center"/>
          </w:tcPr>
          <w:p w14:paraId="37841A38">
            <w:pPr>
              <w:keepNext w:val="0"/>
              <w:keepLines/>
              <w:pageBreakBefore w:val="0"/>
              <w:widowControl w:val="0"/>
              <w:kinsoku/>
              <w:wordWrap w:val="0"/>
              <w:overflowPunct/>
              <w:topLinePunct/>
              <w:autoSpaceDE/>
              <w:autoSpaceDN/>
              <w:bidi w:val="0"/>
              <w:adjustRightInd w:val="0"/>
              <w:snapToGrid w:val="0"/>
              <w:spacing w:line="240" w:lineRule="auto"/>
              <w:ind w:firstLine="0" w:firstLineChars="0"/>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否</w:t>
            </w:r>
          </w:p>
          <w:p w14:paraId="669BF07A">
            <w:pPr>
              <w:keepNext w:val="0"/>
              <w:keepLines/>
              <w:pageBreakBefore w:val="0"/>
              <w:widowControl w:val="0"/>
              <w:kinsoku/>
              <w:wordWrap w:val="0"/>
              <w:overflowPunct/>
              <w:topLinePunct/>
              <w:autoSpaceDE/>
              <w:autoSpaceDN/>
              <w:bidi w:val="0"/>
              <w:spacing w:line="240" w:lineRule="auto"/>
              <w:ind w:firstLine="0" w:firstLineChars="0"/>
              <w:textAlignment w:val="auto"/>
              <w:rPr>
                <w:rFonts w:hint="default" w:ascii="Times New Roman" w:hAnsi="Times New Roman" w:cs="Times New Roman"/>
                <w:color w:val="auto"/>
              </w:rPr>
            </w:pPr>
            <w:r>
              <w:rPr>
                <w:rFonts w:hint="eastAsia" w:cs="Times New Roman"/>
                <w:color w:val="auto"/>
                <w:lang w:eastAsia="zh-CN"/>
              </w:rPr>
              <w:t>□</w:t>
            </w:r>
            <w:r>
              <w:rPr>
                <w:rFonts w:hint="default" w:ascii="Times New Roman" w:hAnsi="Times New Roman" w:cs="Times New Roman"/>
                <w:color w:val="auto"/>
              </w:rPr>
              <w:t>是：</w:t>
            </w:r>
            <w:r>
              <w:rPr>
                <w:rFonts w:hint="default" w:ascii="Times New Roman" w:hAnsi="Times New Roman" w:cs="Times New Roman"/>
                <w:color w:val="auto"/>
                <w:u w:val="single"/>
              </w:rPr>
              <w:t xml:space="preserve">         </w:t>
            </w:r>
          </w:p>
        </w:tc>
        <w:tc>
          <w:tcPr>
            <w:tcW w:w="990" w:type="pct"/>
            <w:vAlign w:val="center"/>
          </w:tcPr>
          <w:p w14:paraId="36E7A74F">
            <w:pPr>
              <w:keepNext w:val="0"/>
              <w:keepLines/>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pacing w:val="-6"/>
              </w:rPr>
            </w:pPr>
            <w:r>
              <w:rPr>
                <w:rFonts w:hint="default" w:ascii="Times New Roman" w:hAnsi="Times New Roman" w:cs="Times New Roman"/>
                <w:color w:val="auto"/>
                <w:spacing w:val="-6"/>
              </w:rPr>
              <w:t>用地（用海）</w:t>
            </w:r>
          </w:p>
          <w:p w14:paraId="775349D2">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spacing w:val="-6"/>
              </w:rPr>
              <w:t>面积（</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spacing w:val="-6"/>
              </w:rPr>
              <w:t>）</w:t>
            </w:r>
          </w:p>
        </w:tc>
        <w:tc>
          <w:tcPr>
            <w:tcW w:w="2001" w:type="pct"/>
            <w:vAlign w:val="center"/>
          </w:tcPr>
          <w:p w14:paraId="1E0F289E">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3240</w:t>
            </w:r>
          </w:p>
        </w:tc>
      </w:tr>
      <w:tr w14:paraId="4C83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02" w:type="pct"/>
            <w:vAlign w:val="center"/>
          </w:tcPr>
          <w:p w14:paraId="2558DC0B">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sz w:val="20"/>
              </w:rPr>
            </w:pPr>
            <w:r>
              <w:rPr>
                <w:rFonts w:hint="default" w:ascii="Times New Roman" w:hAnsi="Times New Roman" w:cs="Times New Roman"/>
                <w:color w:val="auto"/>
                <w:kern w:val="0"/>
              </w:rPr>
              <w:t>专项评价设置情况</w:t>
            </w:r>
          </w:p>
        </w:tc>
        <w:tc>
          <w:tcPr>
            <w:tcW w:w="4097" w:type="pct"/>
            <w:gridSpan w:val="3"/>
            <w:vAlign w:val="center"/>
          </w:tcPr>
          <w:p w14:paraId="25671D37">
            <w:pPr>
              <w:keepNext w:val="0"/>
              <w:keepLines/>
              <w:pageBreakBefore w:val="0"/>
              <w:widowControl w:val="0"/>
              <w:kinsoku/>
              <w:wordWrap w:val="0"/>
              <w:overflowPunct/>
              <w:topLinePunct/>
              <w:autoSpaceDE/>
              <w:autoSpaceDN/>
              <w:bidi w:val="0"/>
              <w:ind w:firstLine="480"/>
              <w:textAlignment w:val="auto"/>
              <w:rPr>
                <w:rFonts w:hint="default" w:ascii="Times New Roman" w:hAnsi="Times New Roman" w:cs="Times New Roman"/>
                <w:color w:val="auto"/>
              </w:rPr>
            </w:pPr>
            <w:r>
              <w:rPr>
                <w:rFonts w:hint="default" w:ascii="Times New Roman" w:hAnsi="Times New Roman" w:cs="Times New Roman"/>
                <w:color w:val="auto"/>
              </w:rPr>
              <w:t>对照专项评价设置原则，本项目无需设置专项评价。</w:t>
            </w:r>
          </w:p>
          <w:p w14:paraId="0B31017E">
            <w:pPr>
              <w:pStyle w:val="46"/>
              <w:keepNext w:val="0"/>
              <w:keepLines/>
              <w:pageBreakBefore w:val="0"/>
              <w:widowControl w:val="0"/>
              <w:kinsoku/>
              <w:wordWrap w:val="0"/>
              <w:overflowPunct/>
              <w:topLinePunct/>
              <w:autoSpaceDE/>
              <w:autoSpaceDN/>
              <w:bidi w:val="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表1</w:t>
            </w:r>
            <w:r>
              <w:rPr>
                <w:rFonts w:hint="eastAsia" w:cs="Times New Roman"/>
                <w:b/>
                <w:bCs/>
                <w:color w:val="auto"/>
                <w:sz w:val="24"/>
                <w:szCs w:val="32"/>
                <w:lang w:val="en-US" w:eastAsia="zh-CN"/>
              </w:rPr>
              <w:t xml:space="preserve"> </w:t>
            </w:r>
            <w:r>
              <w:rPr>
                <w:rFonts w:hint="default" w:ascii="Times New Roman" w:hAnsi="Times New Roman" w:eastAsia="宋体" w:cs="Times New Roman"/>
                <w:b/>
                <w:bCs/>
                <w:color w:val="auto"/>
                <w:sz w:val="24"/>
                <w:szCs w:val="32"/>
              </w:rPr>
              <w:t xml:space="preserve">  本项目专项设置判定情况表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
              <w:gridCol w:w="1961"/>
              <w:gridCol w:w="3078"/>
              <w:gridCol w:w="915"/>
            </w:tblGrid>
            <w:tr w14:paraId="334D6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90" w:type="pct"/>
                  <w:vAlign w:val="center"/>
                </w:tcPr>
                <w:p w14:paraId="28538D44">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专项类别</w:t>
                  </w:r>
                </w:p>
              </w:tc>
              <w:tc>
                <w:tcPr>
                  <w:tcW w:w="1452" w:type="pct"/>
                  <w:vAlign w:val="center"/>
                </w:tcPr>
                <w:p w14:paraId="6E8CB8DB">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设置原则</w:t>
                  </w:r>
                </w:p>
              </w:tc>
              <w:tc>
                <w:tcPr>
                  <w:tcW w:w="2279" w:type="pct"/>
                  <w:vAlign w:val="center"/>
                </w:tcPr>
                <w:p w14:paraId="23FC6E2F">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本项目情况</w:t>
                  </w:r>
                </w:p>
              </w:tc>
              <w:tc>
                <w:tcPr>
                  <w:tcW w:w="677" w:type="pct"/>
                  <w:vAlign w:val="center"/>
                </w:tcPr>
                <w:p w14:paraId="566B9E42">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是否设置专项</w:t>
                  </w:r>
                </w:p>
              </w:tc>
            </w:tr>
            <w:tr w14:paraId="3675F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590" w:type="pct"/>
                  <w:vAlign w:val="center"/>
                </w:tcPr>
                <w:p w14:paraId="1416AFA3">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大气</w:t>
                  </w:r>
                </w:p>
              </w:tc>
              <w:tc>
                <w:tcPr>
                  <w:tcW w:w="1452" w:type="pct"/>
                  <w:vAlign w:val="center"/>
                </w:tcPr>
                <w:p w14:paraId="76B16FE6">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排放废气含有毒有害污染物、二噁英、苯并</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a</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芘、氰化物、氯气且厂界外500 米范围内有环境空气保护目标的建设项目</w:t>
                  </w:r>
                </w:p>
              </w:tc>
              <w:tc>
                <w:tcPr>
                  <w:tcW w:w="2279" w:type="pct"/>
                  <w:vAlign w:val="center"/>
                </w:tcPr>
                <w:p w14:paraId="75E23773">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根据工程分析，本项目排放废气</w:t>
                  </w:r>
                  <w:r>
                    <w:rPr>
                      <w:rFonts w:hint="default" w:ascii="Times New Roman" w:hAnsi="Times New Roman" w:cs="Times New Roman" w:eastAsiaTheme="minorEastAsia"/>
                      <w:color w:val="auto"/>
                      <w:sz w:val="21"/>
                      <w:szCs w:val="21"/>
                      <w:lang w:val="en-US" w:eastAsia="zh-CN"/>
                    </w:rPr>
                    <w:t>污染物</w:t>
                  </w:r>
                  <w:r>
                    <w:rPr>
                      <w:rFonts w:hint="default" w:ascii="Times New Roman" w:hAnsi="Times New Roman" w:cs="Times New Roman" w:eastAsiaTheme="minorEastAsia"/>
                      <w:color w:val="auto"/>
                      <w:sz w:val="21"/>
                      <w:szCs w:val="21"/>
                    </w:rPr>
                    <w:t>主要为颗粒物、二氧化硫、氮氧化物、非甲烷总烃、苯乙烯、</w:t>
                  </w:r>
                  <w:r>
                    <w:rPr>
                      <w:rFonts w:hint="default" w:ascii="Times New Roman" w:hAnsi="Times New Roman" w:cs="Times New Roman" w:eastAsiaTheme="minorEastAsia"/>
                      <w:color w:val="auto"/>
                      <w:sz w:val="21"/>
                      <w:szCs w:val="21"/>
                      <w:lang w:val="en-US" w:eastAsia="zh-CN"/>
                    </w:rPr>
                    <w:t>甲苯、乙苯、</w:t>
                  </w:r>
                  <w:r>
                    <w:rPr>
                      <w:rFonts w:hint="default" w:ascii="Times New Roman" w:hAnsi="Times New Roman" w:cs="Times New Roman" w:eastAsiaTheme="minorEastAsia"/>
                      <w:color w:val="auto"/>
                      <w:sz w:val="21"/>
                      <w:szCs w:val="21"/>
                    </w:rPr>
                    <w:t>臭气浓度，不属于《有毒有害大气污染物名录》的污染物及二噁英、苯并</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a</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芘、氰化物、氯气等污染物且厂界外500 米范围内</w:t>
                  </w:r>
                  <w:r>
                    <w:rPr>
                      <w:rFonts w:hint="default" w:ascii="Times New Roman" w:hAnsi="Times New Roman" w:cs="Times New Roman" w:eastAsiaTheme="minorEastAsia"/>
                      <w:color w:val="auto"/>
                      <w:sz w:val="21"/>
                      <w:szCs w:val="21"/>
                      <w:lang w:val="en-US" w:eastAsia="zh-CN"/>
                    </w:rPr>
                    <w:t>无</w:t>
                  </w:r>
                  <w:r>
                    <w:rPr>
                      <w:rFonts w:hint="default" w:ascii="Times New Roman" w:hAnsi="Times New Roman" w:cs="Times New Roman" w:eastAsiaTheme="minorEastAsia"/>
                      <w:color w:val="auto"/>
                      <w:sz w:val="21"/>
                      <w:szCs w:val="21"/>
                    </w:rPr>
                    <w:t>环境空气保护目标</w:t>
                  </w:r>
                </w:p>
              </w:tc>
              <w:tc>
                <w:tcPr>
                  <w:tcW w:w="677" w:type="pct"/>
                  <w:vAlign w:val="center"/>
                </w:tcPr>
                <w:p w14:paraId="0E564DBF">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否</w:t>
                  </w:r>
                </w:p>
              </w:tc>
            </w:tr>
            <w:tr w14:paraId="505FF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5" w:hRule="atLeast"/>
                <w:jc w:val="center"/>
              </w:trPr>
              <w:tc>
                <w:tcPr>
                  <w:tcW w:w="590" w:type="pct"/>
                  <w:vAlign w:val="center"/>
                </w:tcPr>
                <w:p w14:paraId="4BF04DE3">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地表水</w:t>
                  </w:r>
                </w:p>
              </w:tc>
              <w:tc>
                <w:tcPr>
                  <w:tcW w:w="1452" w:type="pct"/>
                  <w:vAlign w:val="center"/>
                </w:tcPr>
                <w:p w14:paraId="70CB88F2">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新增工业废水直排建设项目（槽罐车外送污水处理厂的除外）；</w:t>
                  </w:r>
                </w:p>
                <w:p w14:paraId="51FB9C75">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新增废水直排的污水集中处理厂</w:t>
                  </w:r>
                </w:p>
              </w:tc>
              <w:tc>
                <w:tcPr>
                  <w:tcW w:w="2279" w:type="pct"/>
                  <w:vAlign w:val="center"/>
                </w:tcPr>
                <w:p w14:paraId="1B826AF2">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本项目生产废水主要为</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排污水和软水制备浓水，统一收集</w:t>
                  </w:r>
                  <w:r>
                    <w:rPr>
                      <w:rFonts w:hint="eastAsia" w:cs="Times New Roman" w:eastAsiaTheme="minorEastAsia"/>
                      <w:color w:val="auto"/>
                      <w:sz w:val="21"/>
                      <w:szCs w:val="21"/>
                      <w:lang w:val="en-US" w:eastAsia="zh-CN"/>
                    </w:rPr>
                    <w:t>至废水收集池沉淀处理后</w:t>
                  </w:r>
                  <w:r>
                    <w:rPr>
                      <w:rFonts w:hint="default" w:ascii="Times New Roman" w:hAnsi="Times New Roman" w:cs="Times New Roman" w:eastAsiaTheme="minorEastAsia"/>
                      <w:color w:val="auto"/>
                      <w:sz w:val="21"/>
                      <w:szCs w:val="21"/>
                      <w:lang w:val="en-US" w:eastAsia="zh-CN"/>
                    </w:rPr>
                    <w:t>，回用于厂区洒水降尘，不外排，</w:t>
                  </w:r>
                  <w:r>
                    <w:rPr>
                      <w:rFonts w:hint="default" w:ascii="Times New Roman" w:hAnsi="Times New Roman" w:cs="Times New Roman" w:eastAsiaTheme="minorEastAsia"/>
                      <w:color w:val="auto"/>
                      <w:sz w:val="21"/>
                      <w:szCs w:val="21"/>
                    </w:rPr>
                    <w:t>食堂废水经油水分离器隔油后与其</w:t>
                  </w:r>
                  <w:r>
                    <w:rPr>
                      <w:rFonts w:hint="default" w:ascii="Times New Roman" w:hAnsi="Times New Roman" w:cs="Times New Roman" w:eastAsiaTheme="minorEastAsia"/>
                      <w:color w:val="auto"/>
                      <w:sz w:val="21"/>
                      <w:szCs w:val="21"/>
                      <w:lang w:val="en-US" w:eastAsia="zh-CN"/>
                    </w:rPr>
                    <w:t>它</w:t>
                  </w:r>
                  <w:r>
                    <w:rPr>
                      <w:rFonts w:hint="default" w:ascii="Times New Roman" w:hAnsi="Times New Roman" w:cs="Times New Roman" w:eastAsiaTheme="minorEastAsia"/>
                      <w:color w:val="auto"/>
                      <w:sz w:val="21"/>
                      <w:szCs w:val="21"/>
                    </w:rPr>
                    <w:t>生活污水一起进入化粪池</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经化粪池（</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）预处理后，</w:t>
                  </w:r>
                  <w:r>
                    <w:rPr>
                      <w:rFonts w:hint="eastAsia" w:cs="Times New Roman" w:eastAsiaTheme="minorEastAsia"/>
                      <w:color w:val="auto"/>
                      <w:sz w:val="21"/>
                      <w:szCs w:val="21"/>
                      <w:lang w:val="en-US" w:eastAsia="zh-CN"/>
                    </w:rPr>
                    <w:t>通过泵输送至项目新建的2m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/d的一体化污水处理设施，经处理达标后，晴天回用于厂区绿化或道路清扫，不外排，雨天暂存于中水池，待晴天后，回用于厂区绿化或道路清扫，不外排</w:t>
                  </w:r>
                </w:p>
              </w:tc>
              <w:tc>
                <w:tcPr>
                  <w:tcW w:w="677" w:type="pct"/>
                  <w:vAlign w:val="center"/>
                </w:tcPr>
                <w:p w14:paraId="376A4512">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否</w:t>
                  </w:r>
                </w:p>
              </w:tc>
            </w:tr>
            <w:tr w14:paraId="1965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590" w:type="pct"/>
                  <w:vAlign w:val="center"/>
                </w:tcPr>
                <w:p w14:paraId="165963F9">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环境风险</w:t>
                  </w:r>
                </w:p>
              </w:tc>
              <w:tc>
                <w:tcPr>
                  <w:tcW w:w="1452" w:type="pct"/>
                  <w:vAlign w:val="center"/>
                </w:tcPr>
                <w:p w14:paraId="6754DB33">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有毒有害和易燃易爆危险物质存储量超过临界量的建设项目</w:t>
                  </w:r>
                </w:p>
              </w:tc>
              <w:tc>
                <w:tcPr>
                  <w:tcW w:w="2279" w:type="pct"/>
                  <w:vAlign w:val="center"/>
                </w:tcPr>
                <w:p w14:paraId="627FC3B8">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本项目涉及的有毒有害和易燃易爆危险物质为</w:t>
                  </w:r>
                  <w:r>
                    <w:rPr>
                      <w:rFonts w:hint="default" w:ascii="Times New Roman" w:hAnsi="Times New Roman" w:cs="Times New Roman" w:eastAsiaTheme="minorEastAsia"/>
                      <w:color w:val="auto"/>
                      <w:kern w:val="0"/>
                      <w:sz w:val="21"/>
                      <w:szCs w:val="21"/>
                      <w:lang w:eastAsia="zh-CN" w:bidi="ar"/>
                    </w:rPr>
                    <w:t>废机油</w:t>
                  </w:r>
                  <w:r>
                    <w:rPr>
                      <w:rFonts w:hint="eastAsia" w:cs="Times New Roman" w:eastAsiaTheme="minorEastAsia"/>
                      <w:color w:val="auto"/>
                      <w:kern w:val="0"/>
                      <w:sz w:val="21"/>
                      <w:szCs w:val="21"/>
                      <w:lang w:eastAsia="zh-CN" w:bidi="ar"/>
                    </w:rPr>
                    <w:t>、</w:t>
                  </w:r>
                  <w:r>
                    <w:rPr>
                      <w:rFonts w:hint="eastAsia" w:cs="Times New Roman" w:eastAsiaTheme="minorEastAsia"/>
                      <w:color w:val="auto"/>
                      <w:kern w:val="0"/>
                      <w:sz w:val="21"/>
                      <w:szCs w:val="21"/>
                      <w:lang w:val="en-US" w:eastAsia="zh-CN" w:bidi="ar"/>
                    </w:rPr>
                    <w:t>以及活性炭吸附的甲苯、乙苯、苯乙烯等</w:t>
                  </w:r>
                  <w:r>
                    <w:rPr>
                      <w:rFonts w:hint="default" w:ascii="Times New Roman" w:hAnsi="Times New Roman" w:cs="Times New Roman" w:eastAsiaTheme="minorEastAsia"/>
                      <w:color w:val="auto"/>
                      <w:kern w:val="0"/>
                      <w:sz w:val="21"/>
                      <w:szCs w:val="21"/>
                      <w:lang w:bidi="ar"/>
                    </w:rPr>
                    <w:t>，危险物质总量与临界量比值为</w:t>
                  </w:r>
                  <w:r>
                    <w:rPr>
                      <w:rFonts w:hint="default" w:ascii="Times New Roman" w:hAnsi="Times New Roman" w:cs="Times New Roman" w:eastAsiaTheme="minorEastAsia"/>
                      <w:color w:val="auto"/>
                      <w:kern w:val="0"/>
                      <w:sz w:val="21"/>
                      <w:szCs w:val="21"/>
                      <w:lang w:eastAsia="zh-CN" w:bidi="ar"/>
                    </w:rPr>
                    <w:t>0.00</w:t>
                  </w:r>
                  <w:r>
                    <w:rPr>
                      <w:rFonts w:hint="eastAsia" w:cs="Times New Roman" w:eastAsiaTheme="minorEastAsia"/>
                      <w:color w:val="auto"/>
                      <w:kern w:val="0"/>
                      <w:sz w:val="21"/>
                      <w:szCs w:val="21"/>
                      <w:lang w:val="en-US" w:eastAsia="zh-CN" w:bidi="ar"/>
                    </w:rPr>
                    <w:t>07</w:t>
                  </w:r>
                  <w:r>
                    <w:rPr>
                      <w:rFonts w:hint="default" w:ascii="Times New Roman" w:hAnsi="Times New Roman" w:cs="Times New Roman" w:eastAsiaTheme="minorEastAsia"/>
                      <w:color w:val="auto"/>
                      <w:kern w:val="0"/>
                      <w:sz w:val="21"/>
                      <w:szCs w:val="21"/>
                      <w:lang w:bidi="ar"/>
                    </w:rPr>
                    <w:t>，未超过临界量</w:t>
                  </w:r>
                </w:p>
              </w:tc>
              <w:tc>
                <w:tcPr>
                  <w:tcW w:w="677" w:type="pct"/>
                  <w:vAlign w:val="center"/>
                </w:tcPr>
                <w:p w14:paraId="7B12C20B">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否</w:t>
                  </w:r>
                </w:p>
              </w:tc>
            </w:tr>
            <w:tr w14:paraId="7097C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2" w:hRule="atLeast"/>
                <w:jc w:val="center"/>
              </w:trPr>
              <w:tc>
                <w:tcPr>
                  <w:tcW w:w="590" w:type="pct"/>
                  <w:vAlign w:val="center"/>
                </w:tcPr>
                <w:p w14:paraId="44A4422B">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生态</w:t>
                  </w:r>
                </w:p>
              </w:tc>
              <w:tc>
                <w:tcPr>
                  <w:tcW w:w="1452" w:type="pct"/>
                  <w:vAlign w:val="center"/>
                </w:tcPr>
                <w:p w14:paraId="7788DC83">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取水口下游500 米范围内有重要水生生物的自然产卵场、索饵场、越冬场和洄游通道的新增河道取水的污染类建设项目</w:t>
                  </w:r>
                </w:p>
              </w:tc>
              <w:tc>
                <w:tcPr>
                  <w:tcW w:w="2279" w:type="pct"/>
                  <w:vAlign w:val="center"/>
                </w:tcPr>
                <w:p w14:paraId="0C64A37F">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本项目不涉及</w:t>
                  </w:r>
                </w:p>
              </w:tc>
              <w:tc>
                <w:tcPr>
                  <w:tcW w:w="677" w:type="pct"/>
                  <w:vAlign w:val="center"/>
                </w:tcPr>
                <w:p w14:paraId="7068E372">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否</w:t>
                  </w:r>
                </w:p>
              </w:tc>
            </w:tr>
            <w:tr w14:paraId="3F74C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0" w:type="pct"/>
                  <w:vAlign w:val="center"/>
                </w:tcPr>
                <w:p w14:paraId="585A4DE1">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海洋</w:t>
                  </w:r>
                </w:p>
              </w:tc>
              <w:tc>
                <w:tcPr>
                  <w:tcW w:w="1452" w:type="pct"/>
                  <w:vAlign w:val="center"/>
                </w:tcPr>
                <w:p w14:paraId="79F8610D">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直接向海排放污染物的海洋工程建设项目</w:t>
                  </w:r>
                </w:p>
              </w:tc>
              <w:tc>
                <w:tcPr>
                  <w:tcW w:w="2279" w:type="pct"/>
                  <w:vAlign w:val="center"/>
                </w:tcPr>
                <w:p w14:paraId="2CEBDC88">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本项目不涉及</w:t>
                  </w:r>
                </w:p>
              </w:tc>
              <w:tc>
                <w:tcPr>
                  <w:tcW w:w="677" w:type="pct"/>
                  <w:vAlign w:val="center"/>
                </w:tcPr>
                <w:p w14:paraId="77659741">
                  <w:pPr>
                    <w:pStyle w:val="46"/>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否</w:t>
                  </w:r>
                </w:p>
              </w:tc>
            </w:tr>
          </w:tbl>
          <w:p w14:paraId="294E28EC">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sz w:val="24"/>
              </w:rPr>
              <w:t>根据上表，本项目不设置专项评价。</w:t>
            </w:r>
          </w:p>
        </w:tc>
      </w:tr>
      <w:tr w14:paraId="6A3F0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902" w:type="pct"/>
            <w:vAlign w:val="center"/>
          </w:tcPr>
          <w:p w14:paraId="5CA5708D">
            <w:pPr>
              <w:keepNext w:val="0"/>
              <w:keepLines/>
              <w:pageBreakBefore w:val="0"/>
              <w:widowControl w:val="0"/>
              <w:kinsoku/>
              <w:wordWrap w:val="0"/>
              <w:overflowPunct/>
              <w:topLinePunct/>
              <w:autoSpaceDE/>
              <w:autoSpaceDN/>
              <w:bidi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规划情况</w:t>
            </w:r>
          </w:p>
        </w:tc>
        <w:tc>
          <w:tcPr>
            <w:tcW w:w="4097" w:type="pct"/>
            <w:gridSpan w:val="3"/>
            <w:vAlign w:val="center"/>
          </w:tcPr>
          <w:p w14:paraId="46A8B8E6">
            <w:pPr>
              <w:keepNext w:val="0"/>
              <w:keepLines/>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无</w:t>
            </w:r>
          </w:p>
        </w:tc>
      </w:tr>
      <w:tr w14:paraId="057B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902" w:type="pct"/>
            <w:vAlign w:val="center"/>
          </w:tcPr>
          <w:p w14:paraId="3E3553CC">
            <w:pPr>
              <w:keepNext w:val="0"/>
              <w:keepLines/>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规划环境影响评价情况</w:t>
            </w:r>
          </w:p>
        </w:tc>
        <w:tc>
          <w:tcPr>
            <w:tcW w:w="4097" w:type="pct"/>
            <w:gridSpan w:val="3"/>
            <w:vAlign w:val="center"/>
          </w:tcPr>
          <w:p w14:paraId="70E33E13">
            <w:pPr>
              <w:keepNext w:val="0"/>
              <w:keepLines/>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无</w:t>
            </w:r>
          </w:p>
        </w:tc>
      </w:tr>
      <w:tr w14:paraId="30FA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902" w:type="pct"/>
            <w:vAlign w:val="center"/>
          </w:tcPr>
          <w:p w14:paraId="5E12471E">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kern w:val="0"/>
              </w:rPr>
              <w:t>规划及规划环境影响评价符合性分析</w:t>
            </w:r>
          </w:p>
        </w:tc>
        <w:tc>
          <w:tcPr>
            <w:tcW w:w="4097" w:type="pct"/>
            <w:gridSpan w:val="3"/>
            <w:vAlign w:val="center"/>
          </w:tcPr>
          <w:p w14:paraId="290B9AC4">
            <w:pPr>
              <w:keepNext w:val="0"/>
              <w:keepLines/>
              <w:pageBreakBefore w:val="0"/>
              <w:widowControl w:val="0"/>
              <w:kinsoku/>
              <w:wordWrap w:val="0"/>
              <w:overflowPunct/>
              <w:topLinePunct/>
              <w:autoSpaceDE/>
              <w:autoSpaceDN/>
              <w:bidi w:val="0"/>
              <w:adjustRightInd/>
              <w:snapToGrid/>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无</w:t>
            </w:r>
          </w:p>
        </w:tc>
      </w:tr>
      <w:tr w14:paraId="5E35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0" w:hRule="atLeast"/>
        </w:trPr>
        <w:tc>
          <w:tcPr>
            <w:tcW w:w="902" w:type="pct"/>
            <w:vAlign w:val="center"/>
          </w:tcPr>
          <w:p w14:paraId="03CF496B">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t>其他符合性分析</w:t>
            </w:r>
          </w:p>
          <w:p w14:paraId="4729646D">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p>
        </w:tc>
        <w:tc>
          <w:tcPr>
            <w:tcW w:w="4097" w:type="pct"/>
            <w:gridSpan w:val="3"/>
            <w:vAlign w:val="center"/>
          </w:tcPr>
          <w:p w14:paraId="51776544">
            <w:pPr>
              <w:keepNext w:val="0"/>
              <w:keepLines/>
              <w:pageBreakBefore w:val="0"/>
              <w:widowControl w:val="0"/>
              <w:kinsoku/>
              <w:wordWrap w:val="0"/>
              <w:overflowPunct/>
              <w:topLinePunct/>
              <w:autoSpaceDE/>
              <w:autoSpaceDN/>
              <w:bidi w:val="0"/>
              <w:adjustRightInd/>
              <w:snapToGrid/>
              <w:ind w:firstLine="0" w:firstLineChars="0"/>
              <w:textAlignment w:val="auto"/>
              <w:rPr>
                <w:rFonts w:hint="default" w:ascii="Times New Roman" w:hAnsi="Times New Roman" w:cs="Times New Roman"/>
                <w:color w:val="auto"/>
              </w:rPr>
            </w:pPr>
            <w:r>
              <w:rPr>
                <w:rFonts w:hint="default" w:ascii="Times New Roman" w:hAnsi="Times New Roman" w:cs="Times New Roman"/>
                <w:b/>
                <w:bCs/>
                <w:color w:val="auto"/>
              </w:rPr>
              <w:t>1</w:t>
            </w:r>
            <w:r>
              <w:rPr>
                <w:rFonts w:hint="default" w:ascii="Times New Roman" w:hAnsi="Times New Roman" w:cs="Times New Roman"/>
                <w:b/>
                <w:bCs/>
                <w:color w:val="auto"/>
                <w:lang w:eastAsia="zh-CN"/>
              </w:rPr>
              <w:t>、</w:t>
            </w:r>
            <w:r>
              <w:rPr>
                <w:rFonts w:hint="default" w:ascii="Times New Roman" w:hAnsi="Times New Roman" w:cs="Times New Roman"/>
                <w:b/>
                <w:bCs/>
                <w:color w:val="auto"/>
              </w:rPr>
              <w:t>产业政策符合性分析</w:t>
            </w:r>
          </w:p>
          <w:p w14:paraId="2FDAFBFF">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本项目主要生产</w:t>
            </w:r>
            <w:r>
              <w:rPr>
                <w:rFonts w:hint="eastAsia" w:cs="Times New Roman"/>
                <w:color w:val="auto"/>
                <w:lang w:eastAsia="zh-CN"/>
              </w:rPr>
              <w:t>EPS泡沫颗粒</w:t>
            </w:r>
            <w:r>
              <w:rPr>
                <w:rFonts w:hint="default" w:ascii="Times New Roman" w:hAnsi="Times New Roman" w:cs="Times New Roman"/>
                <w:color w:val="auto"/>
              </w:rPr>
              <w:t>，行业代码</w:t>
            </w:r>
            <w:r>
              <w:rPr>
                <w:rFonts w:hint="default" w:ascii="Times New Roman" w:hAnsi="Times New Roman" w:cs="Times New Roman"/>
                <w:color w:val="auto"/>
                <w:lang w:val="en-US" w:eastAsia="zh-CN"/>
              </w:rPr>
              <w:t>为</w:t>
            </w:r>
            <w:r>
              <w:rPr>
                <w:rFonts w:hint="eastAsia" w:cs="Times New Roman"/>
                <w:color w:val="auto"/>
                <w:lang w:val="en-US" w:eastAsia="zh-CN"/>
              </w:rPr>
              <w:t>C2924泡沫塑料制造</w:t>
            </w:r>
            <w:r>
              <w:rPr>
                <w:rFonts w:hint="default" w:ascii="Times New Roman" w:hAnsi="Times New Roman" w:cs="Times New Roman"/>
                <w:color w:val="auto"/>
                <w:lang w:val="en-US" w:eastAsia="zh-CN"/>
              </w:rPr>
              <w:t>，</w:t>
            </w:r>
            <w:r>
              <w:rPr>
                <w:rFonts w:hint="default" w:ascii="Times New Roman" w:hAnsi="Times New Roman" w:cs="Times New Roman"/>
                <w:color w:val="auto"/>
              </w:rPr>
              <w:t>属于橡胶和塑料制品业，根据国家发展和改革委员会《产业结构调整指导目录（20</w:t>
            </w:r>
            <w:r>
              <w:rPr>
                <w:rFonts w:hint="default" w:ascii="Times New Roman" w:hAnsi="Times New Roman" w:cs="Times New Roman"/>
                <w:color w:val="auto"/>
                <w:lang w:val="en-US" w:eastAsia="zh-CN"/>
              </w:rPr>
              <w:t>24</w:t>
            </w:r>
            <w:r>
              <w:rPr>
                <w:rFonts w:hint="default" w:ascii="Times New Roman" w:hAnsi="Times New Roman" w:cs="Times New Roman"/>
                <w:color w:val="auto"/>
              </w:rPr>
              <w:t>年本）》，</w:t>
            </w:r>
            <w:r>
              <w:rPr>
                <w:rFonts w:hint="eastAsia" w:cs="Times New Roman"/>
                <w:color w:val="auto"/>
                <w:lang w:val="en-US" w:eastAsia="zh-CN"/>
              </w:rPr>
              <w:t>本项目主要原辅材料为</w:t>
            </w:r>
            <w:r>
              <w:rPr>
                <w:color w:val="auto"/>
              </w:rPr>
              <w:t>可发性聚苯乙烯（EPS</w:t>
            </w:r>
            <w:r>
              <w:rPr>
                <w:rFonts w:hint="eastAsia"/>
                <w:color w:val="auto"/>
                <w:lang w:eastAsia="zh-CN"/>
              </w:rPr>
              <w:t>），</w:t>
            </w:r>
            <w:r>
              <w:rPr>
                <w:rFonts w:hint="eastAsia"/>
                <w:color w:val="auto"/>
                <w:lang w:val="en-US" w:eastAsia="zh-CN"/>
              </w:rPr>
              <w:t>不属于</w:t>
            </w:r>
            <w:r>
              <w:rPr>
                <w:rFonts w:hint="default" w:ascii="Times New Roman" w:hAnsi="Times New Roman" w:cs="Times New Roman"/>
                <w:color w:val="auto"/>
              </w:rPr>
              <w:t>氢氯氟碳化物（HCFCs）和氢氟碳化物（HFCs）</w:t>
            </w:r>
            <w:r>
              <w:rPr>
                <w:rFonts w:hint="eastAsia" w:ascii="Times New Roman" w:hAnsi="Times New Roman" w:cs="Times New Roman"/>
                <w:color w:val="auto"/>
                <w:lang w:eastAsia="zh-CN"/>
              </w:rPr>
              <w:t>，</w:t>
            </w:r>
            <w:r>
              <w:rPr>
                <w:rFonts w:hint="default" w:ascii="Times New Roman" w:hAnsi="Times New Roman" w:cs="Times New Roman"/>
                <w:color w:val="auto"/>
              </w:rPr>
              <w:t>本项目</w:t>
            </w:r>
            <w:r>
              <w:rPr>
                <w:rFonts w:hint="eastAsia" w:cs="Times New Roman"/>
                <w:color w:val="auto"/>
                <w:lang w:eastAsia="zh-CN"/>
              </w:rPr>
              <w:t>“</w:t>
            </w:r>
            <w:r>
              <w:rPr>
                <w:rFonts w:hint="default" w:ascii="Times New Roman" w:hAnsi="Times New Roman" w:cs="Times New Roman"/>
                <w:color w:val="auto"/>
              </w:rPr>
              <w:t>不属于以含氢氯氟碳化物（HCFCs）和氢氟碳化物（HFCs）为制冷剂、发泡剂、灭火剂、溶剂、清洗剂、加工助剂等受控用途的聚氨酯泡沫塑料生产线、连续挤出聚苯乙烯泡沫塑料（XPS）生产线以及冰箱、冰柜、汽车空调器、工业商业用冷藏、制冷设备生产线</w:t>
            </w:r>
            <w:r>
              <w:rPr>
                <w:rFonts w:hint="eastAsia" w:cs="Times New Roman"/>
                <w:color w:val="auto"/>
                <w:lang w:eastAsia="zh-CN"/>
              </w:rPr>
              <w:t>（</w:t>
            </w:r>
            <w:r>
              <w:rPr>
                <w:rFonts w:hint="eastAsia" w:cs="Times New Roman"/>
                <w:color w:val="auto"/>
                <w:lang w:val="en-US" w:eastAsia="zh-CN"/>
              </w:rPr>
              <w:t>为限制类</w:t>
            </w:r>
            <w:r>
              <w:rPr>
                <w:rFonts w:hint="eastAsia" w:cs="Times New Roman"/>
                <w:color w:val="auto"/>
                <w:lang w:eastAsia="zh-CN"/>
              </w:rPr>
              <w:t>）”，</w:t>
            </w:r>
            <w:r>
              <w:rPr>
                <w:rFonts w:hint="eastAsia" w:ascii="Times New Roman" w:hAnsi="Times New Roman" w:cs="Times New Roman"/>
                <w:color w:val="auto"/>
                <w:lang w:val="en-US" w:eastAsia="zh-CN"/>
              </w:rPr>
              <w:t>故本项目不属于限制类，</w:t>
            </w:r>
            <w:r>
              <w:rPr>
                <w:rFonts w:hint="eastAsia" w:cs="Times New Roman"/>
                <w:color w:val="auto"/>
                <w:lang w:val="en-US" w:eastAsia="zh-CN"/>
              </w:rPr>
              <w:t>也</w:t>
            </w:r>
            <w:r>
              <w:rPr>
                <w:rFonts w:hint="eastAsia" w:ascii="Times New Roman" w:hAnsi="Times New Roman" w:cs="Times New Roman"/>
                <w:color w:val="auto"/>
                <w:lang w:val="en-US" w:eastAsia="zh-CN"/>
              </w:rPr>
              <w:t>不属于</w:t>
            </w:r>
            <w:r>
              <w:rPr>
                <w:rFonts w:hint="default" w:ascii="Times New Roman" w:hAnsi="Times New Roman" w:cs="Times New Roman"/>
                <w:color w:val="auto"/>
              </w:rPr>
              <w:t>鼓励类、淘汰类项目，</w:t>
            </w:r>
            <w:r>
              <w:rPr>
                <w:rFonts w:hint="default" w:ascii="Times New Roman" w:hAnsi="Times New Roman" w:cs="Times New Roman"/>
                <w:color w:val="auto"/>
                <w:lang w:val="en-US" w:eastAsia="zh-CN"/>
              </w:rPr>
              <w:t>视为允许类，项目拟采用的设备不属于限制类、淘汰类之列，</w:t>
            </w:r>
            <w:r>
              <w:rPr>
                <w:rFonts w:hint="default" w:ascii="Times New Roman" w:hAnsi="Times New Roman" w:cs="Times New Roman"/>
                <w:color w:val="auto"/>
              </w:rPr>
              <w:t>因此</w:t>
            </w:r>
            <w:r>
              <w:rPr>
                <w:rFonts w:hint="default" w:ascii="Times New Roman" w:hAnsi="Times New Roman" w:cs="Times New Roman"/>
                <w:color w:val="auto"/>
                <w:lang w:eastAsia="zh-CN"/>
              </w:rPr>
              <w:t>，</w:t>
            </w:r>
            <w:r>
              <w:rPr>
                <w:rFonts w:hint="default" w:ascii="Times New Roman" w:hAnsi="Times New Roman" w:cs="Times New Roman"/>
                <w:color w:val="auto"/>
              </w:rPr>
              <w:t>本项目符合国家产业政策。</w:t>
            </w:r>
          </w:p>
          <w:p w14:paraId="2CA71C90">
            <w:pPr>
              <w:keepNext w:val="0"/>
              <w:keepLines/>
              <w:pageBreakBefore w:val="0"/>
              <w:widowControl w:val="0"/>
              <w:kinsoku/>
              <w:wordWrap/>
              <w:overflowPunct/>
              <w:topLinePunct/>
              <w:autoSpaceDE/>
              <w:autoSpaceDN/>
              <w:bidi w:val="0"/>
              <w:adjustRightInd/>
              <w:snapToGrid/>
              <w:ind w:firstLine="480"/>
              <w:jc w:val="both"/>
              <w:textAlignment w:val="auto"/>
              <w:rPr>
                <w:rFonts w:hint="default" w:ascii="Times New Roman" w:hAnsi="Times New Roman" w:cs="Times New Roman"/>
                <w:color w:val="auto"/>
                <w:lang w:val="en-US" w:eastAsia="zh-CN"/>
              </w:rPr>
            </w:pPr>
            <w:r>
              <w:rPr>
                <w:rFonts w:hint="default" w:ascii="Times New Roman" w:hAnsi="Times New Roman" w:cs="Times New Roman"/>
                <w:color w:val="auto"/>
              </w:rPr>
              <w:t>项目于</w:t>
            </w:r>
            <w:r>
              <w:rPr>
                <w:rFonts w:hint="default" w:ascii="Times New Roman" w:hAnsi="Times New Roman" w:cs="Times New Roman"/>
                <w:color w:val="auto"/>
                <w:lang w:eastAsia="zh-CN"/>
              </w:rPr>
              <w:t>202</w:t>
            </w:r>
            <w:r>
              <w:rPr>
                <w:rFonts w:hint="eastAsia" w:cs="Times New Roman"/>
                <w:color w:val="auto"/>
                <w:lang w:val="en-US" w:eastAsia="zh-CN"/>
              </w:rPr>
              <w:t>5</w:t>
            </w:r>
            <w:r>
              <w:rPr>
                <w:rFonts w:hint="default" w:ascii="Times New Roman" w:hAnsi="Times New Roman" w:cs="Times New Roman"/>
                <w:color w:val="auto"/>
                <w:lang w:eastAsia="zh-CN"/>
              </w:rPr>
              <w:t>年0</w:t>
            </w:r>
            <w:r>
              <w:rPr>
                <w:rFonts w:hint="eastAsia" w:cs="Times New Roman"/>
                <w:color w:val="auto"/>
                <w:lang w:val="en-US" w:eastAsia="zh-CN"/>
              </w:rPr>
              <w:t>6</w:t>
            </w:r>
            <w:r>
              <w:rPr>
                <w:rFonts w:hint="default" w:ascii="Times New Roman" w:hAnsi="Times New Roman" w:cs="Times New Roman"/>
                <w:color w:val="auto"/>
                <w:lang w:eastAsia="zh-CN"/>
              </w:rPr>
              <w:t>月</w:t>
            </w:r>
            <w:r>
              <w:rPr>
                <w:rFonts w:hint="eastAsia" w:cs="Times New Roman"/>
                <w:color w:val="auto"/>
                <w:lang w:val="en-US" w:eastAsia="zh-CN"/>
              </w:rPr>
              <w:t>05</w:t>
            </w:r>
            <w:r>
              <w:rPr>
                <w:rFonts w:hint="default" w:ascii="Times New Roman" w:hAnsi="Times New Roman" w:cs="Times New Roman"/>
                <w:color w:val="auto"/>
                <w:lang w:eastAsia="zh-CN"/>
              </w:rPr>
              <w:t>日</w:t>
            </w:r>
            <w:r>
              <w:rPr>
                <w:rFonts w:hint="default" w:ascii="Times New Roman" w:hAnsi="Times New Roman" w:cs="Times New Roman"/>
                <w:color w:val="auto"/>
              </w:rPr>
              <w:t>取得了</w:t>
            </w:r>
            <w:r>
              <w:rPr>
                <w:rFonts w:hint="eastAsia" w:cs="Times New Roman"/>
                <w:color w:val="auto"/>
                <w:lang w:eastAsia="zh-CN"/>
              </w:rPr>
              <w:t>红塔区</w:t>
            </w:r>
            <w:r>
              <w:rPr>
                <w:rFonts w:hint="default" w:ascii="Times New Roman" w:hAnsi="Times New Roman" w:cs="Times New Roman"/>
                <w:color w:val="auto"/>
                <w:lang w:eastAsia="zh-CN"/>
              </w:rPr>
              <w:t>发展和改革局</w:t>
            </w:r>
            <w:r>
              <w:rPr>
                <w:rFonts w:hint="default" w:ascii="Times New Roman" w:hAnsi="Times New Roman" w:cs="Times New Roman"/>
                <w:color w:val="auto"/>
              </w:rPr>
              <w:t>签发的投资项目备案证</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详见附件</w:t>
            </w:r>
            <w:r>
              <w:rPr>
                <w:rFonts w:hint="eastAsia"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项目名称为</w:t>
            </w:r>
            <w:r>
              <w:rPr>
                <w:rFonts w:hint="eastAsia" w:cs="Times New Roman"/>
                <w:color w:val="auto"/>
                <w:lang w:eastAsia="zh-CN"/>
              </w:rPr>
              <w:t>轻花工贸泡沫颗粒生产线项目</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项目代码为</w:t>
            </w:r>
            <w:r>
              <w:rPr>
                <w:rFonts w:hint="eastAsia" w:cs="Times New Roman"/>
                <w:color w:val="auto"/>
                <w:lang w:val="en-US" w:eastAsia="zh-CN"/>
              </w:rPr>
              <w:t>2506-530402-04-05-163903</w:t>
            </w:r>
            <w:r>
              <w:rPr>
                <w:rFonts w:hint="default" w:ascii="Times New Roman" w:hAnsi="Times New Roman" w:cs="Times New Roman"/>
                <w:color w:val="auto"/>
                <w:lang w:val="en-US" w:eastAsia="zh-CN"/>
              </w:rPr>
              <w:t>，备案文号为</w:t>
            </w:r>
            <w:r>
              <w:rPr>
                <w:rFonts w:hint="default" w:ascii="Times New Roman" w:hAnsi="Times New Roman" w:cs="Times New Roman"/>
                <w:color w:val="auto"/>
                <w:lang w:eastAsia="zh-CN"/>
              </w:rPr>
              <w:t>华发改投资〔2024〕18号，</w:t>
            </w:r>
            <w:r>
              <w:rPr>
                <w:rFonts w:hint="default" w:ascii="Times New Roman" w:hAnsi="Times New Roman" w:cs="Times New Roman"/>
                <w:color w:val="auto"/>
                <w:lang w:val="en-US" w:eastAsia="zh-CN"/>
              </w:rPr>
              <w:t>同意项目建设。</w:t>
            </w:r>
            <w:r>
              <w:rPr>
                <w:rFonts w:hint="eastAsia" w:cs="Times New Roman"/>
                <w:color w:val="auto"/>
                <w:lang w:val="en-US" w:eastAsia="zh-CN"/>
              </w:rPr>
              <w:t xml:space="preserve"> </w:t>
            </w:r>
          </w:p>
          <w:p w14:paraId="47729DF6">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综上所述，项目符合国家和云南省的产业政策。</w:t>
            </w:r>
          </w:p>
          <w:p w14:paraId="3CCFD91B">
            <w:pPr>
              <w:keepNext w:val="0"/>
              <w:keepLines/>
              <w:pageBreakBefore w:val="0"/>
              <w:widowControl w:val="0"/>
              <w:kinsoku/>
              <w:wordWrap w:val="0"/>
              <w:overflowPunct/>
              <w:topLinePunct/>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选址合理性分析</w:t>
            </w:r>
          </w:p>
          <w:p w14:paraId="4301872B">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本项目位于</w:t>
            </w:r>
            <w:r>
              <w:rPr>
                <w:rFonts w:hint="default" w:ascii="Times New Roman" w:hAnsi="Times New Roman" w:cs="Times New Roman" w:eastAsiaTheme="minorEastAsia"/>
                <w:color w:val="auto"/>
                <w:lang w:eastAsia="zh-CN"/>
              </w:rPr>
              <w:t>云南省玉溪市红塔区北城街道刺桐关社区一组岔箐脑</w:t>
            </w:r>
            <w:r>
              <w:rPr>
                <w:rFonts w:hint="default" w:ascii="Times New Roman" w:hAnsi="Times New Roman" w:cs="Times New Roman" w:eastAsiaTheme="minorEastAsia"/>
                <w:color w:val="auto"/>
              </w:rPr>
              <w:t>，</w:t>
            </w:r>
            <w:r>
              <w:rPr>
                <w:rFonts w:hint="default" w:ascii="Times New Roman" w:hAnsi="Times New Roman" w:cs="Times New Roman" w:eastAsiaTheme="minorEastAsia"/>
                <w:color w:val="auto"/>
                <w:lang w:eastAsia="zh-CN"/>
              </w:rPr>
              <w:t>根据</w:t>
            </w:r>
            <w:r>
              <w:rPr>
                <w:rFonts w:hint="default" w:ascii="Times New Roman" w:hAnsi="Times New Roman" w:cs="Times New Roman" w:eastAsiaTheme="minorEastAsia"/>
                <w:color w:val="auto"/>
                <w:lang w:val="en-US" w:eastAsia="zh-CN"/>
              </w:rPr>
              <w:t>红塔区自然资源局于2025年</w:t>
            </w:r>
            <w:r>
              <w:rPr>
                <w:rFonts w:hint="eastAsia" w:cs="Times New Roman" w:eastAsiaTheme="minorEastAsia"/>
                <w:color w:val="auto"/>
                <w:lang w:val="en-US" w:eastAsia="zh-CN"/>
              </w:rPr>
              <w:t>07</w:t>
            </w:r>
            <w:r>
              <w:rPr>
                <w:rFonts w:hint="default" w:ascii="Times New Roman" w:hAnsi="Times New Roman" w:cs="Times New Roman" w:eastAsiaTheme="minorEastAsia"/>
                <w:color w:val="auto"/>
                <w:lang w:val="en-US" w:eastAsia="zh-CN"/>
              </w:rPr>
              <w:t>月</w:t>
            </w:r>
            <w:r>
              <w:rPr>
                <w:rFonts w:hint="eastAsia" w:cs="Times New Roman" w:eastAsiaTheme="minorEastAsia"/>
                <w:color w:val="auto"/>
                <w:lang w:val="en-US" w:eastAsia="zh-CN"/>
              </w:rPr>
              <w:t>15</w:t>
            </w:r>
            <w:r>
              <w:rPr>
                <w:rFonts w:hint="default" w:ascii="Times New Roman" w:hAnsi="Times New Roman" w:cs="Times New Roman" w:eastAsiaTheme="minorEastAsia"/>
                <w:color w:val="auto"/>
                <w:lang w:val="en-US" w:eastAsia="zh-CN"/>
              </w:rPr>
              <w:t>日出具的审查意见（详见附件4），本项目用地位于北城街道刺桐关社区居民委员会村庄建设边界范围外，规划用地性质为采矿用地</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根据现场勘踏和</w:t>
            </w:r>
            <w:r>
              <w:rPr>
                <w:rFonts w:hint="default" w:ascii="Times New Roman" w:hAnsi="Times New Roman" w:cs="Times New Roman" w:eastAsiaTheme="minorEastAsia"/>
                <w:color w:val="auto"/>
                <w:highlight w:val="none"/>
                <w:lang w:val="en-US" w:eastAsia="zh-CN"/>
              </w:rPr>
              <w:t>咨询自然资源局、红塔区北城街道办事处</w:t>
            </w:r>
            <w:r>
              <w:rPr>
                <w:rFonts w:hint="default" w:ascii="Times New Roman" w:hAnsi="Times New Roman" w:cs="Times New Roman" w:eastAsiaTheme="minorEastAsia"/>
                <w:color w:val="auto"/>
                <w:lang w:val="en-US" w:eastAsia="zh-CN"/>
              </w:rPr>
              <w:t>，本项目用地范围内不涉及占压矿藏资源，不涉及占用红塔区永久基本农田（黄色区域），不涉及占用红塔区生态保护红线，符合村庄规划；根据玉溪轻花工贸有限公司于2025年06月05日向红塔区北城街道办事处人民政府提出的《关于玉溪轻花工贸有限公司轻花工贸泡沫颗粒生产线项目建设选址意见的函》可知，本项目不涉及占用红塔区永久基本农田，不涉及占用红塔区生态保护红线，同意项目的选址意见（详见附件5）。</w:t>
            </w:r>
            <w:r>
              <w:rPr>
                <w:rFonts w:hint="eastAsia" w:cs="Times New Roman" w:eastAsiaTheme="minorEastAsia"/>
                <w:color w:val="auto"/>
                <w:lang w:val="en-US" w:eastAsia="zh-CN"/>
              </w:rPr>
              <w:t>根据查询《玉溪市红塔区北城街道国土空间规划（2021-2035年）》可知，本项目选址用地位于工业发展区（详见附图7），故本项目的选址与《玉溪市红塔区北城街道国土空间规划（2021-2035年）》相符。</w:t>
            </w:r>
          </w:p>
          <w:p w14:paraId="6EE5D7DB">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eastAsia="zh-CN"/>
              </w:rPr>
              <w:t>根据</w:t>
            </w:r>
            <w:r>
              <w:rPr>
                <w:rFonts w:hint="default" w:ascii="Times New Roman" w:hAnsi="Times New Roman" w:cs="Times New Roman" w:eastAsiaTheme="minorEastAsia"/>
                <w:color w:val="auto"/>
                <w:lang w:val="en-US" w:eastAsia="zh-CN"/>
              </w:rPr>
              <w:t>现场踏勘</w:t>
            </w:r>
            <w:r>
              <w:rPr>
                <w:rFonts w:hint="default" w:ascii="Times New Roman" w:hAnsi="Times New Roman" w:cs="Times New Roman" w:eastAsiaTheme="minorEastAsia"/>
                <w:color w:val="auto"/>
                <w:lang w:eastAsia="zh-CN"/>
              </w:rPr>
              <w:t>，本项目所在区域不涉及自然保护区、风景名胜区、森林公园，饮用水水源保护区等环境敏感区，环境不敏感；项目区最近地表水为东南侧108m处的后河，后河</w:t>
            </w:r>
            <w:r>
              <w:rPr>
                <w:rFonts w:hint="default" w:ascii="Times New Roman" w:hAnsi="Times New Roman" w:cs="Times New Roman" w:eastAsiaTheme="minorEastAsia"/>
                <w:color w:val="auto"/>
                <w:lang w:val="en-US" w:eastAsia="zh-CN"/>
              </w:rPr>
              <w:t>最终</w:t>
            </w:r>
            <w:r>
              <w:rPr>
                <w:rFonts w:hint="default" w:ascii="Times New Roman" w:hAnsi="Times New Roman" w:cs="Times New Roman" w:eastAsiaTheme="minorEastAsia"/>
                <w:color w:val="auto"/>
                <w:lang w:eastAsia="zh-CN"/>
              </w:rPr>
              <w:t>汇入玉溪大河</w:t>
            </w:r>
            <w:r>
              <w:rPr>
                <w:rFonts w:hint="default" w:ascii="Times New Roman" w:hAnsi="Times New Roman" w:cs="Times New Roman" w:eastAsiaTheme="minorEastAsia"/>
                <w:color w:val="auto"/>
                <w:lang w:val="en-US" w:eastAsia="zh-CN"/>
              </w:rPr>
              <w:t>，根据工程分析可知，</w:t>
            </w:r>
            <w:r>
              <w:rPr>
                <w:rFonts w:hint="default" w:ascii="Times New Roman" w:hAnsi="Times New Roman" w:cs="Times New Roman" w:eastAsiaTheme="minorEastAsia"/>
                <w:color w:val="auto"/>
                <w:lang w:eastAsia="zh-CN"/>
              </w:rPr>
              <w:t>项目运营</w:t>
            </w:r>
            <w:r>
              <w:rPr>
                <w:rFonts w:hint="default" w:ascii="Times New Roman" w:hAnsi="Times New Roman" w:cs="Times New Roman" w:eastAsiaTheme="minorEastAsia"/>
                <w:color w:val="auto"/>
                <w:lang w:val="en-US" w:eastAsia="zh-CN"/>
              </w:rPr>
              <w:t>期</w:t>
            </w:r>
            <w:r>
              <w:rPr>
                <w:rFonts w:hint="default" w:ascii="Times New Roman" w:hAnsi="Times New Roman" w:cs="Times New Roman" w:eastAsiaTheme="minorEastAsia"/>
                <w:color w:val="auto"/>
                <w:lang w:eastAsia="zh-CN"/>
              </w:rPr>
              <w:t>软水制备废水及生物质蒸汽发生器排污水经收集后回用于厂区洒水降尘，</w:t>
            </w:r>
            <w:r>
              <w:rPr>
                <w:rFonts w:hint="default" w:ascii="Times New Roman" w:hAnsi="Times New Roman" w:cs="Times New Roman" w:eastAsiaTheme="minorEastAsia"/>
                <w:color w:val="auto"/>
                <w:lang w:val="en-US" w:eastAsia="zh-CN"/>
              </w:rPr>
              <w:t>不外排，</w:t>
            </w:r>
            <w:r>
              <w:rPr>
                <w:rFonts w:hint="default" w:ascii="Times New Roman" w:hAnsi="Times New Roman" w:cs="Times New Roman" w:eastAsiaTheme="minorEastAsia"/>
                <w:color w:val="auto"/>
                <w:lang w:eastAsia="zh-CN"/>
              </w:rPr>
              <w:t>发泡工段蒸汽冷凝水用于</w:t>
            </w:r>
            <w:r>
              <w:rPr>
                <w:rFonts w:hint="eastAsia" w:cs="Times New Roman" w:eastAsiaTheme="minorEastAsia"/>
                <w:color w:val="auto"/>
                <w:lang w:eastAsia="zh-CN"/>
              </w:rPr>
              <w:t>生物质蒸汽发生器</w:t>
            </w:r>
            <w:r>
              <w:rPr>
                <w:rFonts w:hint="default" w:ascii="Times New Roman" w:hAnsi="Times New Roman" w:cs="Times New Roman" w:eastAsiaTheme="minorEastAsia"/>
                <w:color w:val="auto"/>
                <w:lang w:eastAsia="zh-CN"/>
              </w:rPr>
              <w:t>损耗补充水，</w:t>
            </w:r>
            <w:r>
              <w:rPr>
                <w:rFonts w:hint="default" w:ascii="Times New Roman" w:hAnsi="Times New Roman" w:cs="Times New Roman" w:eastAsiaTheme="minorEastAsia"/>
                <w:color w:val="auto"/>
                <w:lang w:val="en-US" w:eastAsia="zh-CN"/>
              </w:rPr>
              <w:t>不外排，</w:t>
            </w:r>
            <w:r>
              <w:rPr>
                <w:rFonts w:hint="default" w:ascii="Times New Roman" w:hAnsi="Times New Roman" w:cs="Times New Roman" w:eastAsiaTheme="minorEastAsia"/>
                <w:color w:val="auto"/>
                <w:lang w:eastAsia="zh-CN"/>
              </w:rPr>
              <w:t>食堂废水经油水分离器隔油后与其</w:t>
            </w:r>
            <w:r>
              <w:rPr>
                <w:rFonts w:hint="default" w:ascii="Times New Roman" w:hAnsi="Times New Roman" w:cs="Times New Roman" w:eastAsiaTheme="minorEastAsia"/>
                <w:color w:val="auto"/>
                <w:lang w:val="en-US" w:eastAsia="zh-CN"/>
              </w:rPr>
              <w:t>它</w:t>
            </w:r>
            <w:r>
              <w:rPr>
                <w:rFonts w:hint="default" w:ascii="Times New Roman" w:hAnsi="Times New Roman" w:cs="Times New Roman" w:eastAsiaTheme="minorEastAsia"/>
                <w:color w:val="auto"/>
                <w:lang w:eastAsia="zh-CN"/>
              </w:rPr>
              <w:t>生活污水一起进入化粪池，经化粪池（</w:t>
            </w:r>
            <w:r>
              <w:rPr>
                <w:rFonts w:hint="eastAsia" w:ascii="Times New Roman" w:hAnsi="Times New Roman" w:cs="Times New Roman" w:eastAsiaTheme="minorEastAsia"/>
                <w:color w:val="auto"/>
                <w:lang w:val="en-US" w:eastAsia="zh-CN"/>
              </w:rPr>
              <w:t>2</w:t>
            </w:r>
            <w:r>
              <w:rPr>
                <w:rFonts w:hint="default" w:ascii="Times New Roman" w:hAnsi="Times New Roman" w:cs="Times New Roman" w:eastAsiaTheme="minorEastAsia"/>
                <w:color w:val="auto"/>
                <w:lang w:eastAsia="zh-CN"/>
              </w:rPr>
              <w:t>m</w:t>
            </w:r>
            <w:r>
              <w:rPr>
                <w:rFonts w:hint="default" w:ascii="Times New Roman" w:hAnsi="Times New Roman" w:cs="Times New Roman" w:eastAsiaTheme="minorEastAsia"/>
                <w:color w:val="auto"/>
                <w:vertAlign w:val="superscript"/>
                <w:lang w:eastAsia="zh-CN"/>
              </w:rPr>
              <w:t>3</w:t>
            </w:r>
            <w:r>
              <w:rPr>
                <w:rFonts w:hint="default" w:ascii="Times New Roman" w:hAnsi="Times New Roman" w:cs="Times New Roman" w:eastAsiaTheme="minorEastAsia"/>
                <w:color w:val="auto"/>
                <w:lang w:eastAsia="zh-CN"/>
              </w:rPr>
              <w:t>）预处理后，</w:t>
            </w:r>
            <w:r>
              <w:rPr>
                <w:rFonts w:hint="eastAsia" w:ascii="Times New Roman" w:hAnsi="Times New Roman" w:cs="Times New Roman" w:eastAsiaTheme="minorEastAsia"/>
                <w:color w:val="auto"/>
                <w:lang w:val="en-US" w:eastAsia="zh-CN"/>
              </w:rPr>
              <w:t>通过泵输送至项目新建的2m</w:t>
            </w:r>
            <w:r>
              <w:rPr>
                <w:rFonts w:hint="eastAsia" w:ascii="Times New Roman" w:hAnsi="Times New Roman" w:cs="Times New Roman" w:eastAsiaTheme="minorEastAsia"/>
                <w:color w:val="auto"/>
                <w:vertAlign w:val="superscript"/>
                <w:lang w:val="en-US" w:eastAsia="zh-CN"/>
              </w:rPr>
              <w:t>3</w:t>
            </w:r>
            <w:r>
              <w:rPr>
                <w:rFonts w:hint="eastAsia" w:ascii="Times New Roman" w:hAnsi="Times New Roman" w:cs="Times New Roman" w:eastAsiaTheme="minorEastAsia"/>
                <w:color w:val="auto"/>
                <w:lang w:val="en-US" w:eastAsia="zh-CN"/>
              </w:rPr>
              <w:t>/d的一体化污水处理设施，经处理达标后，晴天回用于厂区绿化或道路清扫，不外排，雨天</w:t>
            </w:r>
            <w:r>
              <w:rPr>
                <w:rFonts w:hint="eastAsia" w:cs="Times New Roman" w:eastAsiaTheme="minorEastAsia"/>
                <w:color w:val="auto"/>
                <w:lang w:val="en-US" w:eastAsia="zh-CN"/>
              </w:rPr>
              <w:t>暂存</w:t>
            </w:r>
            <w:r>
              <w:rPr>
                <w:rFonts w:hint="eastAsia" w:ascii="Times New Roman" w:hAnsi="Times New Roman" w:cs="Times New Roman" w:eastAsiaTheme="minorEastAsia"/>
                <w:color w:val="auto"/>
                <w:lang w:val="en-US" w:eastAsia="zh-CN"/>
              </w:rPr>
              <w:t>于中水池，</w:t>
            </w:r>
            <w:r>
              <w:rPr>
                <w:rFonts w:hint="eastAsia" w:cs="Times New Roman" w:eastAsiaTheme="minorEastAsia"/>
                <w:color w:val="auto"/>
                <w:lang w:val="en-US" w:eastAsia="zh-CN"/>
              </w:rPr>
              <w:t>待晴天后，</w:t>
            </w:r>
            <w:r>
              <w:rPr>
                <w:rFonts w:hint="eastAsia" w:ascii="Times New Roman" w:hAnsi="Times New Roman" w:cs="Times New Roman" w:eastAsiaTheme="minorEastAsia"/>
                <w:color w:val="auto"/>
                <w:lang w:val="en-US" w:eastAsia="zh-CN"/>
              </w:rPr>
              <w:t>回用于厂区绿化或道路清扫，不外排</w:t>
            </w:r>
            <w:r>
              <w:rPr>
                <w:rFonts w:hint="default" w:ascii="Times New Roman" w:hAnsi="Times New Roman" w:cs="Times New Roman" w:eastAsiaTheme="minorEastAsia"/>
                <w:color w:val="auto"/>
                <w:lang w:val="en-US" w:eastAsia="zh-CN"/>
              </w:rPr>
              <w:t>，本项目运营期</w:t>
            </w:r>
            <w:r>
              <w:rPr>
                <w:rFonts w:hint="default" w:ascii="Times New Roman" w:hAnsi="Times New Roman" w:cs="Times New Roman" w:eastAsiaTheme="minorEastAsia"/>
                <w:color w:val="auto"/>
                <w:lang w:eastAsia="zh-CN"/>
              </w:rPr>
              <w:t>无废水外排，对周边地表水环境（</w:t>
            </w:r>
            <w:r>
              <w:rPr>
                <w:rFonts w:hint="default" w:ascii="Times New Roman" w:hAnsi="Times New Roman" w:cs="Times New Roman" w:eastAsiaTheme="minorEastAsia"/>
                <w:color w:val="auto"/>
                <w:lang w:val="en-US" w:eastAsia="zh-CN"/>
              </w:rPr>
              <w:t>玉溪大河</w:t>
            </w:r>
            <w:r>
              <w:rPr>
                <w:rFonts w:hint="default" w:ascii="Times New Roman" w:hAnsi="Times New Roman" w:cs="Times New Roman" w:eastAsiaTheme="minorEastAsia"/>
                <w:color w:val="auto"/>
                <w:lang w:eastAsia="zh-CN"/>
              </w:rPr>
              <w:t>）影响较小，</w:t>
            </w:r>
            <w:r>
              <w:rPr>
                <w:rFonts w:hint="default" w:ascii="Times New Roman" w:hAnsi="Times New Roman" w:cs="Times New Roman" w:eastAsiaTheme="minorEastAsia"/>
                <w:color w:val="auto"/>
                <w:lang w:val="en-US" w:eastAsia="zh-CN"/>
              </w:rPr>
              <w:t>本项目发泡工段产生的有机废气经集气罩+两级活性炭装置处理达标后，通过1根15m排气筒（DA001）外排，生物质蒸汽发生器燃烧产生的废气经</w:t>
            </w:r>
            <w:r>
              <w:rPr>
                <w:rFonts w:hint="eastAsia" w:ascii="Times New Roman" w:hAnsi="Times New Roman" w:cs="Times New Roman" w:eastAsiaTheme="minorEastAsia"/>
                <w:color w:val="auto"/>
                <w:lang w:val="en-US" w:eastAsia="zh-CN"/>
              </w:rPr>
              <w:t>旋风除尘+布袋除尘</w:t>
            </w:r>
            <w:r>
              <w:rPr>
                <w:rFonts w:hint="default" w:ascii="Times New Roman" w:hAnsi="Times New Roman" w:cs="Times New Roman" w:eastAsiaTheme="minorEastAsia"/>
                <w:color w:val="auto"/>
                <w:lang w:val="en-US" w:eastAsia="zh-CN"/>
              </w:rPr>
              <w:t>处理后，通过1根30m排气筒（DA002）外排，</w:t>
            </w:r>
            <w:r>
              <w:rPr>
                <w:rFonts w:hint="default" w:ascii="Times New Roman" w:hAnsi="Times New Roman" w:cs="Times New Roman" w:eastAsiaTheme="minorEastAsia"/>
                <w:color w:val="auto"/>
                <w:lang w:eastAsia="zh-CN"/>
              </w:rPr>
              <w:t>对周边环境影响较小，经预测，项目噪声</w:t>
            </w:r>
            <w:r>
              <w:rPr>
                <w:rFonts w:hint="default" w:ascii="Times New Roman" w:hAnsi="Times New Roman" w:cs="Times New Roman" w:eastAsiaTheme="minorEastAsia"/>
                <w:color w:val="auto"/>
                <w:lang w:val="en-US" w:eastAsia="zh-CN"/>
              </w:rPr>
              <w:t>可以达标排放</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项目运营期产生的固废处置率为100%，对外环境影响较小。</w:t>
            </w:r>
          </w:p>
          <w:p w14:paraId="6F4B9A68">
            <w:pPr>
              <w:keepNext w:val="0"/>
              <w:keepLines/>
              <w:pageBreakBefore w:val="0"/>
              <w:widowControl w:val="0"/>
              <w:kinsoku/>
              <w:wordWrap w:val="0"/>
              <w:overflowPunct/>
              <w:topLinePunct/>
              <w:autoSpaceDE/>
              <w:autoSpaceDN/>
              <w:bidi w:val="0"/>
              <w:adjustRightInd/>
              <w:snapToGrid/>
              <w:ind w:firstLine="48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eastAsia="zh-CN"/>
              </w:rPr>
              <w:t>综上所述，本项目用地性质</w:t>
            </w:r>
            <w:r>
              <w:rPr>
                <w:rFonts w:hint="default" w:ascii="Times New Roman" w:hAnsi="Times New Roman" w:cs="Times New Roman" w:eastAsiaTheme="minorEastAsia"/>
                <w:color w:val="auto"/>
                <w:lang w:val="en-US" w:eastAsia="zh-CN"/>
              </w:rPr>
              <w:t>为采矿用地，根据现场踏勘和建设单位提供的资料，本项目用地范围内不涉及占压矿产资源，目前该地块周边建设有《</w:t>
            </w:r>
            <w:r>
              <w:rPr>
                <w:rFonts w:hint="default" w:ascii="Times New Roman" w:hAnsi="Times New Roman" w:cs="Times New Roman" w:eastAsiaTheme="minorEastAsia"/>
                <w:color w:val="auto"/>
                <w:lang w:eastAsia="zh-CN"/>
              </w:rPr>
              <w:t>EPS泡沫颗粒生产线项目</w:t>
            </w:r>
            <w:r>
              <w:rPr>
                <w:rFonts w:hint="default" w:ascii="Times New Roman" w:hAnsi="Times New Roman" w:cs="Times New Roman" w:eastAsiaTheme="minorEastAsia"/>
                <w:color w:val="auto"/>
                <w:lang w:val="en-US" w:eastAsia="zh-CN"/>
              </w:rPr>
              <w:t>》、《啤酒副产品（废酵母液、湿酒糟）的回收与加工项目》和《年产1万吨PP、PE塑料颗粒项目》等，项目用地</w:t>
            </w:r>
            <w:r>
              <w:rPr>
                <w:rFonts w:hint="eastAsia" w:ascii="Times New Roman" w:hAnsi="Times New Roman" w:cs="Times New Roman" w:eastAsiaTheme="minorEastAsia"/>
                <w:color w:val="auto"/>
                <w:lang w:val="en-US" w:eastAsia="zh-CN"/>
              </w:rPr>
              <w:t>符合《玉溪市红塔区北城街道国土空间规划（2021-2035年）》</w:t>
            </w:r>
            <w:r>
              <w:rPr>
                <w:rFonts w:hint="default" w:ascii="Times New Roman" w:hAnsi="Times New Roman" w:cs="Times New Roman" w:eastAsiaTheme="minorEastAsia"/>
                <w:color w:val="auto"/>
                <w:lang w:eastAsia="zh-CN"/>
              </w:rPr>
              <w:t>，选址环境不敏感，</w:t>
            </w:r>
            <w:r>
              <w:rPr>
                <w:rFonts w:hint="default" w:ascii="Times New Roman" w:hAnsi="Times New Roman" w:cs="Times New Roman" w:eastAsiaTheme="minorEastAsia"/>
                <w:color w:val="auto"/>
                <w:lang w:val="en-US" w:eastAsia="zh-CN"/>
              </w:rPr>
              <w:t>在采取环评提出的措施后，项目生产过程中产生的污染对周围环境影响较小，</w:t>
            </w:r>
            <w:r>
              <w:rPr>
                <w:rFonts w:hint="default" w:ascii="Times New Roman" w:hAnsi="Times New Roman" w:cs="Times New Roman" w:eastAsiaTheme="minorEastAsia"/>
                <w:color w:val="auto"/>
                <w:lang w:eastAsia="zh-CN"/>
              </w:rPr>
              <w:t>项目建设不会改变和降低周边环境质量和功能，从环境影响角度分析本项目选址合理。</w:t>
            </w:r>
          </w:p>
          <w:p w14:paraId="18270AC2">
            <w:pPr>
              <w:keepNext w:val="0"/>
              <w:keepLines/>
              <w:pageBreakBefore w:val="0"/>
              <w:widowControl w:val="0"/>
              <w:kinsoku/>
              <w:wordWrap w:val="0"/>
              <w:overflowPunct/>
              <w:topLinePunct/>
              <w:autoSpaceDE/>
              <w:autoSpaceDN/>
              <w:bidi w:val="0"/>
              <w:adjustRightInd/>
              <w:snapToGrid/>
              <w:ind w:firstLine="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平面布置合理性分析</w:t>
            </w:r>
          </w:p>
          <w:p w14:paraId="45202FF4">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color w:val="auto"/>
                <w:sz w:val="24"/>
                <w:szCs w:val="24"/>
                <w:lang w:eastAsia="zh-CN"/>
              </w:rPr>
              <w:t>本项目</w:t>
            </w:r>
            <w:r>
              <w:rPr>
                <w:rFonts w:hint="default" w:ascii="Times New Roman" w:hAnsi="Times New Roman" w:eastAsia="宋体" w:cs="Times New Roman"/>
                <w:color w:val="auto"/>
                <w:sz w:val="24"/>
                <w:szCs w:val="24"/>
                <w:lang w:val="en-US" w:eastAsia="zh-CN"/>
              </w:rPr>
              <w:t>租用</w:t>
            </w:r>
            <w:r>
              <w:rPr>
                <w:rFonts w:hint="eastAsia" w:cs="Times New Roman"/>
                <w:color w:val="auto"/>
                <w:lang w:eastAsia="zh-CN"/>
              </w:rPr>
              <w:t>红塔区北城街道刺桐关社区一组岔箐脑</w:t>
            </w:r>
            <w:r>
              <w:rPr>
                <w:rFonts w:hint="eastAsia" w:cs="Times New Roman"/>
                <w:color w:val="auto"/>
                <w:sz w:val="24"/>
                <w:szCs w:val="24"/>
                <w:lang w:val="en-US" w:eastAsia="zh-CN"/>
              </w:rPr>
              <w:t>闲置</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封闭厂房</w:t>
            </w:r>
            <w:r>
              <w:rPr>
                <w:rFonts w:hint="eastAsia" w:ascii="Times New Roman" w:hAnsi="Times New Roman" w:eastAsia="宋体" w:cs="Times New Roman"/>
                <w:color w:val="auto"/>
                <w:sz w:val="24"/>
                <w:szCs w:val="24"/>
                <w:lang w:val="en-US" w:eastAsia="zh-CN"/>
              </w:rPr>
              <w:t>进行建设</w:t>
            </w:r>
            <w:r>
              <w:rPr>
                <w:rFonts w:hint="eastAsia" w:cs="Times New Roman"/>
                <w:color w:val="auto"/>
                <w:sz w:val="24"/>
                <w:szCs w:val="24"/>
                <w:lang w:val="en-US" w:eastAsia="zh-CN"/>
              </w:rPr>
              <w:t>（该厂房为本项目法人租用的空地上已经建设完成的厂房，本项目法人租用该地块时，包含已建设完成的厂房和部分闲置场地）</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占地面积为</w:t>
            </w:r>
            <w:r>
              <w:rPr>
                <w:rFonts w:hint="eastAsia" w:cs="Times New Roman"/>
                <w:color w:val="auto"/>
                <w:sz w:val="24"/>
                <w:szCs w:val="24"/>
                <w:lang w:val="en-US" w:eastAsia="zh-CN"/>
              </w:rPr>
              <w:t>3240</w:t>
            </w:r>
            <w:r>
              <w:rPr>
                <w:rFonts w:hint="default" w:ascii="Times New Roman" w:hAnsi="Times New Roman" w:eastAsia="宋体" w:cs="Times New Roman"/>
                <w:color w:val="auto"/>
                <w:sz w:val="24"/>
                <w:szCs w:val="24"/>
                <w:lang w:val="en-US" w:eastAsia="zh-CN"/>
              </w:rPr>
              <w:t>m</w:t>
            </w:r>
            <w:r>
              <w:rPr>
                <w:rFonts w:hint="default"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项目总体布局较简单</w:t>
            </w:r>
            <w:r>
              <w:rPr>
                <w:rFonts w:hint="default" w:ascii="Times New Roman" w:hAnsi="Times New Roman" w:eastAsia="宋体" w:cs="Times New Roman"/>
                <w:color w:val="auto"/>
                <w:sz w:val="24"/>
                <w:lang w:eastAsia="zh-CN"/>
              </w:rPr>
              <w:t>，</w:t>
            </w:r>
            <w:r>
              <w:rPr>
                <w:rFonts w:hint="eastAsia" w:cs="Times New Roman"/>
                <w:color w:val="auto"/>
                <w:sz w:val="24"/>
                <w:lang w:val="en-US" w:eastAsia="zh-CN"/>
              </w:rPr>
              <w:t>整个生产工段布设于封闭的厂房内，</w:t>
            </w:r>
            <w:r>
              <w:rPr>
                <w:rFonts w:hint="default" w:ascii="Times New Roman" w:hAnsi="Times New Roman" w:eastAsia="宋体" w:cs="Times New Roman"/>
                <w:color w:val="auto"/>
                <w:sz w:val="24"/>
                <w:lang w:val="en-US" w:eastAsia="zh-CN"/>
              </w:rPr>
              <w:t>从</w:t>
            </w:r>
            <w:r>
              <w:rPr>
                <w:rFonts w:hint="eastAsia" w:cs="Times New Roman"/>
                <w:color w:val="auto"/>
                <w:sz w:val="24"/>
                <w:lang w:val="en-US" w:eastAsia="zh-CN"/>
              </w:rPr>
              <w:t>东</w:t>
            </w:r>
            <w:r>
              <w:rPr>
                <w:rFonts w:hint="default" w:ascii="Times New Roman" w:hAnsi="Times New Roman" w:eastAsia="宋体" w:cs="Times New Roman"/>
                <w:color w:val="auto"/>
                <w:sz w:val="24"/>
                <w:lang w:val="en-US" w:eastAsia="zh-CN"/>
              </w:rPr>
              <w:t>北往</w:t>
            </w:r>
            <w:r>
              <w:rPr>
                <w:rFonts w:hint="eastAsia" w:cs="Times New Roman"/>
                <w:color w:val="auto"/>
                <w:sz w:val="24"/>
                <w:lang w:val="en-US" w:eastAsia="zh-CN"/>
              </w:rPr>
              <w:t>西</w:t>
            </w:r>
            <w:r>
              <w:rPr>
                <w:rFonts w:hint="default" w:ascii="Times New Roman" w:hAnsi="Times New Roman" w:eastAsia="宋体" w:cs="Times New Roman"/>
                <w:color w:val="auto"/>
                <w:sz w:val="24"/>
                <w:lang w:val="en-US" w:eastAsia="zh-CN"/>
              </w:rPr>
              <w:t>南依次为</w:t>
            </w:r>
            <w:r>
              <w:rPr>
                <w:rFonts w:hint="eastAsia" w:cs="Times New Roman"/>
                <w:color w:val="auto"/>
                <w:sz w:val="24"/>
                <w:lang w:val="en-US" w:eastAsia="zh-CN"/>
              </w:rPr>
              <w:t>原料区、生产加工区、成品堆存区、生物质蒸汽发生器区、一般固废暂存区以及危废暂存间</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eastAsia="zh-CN"/>
              </w:rPr>
              <w:t>项目主要噪声污染源布置在生产车间内，以确保项目厂界噪声达标，避免项目噪声对周边</w:t>
            </w:r>
            <w:r>
              <w:rPr>
                <w:rFonts w:hint="eastAsia" w:cs="Times New Roman"/>
                <w:color w:val="auto"/>
                <w:sz w:val="24"/>
                <w:szCs w:val="24"/>
                <w:lang w:val="en-US" w:eastAsia="zh-CN"/>
              </w:rPr>
              <w:t>敏感点</w:t>
            </w:r>
            <w:r>
              <w:rPr>
                <w:rFonts w:hint="default" w:ascii="Times New Roman" w:hAnsi="Times New Roman" w:eastAsia="宋体" w:cs="Times New Roman"/>
                <w:color w:val="auto"/>
                <w:sz w:val="24"/>
                <w:szCs w:val="24"/>
                <w:lang w:eastAsia="zh-CN"/>
              </w:rPr>
              <w:t>的影响，</w:t>
            </w:r>
            <w:r>
              <w:rPr>
                <w:rFonts w:hint="eastAsia" w:cs="Times New Roman"/>
                <w:color w:val="auto"/>
                <w:sz w:val="24"/>
                <w:szCs w:val="24"/>
                <w:lang w:val="en-US" w:eastAsia="zh-CN"/>
              </w:rPr>
              <w:t>发泡</w:t>
            </w:r>
            <w:r>
              <w:rPr>
                <w:rFonts w:hint="default" w:ascii="Times New Roman" w:hAnsi="Times New Roman" w:eastAsia="宋体" w:cs="Times New Roman"/>
                <w:color w:val="auto"/>
                <w:sz w:val="24"/>
                <w:szCs w:val="24"/>
                <w:lang w:val="en-US" w:eastAsia="zh-CN"/>
              </w:rPr>
              <w:t>工段产生的废气经配套建设的</w:t>
            </w:r>
            <w:r>
              <w:rPr>
                <w:rFonts w:hint="eastAsia" w:cs="Times New Roman"/>
                <w:color w:val="auto"/>
                <w:sz w:val="24"/>
                <w:szCs w:val="24"/>
                <w:lang w:val="en-US" w:eastAsia="zh-CN"/>
              </w:rPr>
              <w:t>两级活性炭</w:t>
            </w:r>
            <w:r>
              <w:rPr>
                <w:rFonts w:hint="default" w:ascii="Times New Roman" w:hAnsi="Times New Roman" w:eastAsia="宋体" w:cs="Times New Roman"/>
                <w:color w:val="auto"/>
                <w:sz w:val="24"/>
                <w:szCs w:val="24"/>
                <w:lang w:val="en-US" w:eastAsia="zh-CN"/>
              </w:rPr>
              <w:t>吸附装置处理后，经1根15m排气筒</w:t>
            </w:r>
            <w:r>
              <w:rPr>
                <w:rFonts w:hint="eastAsia" w:cs="Times New Roman"/>
                <w:color w:val="auto"/>
                <w:sz w:val="24"/>
                <w:szCs w:val="24"/>
                <w:lang w:val="en-US" w:eastAsia="zh-CN"/>
              </w:rPr>
              <w:t>（DA001）</w:t>
            </w:r>
            <w:r>
              <w:rPr>
                <w:rFonts w:hint="default" w:ascii="Times New Roman" w:hAnsi="Times New Roman" w:eastAsia="宋体" w:cs="Times New Roman"/>
                <w:color w:val="auto"/>
                <w:sz w:val="24"/>
                <w:szCs w:val="24"/>
                <w:lang w:val="en-US" w:eastAsia="zh-CN"/>
              </w:rPr>
              <w:t>外排，对外环境影响较小，</w:t>
            </w:r>
            <w:r>
              <w:rPr>
                <w:rFonts w:hint="eastAsia" w:cs="Times New Roman"/>
                <w:color w:val="auto"/>
                <w:sz w:val="24"/>
                <w:szCs w:val="24"/>
                <w:lang w:val="en-US" w:eastAsia="zh-CN"/>
              </w:rPr>
              <w:t>生物质蒸汽发生器产生的废气经旋风除尘+布袋除尘处理后，通过1根30m排气筒（DA002）外排，对外环境影响较小。办公生活区布设于闲置的场地，采用简易的活动板房，位于项目东南面，远离生产区，尽量减少生产工段产生的污染对办公生活区的影响，厨房紧邻办公生活区，为砖混结构，蓄水池（1个，容积为100m</w:t>
            </w:r>
            <w:r>
              <w:rPr>
                <w:rFonts w:hint="eastAsia" w:cs="Times New Roman"/>
                <w:color w:val="auto"/>
                <w:sz w:val="24"/>
                <w:szCs w:val="24"/>
                <w:vertAlign w:val="superscript"/>
                <w:lang w:val="en-US" w:eastAsia="zh-CN"/>
              </w:rPr>
              <w:t>3</w:t>
            </w:r>
            <w:r>
              <w:rPr>
                <w:rFonts w:hint="eastAsia" w:cs="Times New Roman"/>
                <w:color w:val="auto"/>
                <w:sz w:val="24"/>
                <w:szCs w:val="24"/>
                <w:lang w:val="en-US" w:eastAsia="zh-CN"/>
              </w:rPr>
              <w:t>，主要用于厂区停水时，保证生产正常运行）位于办公生活区中部，</w:t>
            </w:r>
            <w:r>
              <w:rPr>
                <w:rFonts w:hint="eastAsia" w:cs="Times New Roman" w:eastAsiaTheme="minorEastAsia"/>
                <w:color w:val="auto"/>
                <w:sz w:val="24"/>
                <w:szCs w:val="24"/>
                <w:lang w:val="en-US" w:eastAsia="zh-CN"/>
              </w:rPr>
              <w:t>一体化污水处理设施和化粪池布设于生活区西南侧，</w:t>
            </w:r>
            <w:r>
              <w:rPr>
                <w:rFonts w:hint="default" w:ascii="Times New Roman" w:hAnsi="Times New Roman" w:eastAsia="宋体" w:cs="Times New Roman"/>
                <w:color w:val="auto"/>
                <w:sz w:val="24"/>
                <w:szCs w:val="24"/>
                <w:lang w:val="en-US" w:eastAsia="zh-CN"/>
              </w:rPr>
              <w:t>项目出入口布设于厂区</w:t>
            </w:r>
            <w:r>
              <w:rPr>
                <w:rFonts w:hint="eastAsia" w:cs="Times New Roman"/>
                <w:color w:val="auto"/>
                <w:sz w:val="24"/>
                <w:szCs w:val="24"/>
                <w:lang w:val="en-US" w:eastAsia="zh-CN"/>
              </w:rPr>
              <w:t>东</w:t>
            </w:r>
            <w:r>
              <w:rPr>
                <w:rFonts w:hint="default" w:ascii="Times New Roman" w:hAnsi="Times New Roman" w:eastAsia="宋体" w:cs="Times New Roman"/>
                <w:color w:val="auto"/>
                <w:sz w:val="24"/>
                <w:szCs w:val="24"/>
                <w:lang w:val="en-US" w:eastAsia="zh-CN"/>
              </w:rPr>
              <w:t>侧，临近</w:t>
            </w:r>
            <w:r>
              <w:rPr>
                <w:rFonts w:hint="eastAsia" w:cs="Times New Roman"/>
                <w:color w:val="auto"/>
                <w:sz w:val="24"/>
                <w:szCs w:val="24"/>
                <w:lang w:val="en-US" w:eastAsia="zh-CN"/>
              </w:rPr>
              <w:t>内部道路</w:t>
            </w:r>
            <w:r>
              <w:rPr>
                <w:rFonts w:hint="default" w:ascii="Times New Roman" w:hAnsi="Times New Roman" w:eastAsia="宋体" w:cs="Times New Roman"/>
                <w:color w:val="auto"/>
                <w:sz w:val="24"/>
                <w:szCs w:val="24"/>
                <w:lang w:val="en-US" w:eastAsia="zh-CN"/>
              </w:rPr>
              <w:t>，方便原料和成品的运输</w:t>
            </w:r>
            <w:r>
              <w:rPr>
                <w:rFonts w:hint="default" w:ascii="Times New Roman" w:hAnsi="Times New Roman" w:eastAsia="宋体" w:cs="Times New Roman"/>
                <w:color w:val="auto"/>
                <w:sz w:val="24"/>
                <w:szCs w:val="24"/>
                <w:lang w:val="en-US" w:eastAsia="zh-CN" w:bidi="ar-SA"/>
              </w:rPr>
              <w:t>。</w:t>
            </w:r>
          </w:p>
          <w:p w14:paraId="608AA24A">
            <w:pPr>
              <w:keepNext w:val="0"/>
              <w:keepLines/>
              <w:pageBreakBefore w:val="0"/>
              <w:widowControl w:val="0"/>
              <w:kinsoku/>
              <w:wordWrap w:val="0"/>
              <w:overflowPunct/>
              <w:topLinePunct/>
              <w:autoSpaceDE/>
              <w:autoSpaceDN/>
              <w:bidi w:val="0"/>
              <w:adjustRightInd/>
              <w:snapToGrid/>
              <w:textAlignment w:val="auto"/>
              <w:rPr>
                <w:rFonts w:hint="default" w:ascii="Times New Roman" w:hAnsi="Times New Roman" w:cs="Times New Roman"/>
                <w:b/>
                <w:bCs/>
                <w:color w:val="auto"/>
                <w:lang w:val="en-US" w:eastAsia="zh-CN"/>
              </w:rPr>
            </w:pPr>
            <w:r>
              <w:rPr>
                <w:rFonts w:hint="default" w:ascii="Times New Roman" w:hAnsi="Times New Roman" w:cs="Times New Roman"/>
                <w:color w:val="auto"/>
              </w:rPr>
              <w:t>项目内各功能区划分明确，</w:t>
            </w:r>
            <w:r>
              <w:rPr>
                <w:rFonts w:hint="eastAsia" w:cs="Times New Roman"/>
                <w:color w:val="auto"/>
                <w:lang w:eastAsia="zh-CN"/>
              </w:rPr>
              <w:t>便于生产</w:t>
            </w:r>
            <w:r>
              <w:rPr>
                <w:rFonts w:hint="default" w:ascii="Times New Roman" w:hAnsi="Times New Roman" w:cs="Times New Roman"/>
                <w:color w:val="auto"/>
              </w:rPr>
              <w:t>，生产车间距离周边敏感点较远，按此平面布置运营后产生的各项污染物对周边环境影响较小，平面布置合理。</w:t>
            </w:r>
          </w:p>
          <w:p w14:paraId="3D95991D">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本项目平面布置</w:t>
            </w:r>
            <w:r>
              <w:rPr>
                <w:rFonts w:hint="default" w:ascii="Times New Roman" w:hAnsi="Times New Roman" w:eastAsia="宋体" w:cs="Times New Roman"/>
                <w:color w:val="auto"/>
                <w:sz w:val="24"/>
                <w:szCs w:val="24"/>
                <w:lang w:eastAsia="zh-CN"/>
              </w:rPr>
              <w:t>详</w:t>
            </w:r>
            <w:r>
              <w:rPr>
                <w:rFonts w:hint="default" w:ascii="Times New Roman" w:hAnsi="Times New Roman" w:eastAsia="宋体" w:cs="Times New Roman"/>
                <w:color w:val="auto"/>
                <w:sz w:val="24"/>
                <w:szCs w:val="24"/>
              </w:rPr>
              <w:t>见附图</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p>
          <w:p w14:paraId="3FE80115">
            <w:pPr>
              <w:keepNext w:val="0"/>
              <w:keepLines/>
              <w:pageBreakBefore w:val="0"/>
              <w:widowControl w:val="0"/>
              <w:kinsoku/>
              <w:wordWrap w:val="0"/>
              <w:overflowPunct/>
              <w:topLinePunct/>
              <w:autoSpaceDE/>
              <w:autoSpaceDN/>
              <w:bidi w:val="0"/>
              <w:adjustRightInd/>
              <w:snapToGrid/>
              <w:ind w:firstLine="0" w:firstLineChars="0"/>
              <w:textAlignment w:val="auto"/>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4、</w:t>
            </w:r>
            <w:bookmarkStart w:id="3" w:name="_Toc16777"/>
            <w:bookmarkStart w:id="4" w:name="_Toc17902"/>
            <w:bookmarkStart w:id="5" w:name="_Toc4410"/>
            <w:r>
              <w:rPr>
                <w:rFonts w:hint="eastAsia" w:ascii="Times New Roman" w:hAnsi="Times New Roman" w:cs="Times New Roman"/>
                <w:b/>
                <w:bCs/>
                <w:color w:val="auto"/>
                <w:lang w:val="en-US" w:eastAsia="zh-CN"/>
              </w:rPr>
              <w:t>与《云南省主体功能区规划》相符性分析</w:t>
            </w:r>
            <w:bookmarkEnd w:id="3"/>
            <w:bookmarkEnd w:id="4"/>
            <w:bookmarkEnd w:id="5"/>
          </w:p>
          <w:p w14:paraId="6A826346">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rPr>
              <w:t>2014年1月6日，云南省人民政府以</w:t>
            </w:r>
            <w:r>
              <w:rPr>
                <w:rFonts w:hint="eastAsia" w:cs="Times New Roman"/>
                <w:color w:val="auto"/>
                <w:kern w:val="0"/>
                <w:lang w:eastAsia="zh-CN"/>
              </w:rPr>
              <w:t>“</w:t>
            </w:r>
            <w:r>
              <w:rPr>
                <w:rFonts w:hint="default" w:ascii="Times New Roman" w:hAnsi="Times New Roman" w:eastAsia="宋体" w:cs="Times New Roman"/>
                <w:color w:val="auto"/>
                <w:kern w:val="0"/>
              </w:rPr>
              <w:t>云政发〔2014〕1号</w:t>
            </w:r>
            <w:r>
              <w:rPr>
                <w:rFonts w:hint="eastAsia" w:cs="Times New Roman"/>
                <w:color w:val="auto"/>
                <w:kern w:val="0"/>
                <w:lang w:eastAsia="zh-CN"/>
              </w:rPr>
              <w:t>”</w:t>
            </w:r>
            <w:r>
              <w:rPr>
                <w:rFonts w:hint="default" w:ascii="Times New Roman" w:hAnsi="Times New Roman" w:eastAsia="宋体" w:cs="Times New Roman"/>
                <w:color w:val="auto"/>
                <w:kern w:val="0"/>
              </w:rPr>
              <w:t>发布了《云南省主体功能区划》，该规划将全省国土空间按照开发方式分为重点开发区域、限制开发区域和禁止开发区域3类主体功能区。其中，禁止开发区包括了国家级、省级、州市级和县级的自然保护区、世界自然和文化遗产地，国家级、省级风景名胜区，国家级、省级森林公园，国家级地质公园，城市集中饮用水源保护区，国家湿地公园，国家级水产种质资源保护区，以及牛栏江流域上游保护区水源保护核心区等</w:t>
            </w:r>
            <w:r>
              <w:rPr>
                <w:rFonts w:hint="eastAsia" w:cs="Times New Roman"/>
                <w:color w:val="auto"/>
                <w:kern w:val="0"/>
                <w:lang w:eastAsia="zh-CN"/>
              </w:rPr>
              <w:t>；</w:t>
            </w:r>
            <w:r>
              <w:rPr>
                <w:rFonts w:hint="default" w:ascii="Times New Roman" w:hAnsi="Times New Roman" w:eastAsia="宋体" w:cs="Times New Roman"/>
                <w:color w:val="auto"/>
                <w:kern w:val="0"/>
              </w:rPr>
              <w:t>重点开发区包括国家层面如昆明市、玉溪市、曲靖市和楚雄州的27个县市区和12个乡镇，以及省级层面集中连片重点开发区域的16个县市区。</w:t>
            </w:r>
            <w:r>
              <w:rPr>
                <w:rFonts w:hint="default" w:ascii="Times New Roman" w:hAnsi="Times New Roman" w:eastAsia="宋体" w:cs="Times New Roman"/>
                <w:color w:val="auto"/>
              </w:rPr>
              <w:t>限制开发区主要指关系全省农产品供给安全、生态安全，不应该或不适宜进行大规模、高强度工业化和城镇化开发的农产品主产区和重点生态功能区，限制开发区也可发展符合主体功能定位、当地资源环境可承载的产业。农产品主产区不得进行大规模、高强度的工业化城镇化开发。开发矿产资源、发展适宜产业和建设基础设施控制在尽可能小的空间范围内，并做到绿色生态空间的平衡。</w:t>
            </w:r>
          </w:p>
          <w:p w14:paraId="5BD2E8A3">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项目位于玉溪市</w:t>
            </w:r>
            <w:r>
              <w:rPr>
                <w:rFonts w:hint="eastAsia" w:cs="Times New Roman"/>
                <w:color w:val="auto"/>
                <w:kern w:val="2"/>
                <w:sz w:val="24"/>
                <w:szCs w:val="24"/>
                <w:lang w:val="en-US" w:eastAsia="zh-CN" w:bidi="ar-SA"/>
              </w:rPr>
              <w:t>红塔区</w:t>
            </w:r>
            <w:r>
              <w:rPr>
                <w:rFonts w:hint="default" w:ascii="Times New Roman" w:hAnsi="Times New Roman" w:eastAsia="宋体" w:cs="Times New Roman"/>
                <w:color w:val="auto"/>
                <w:kern w:val="2"/>
                <w:sz w:val="24"/>
                <w:szCs w:val="24"/>
                <w:lang w:val="en-US" w:eastAsia="zh-CN" w:bidi="ar-SA"/>
              </w:rPr>
              <w:t>，属于国家重点开发区域。本项目不涉及自然保护区、世界文化自然遗产、风景名胜区、森林公园、地质公园、城市饮用水水源保护区、国家湿地公园、水产种质资源保护区等敏感区域，不属于禁止开发区，因此，本项目符合《云南省主体功能区规划》的要求。</w:t>
            </w:r>
          </w:p>
          <w:p w14:paraId="13AC705B">
            <w:pPr>
              <w:pStyle w:val="20"/>
              <w:rPr>
                <w:rFonts w:hint="eastAsia" w:ascii="Times New Roman" w:hAnsi="Times New Roman" w:eastAsia="宋体" w:cs="Times New Roman"/>
                <w:i w:val="0"/>
                <w:iCs/>
                <w:color w:val="auto"/>
                <w:kern w:val="2"/>
                <w:sz w:val="24"/>
                <w:szCs w:val="24"/>
                <w:lang w:val="en-US" w:eastAsia="zh-CN" w:bidi="ar-SA"/>
              </w:rPr>
            </w:pPr>
            <w:r>
              <w:rPr>
                <w:rFonts w:hint="eastAsia" w:ascii="Times New Roman" w:hAnsi="Times New Roman" w:eastAsia="宋体" w:cs="Times New Roman"/>
                <w:i w:val="0"/>
                <w:iCs/>
                <w:color w:val="auto"/>
                <w:kern w:val="2"/>
                <w:sz w:val="24"/>
                <w:szCs w:val="24"/>
                <w:lang w:val="en-US" w:eastAsia="zh-CN" w:bidi="ar-SA"/>
              </w:rPr>
              <w:t>项目与云南省主体功能区划位置关系图详见下图。</w:t>
            </w:r>
          </w:p>
          <w:p w14:paraId="2D8A0833">
            <w:pPr>
              <w:ind w:left="0" w:leftChars="0" w:firstLine="0" w:firstLineChars="0"/>
              <w:rPr>
                <w:color w:val="auto"/>
              </w:rPr>
            </w:pPr>
            <w:r>
              <w:rPr>
                <w:color w:val="auto"/>
              </w:rPr>
              <w:drawing>
                <wp:inline distT="0" distB="0" distL="114300" distR="114300">
                  <wp:extent cx="4292600" cy="2945765"/>
                  <wp:effectExtent l="0" t="0" r="12700" b="698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16"/>
                          <a:stretch>
                            <a:fillRect/>
                          </a:stretch>
                        </pic:blipFill>
                        <pic:spPr>
                          <a:xfrm>
                            <a:off x="0" y="0"/>
                            <a:ext cx="4292600" cy="2945765"/>
                          </a:xfrm>
                          <a:prstGeom prst="rect">
                            <a:avLst/>
                          </a:prstGeom>
                          <a:noFill/>
                          <a:ln>
                            <a:noFill/>
                          </a:ln>
                        </pic:spPr>
                      </pic:pic>
                    </a:graphicData>
                  </a:graphic>
                </wp:inline>
              </w:drawing>
            </w:r>
          </w:p>
          <w:p w14:paraId="7BB340EE">
            <w:pPr>
              <w:pStyle w:val="21"/>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图1 项目与云南省主体功能位置关系图</w:t>
            </w:r>
          </w:p>
          <w:p w14:paraId="33318F77">
            <w:pPr>
              <w:keepNext w:val="0"/>
              <w:keepLines/>
              <w:pageBreakBefore w:val="0"/>
              <w:widowControl w:val="0"/>
              <w:kinsoku/>
              <w:wordWrap w:val="0"/>
              <w:overflowPunct/>
              <w:topLinePunct/>
              <w:autoSpaceDE/>
              <w:autoSpaceDN/>
              <w:bidi w:val="0"/>
              <w:adjustRightInd/>
              <w:snapToGrid/>
              <w:spacing w:line="360" w:lineRule="auto"/>
              <w:ind w:firstLine="0" w:firstLineChars="0"/>
              <w:textAlignment w:val="auto"/>
              <w:rPr>
                <w:rFonts w:hint="eastAsia" w:ascii="Times New Roman" w:hAnsi="Times New Roman" w:eastAsia="宋体" w:cs="Times New Roman"/>
                <w:b/>
                <w:bCs/>
                <w:color w:val="auto"/>
                <w:lang w:val="en-US" w:eastAsia="zh-CN"/>
              </w:rPr>
            </w:pPr>
            <w:bookmarkStart w:id="6" w:name="_Toc5613"/>
            <w:r>
              <w:rPr>
                <w:rFonts w:hint="eastAsia" w:ascii="Times New Roman" w:hAnsi="Times New Roman" w:eastAsia="宋体" w:cs="Times New Roman"/>
                <w:b/>
                <w:bCs/>
                <w:color w:val="auto"/>
                <w:lang w:val="en-US" w:eastAsia="zh-CN"/>
              </w:rPr>
              <w:t>5、与《云南省生态功能区划》相符性分析</w:t>
            </w:r>
            <w:bookmarkEnd w:id="6"/>
          </w:p>
          <w:p w14:paraId="15EEC6C7">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根据《云南省生态功能区划》，云南生态功能区共分一级区（生态区）5个，二级区（生态亚区）19个，三级区（生态功能区）65个。项目所在地的</w:t>
            </w:r>
            <w:r>
              <w:rPr>
                <w:rFonts w:hint="eastAsia" w:ascii="Times New Roman" w:hAnsi="Times New Roman" w:eastAsia="宋体" w:cs="Times New Roman"/>
                <w:color w:val="auto"/>
                <w:kern w:val="2"/>
                <w:sz w:val="24"/>
                <w:szCs w:val="24"/>
                <w:lang w:val="en-US" w:eastAsia="zh-CN" w:bidi="ar-SA"/>
              </w:rPr>
              <w:t>玉</w:t>
            </w:r>
            <w:r>
              <w:rPr>
                <w:rFonts w:hint="default" w:ascii="Times New Roman" w:hAnsi="Times New Roman" w:eastAsia="宋体" w:cs="Times New Roman"/>
                <w:color w:val="auto"/>
                <w:kern w:val="2"/>
                <w:sz w:val="24"/>
                <w:szCs w:val="24"/>
                <w:lang w:val="en-US" w:eastAsia="zh-CN" w:bidi="ar-SA"/>
              </w:rPr>
              <w:t>溪市</w:t>
            </w:r>
            <w:r>
              <w:rPr>
                <w:rFonts w:hint="eastAsia" w:ascii="Times New Roman" w:hAnsi="Times New Roman" w:eastAsia="宋体" w:cs="Times New Roman"/>
                <w:color w:val="auto"/>
                <w:kern w:val="2"/>
                <w:sz w:val="24"/>
                <w:szCs w:val="24"/>
                <w:lang w:val="en-US" w:eastAsia="zh-CN" w:bidi="ar-SA"/>
              </w:rPr>
              <w:t>红塔区</w:t>
            </w:r>
            <w:r>
              <w:rPr>
                <w:rFonts w:hint="default" w:ascii="Times New Roman" w:hAnsi="Times New Roman" w:eastAsia="宋体" w:cs="Times New Roman"/>
                <w:color w:val="auto"/>
                <w:kern w:val="2"/>
                <w:sz w:val="24"/>
                <w:szCs w:val="24"/>
                <w:lang w:val="en-US" w:eastAsia="zh-CN" w:bidi="ar-SA"/>
              </w:rPr>
              <w:t>生态功能为Ⅲ1-6昆明、玉溪高原湖盆城镇建设生态功能区</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III1-6昆明、玉溪高原湖盆生态功能区包括澄江、通海、红塔区、江川区，昆明市大部分区域，峨山县的部分地区，面积11532.70平方公里；该区以湖盆和丘状高原地貌为主，滇池、抚仙湖、星云湖、杞麓湖等高原湖泊都分布在本区内，大部分地区的年降雨量在900~1000毫米，现存植被以云南松林为主，土壤以红壤、紫色土和水稻土为主；主要生态环境问题为农业面源污染，环境污染，水资源和土地资源短缺；生态环境敏感性为高原湖盆和城乡交错带的生态脆弱性；主要生态系统服务功能为昆明中心城市建设及维护高原湖泊群及周边地区的生态安全；保护措施与发展方向为调整产业结构，发展循环经济，推行清洁生产，治理高原湖泊水体污染和流域区的面源污染。</w:t>
            </w:r>
          </w:p>
          <w:p w14:paraId="6B2313FF">
            <w:pPr>
              <w:pStyle w:val="19"/>
              <w:keepNext w:val="0"/>
              <w:keepLines w:val="0"/>
              <w:pageBreakBefore w:val="0"/>
              <w:widowControl w:val="0"/>
              <w:kinsoku/>
              <w:wordWrap/>
              <w:overflowPunct/>
              <w:topLinePunct w:val="0"/>
              <w:autoSpaceDE/>
              <w:autoSpaceDN/>
              <w:bidi w:val="0"/>
              <w:adjustRightInd w:val="0"/>
              <w:snapToGrid w:val="0"/>
              <w:spacing w:after="0"/>
              <w:ind w:left="0" w:leftChars="0"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2"/>
                <w:sz w:val="24"/>
                <w:szCs w:val="24"/>
                <w:lang w:val="en-US" w:eastAsia="zh-CN" w:bidi="ar-SA"/>
              </w:rPr>
              <w:t>项目</w:t>
            </w:r>
            <w:r>
              <w:rPr>
                <w:rFonts w:hint="default" w:ascii="Times New Roman" w:hAnsi="Times New Roman" w:eastAsia="宋体" w:cs="Times New Roman"/>
                <w:color w:val="auto"/>
                <w:sz w:val="24"/>
                <w:szCs w:val="24"/>
                <w:lang w:val="en-US" w:eastAsia="zh-CN"/>
              </w:rPr>
              <w:t>租用</w:t>
            </w:r>
            <w:r>
              <w:rPr>
                <w:rFonts w:hint="eastAsia" w:cs="Times New Roman"/>
                <w:color w:val="auto"/>
                <w:lang w:eastAsia="zh-CN"/>
              </w:rPr>
              <w:t>红塔区北城街道刺桐关社区一组岔箐脑</w:t>
            </w:r>
            <w:r>
              <w:rPr>
                <w:rFonts w:hint="eastAsia" w:cs="Times New Roman"/>
                <w:color w:val="auto"/>
                <w:sz w:val="24"/>
                <w:szCs w:val="24"/>
                <w:lang w:val="en-US" w:eastAsia="zh-CN"/>
              </w:rPr>
              <w:t>闲置</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封闭厂房和空地</w:t>
            </w:r>
            <w:r>
              <w:rPr>
                <w:rFonts w:hint="eastAsia" w:ascii="Times New Roman" w:hAnsi="Times New Roman" w:eastAsia="宋体" w:cs="Times New Roman"/>
                <w:color w:val="auto"/>
                <w:sz w:val="24"/>
                <w:szCs w:val="24"/>
                <w:lang w:val="en-US" w:eastAsia="zh-CN"/>
              </w:rPr>
              <w:t>进行建设，</w:t>
            </w:r>
            <w:r>
              <w:rPr>
                <w:rFonts w:hint="eastAsia" w:ascii="Times New Roman" w:hAnsi="Times New Roman" w:eastAsia="宋体" w:cs="Times New Roman"/>
                <w:color w:val="auto"/>
                <w:kern w:val="2"/>
                <w:sz w:val="24"/>
                <w:szCs w:val="24"/>
                <w:lang w:val="en-US" w:eastAsia="zh-CN" w:bidi="ar-SA"/>
              </w:rPr>
              <w:t>整个生产工段布设于封闭的生产车间内，</w:t>
            </w:r>
            <w:r>
              <w:rPr>
                <w:rFonts w:hint="default" w:ascii="Times New Roman" w:hAnsi="Times New Roman" w:eastAsia="宋体" w:cs="Times New Roman"/>
                <w:color w:val="auto"/>
                <w:kern w:val="2"/>
                <w:sz w:val="24"/>
                <w:szCs w:val="24"/>
                <w:lang w:val="en-US" w:eastAsia="zh-CN" w:bidi="ar-SA"/>
              </w:rPr>
              <w:t>主要噪声污染源布置在生产车间内，</w:t>
            </w:r>
            <w:r>
              <w:rPr>
                <w:rFonts w:hint="eastAsia" w:ascii="Times New Roman" w:hAnsi="Times New Roman" w:eastAsia="宋体" w:cs="Times New Roman"/>
                <w:color w:val="auto"/>
                <w:kern w:val="2"/>
                <w:sz w:val="24"/>
                <w:szCs w:val="24"/>
                <w:lang w:val="en-US" w:eastAsia="zh-CN" w:bidi="ar-SA"/>
              </w:rPr>
              <w:t>通过厂房隔音、合理布设可以有效减少</w:t>
            </w:r>
            <w:r>
              <w:rPr>
                <w:rFonts w:hint="default" w:ascii="Times New Roman" w:hAnsi="Times New Roman" w:eastAsia="宋体" w:cs="Times New Roman"/>
                <w:color w:val="auto"/>
                <w:kern w:val="2"/>
                <w:sz w:val="24"/>
                <w:szCs w:val="24"/>
                <w:lang w:val="en-US" w:eastAsia="zh-CN" w:bidi="ar-SA"/>
              </w:rPr>
              <w:t>项目噪声对周边</w:t>
            </w:r>
            <w:r>
              <w:rPr>
                <w:rFonts w:hint="eastAsia" w:ascii="Times New Roman" w:hAnsi="Times New Roman" w:eastAsia="宋体" w:cs="Times New Roman"/>
                <w:color w:val="auto"/>
                <w:kern w:val="2"/>
                <w:sz w:val="24"/>
                <w:szCs w:val="24"/>
                <w:lang w:val="en-US" w:eastAsia="zh-CN" w:bidi="ar-SA"/>
              </w:rPr>
              <w:t>环境</w:t>
            </w:r>
            <w:r>
              <w:rPr>
                <w:rFonts w:hint="default" w:ascii="Times New Roman" w:hAnsi="Times New Roman" w:eastAsia="宋体" w:cs="Times New Roman"/>
                <w:color w:val="auto"/>
                <w:kern w:val="2"/>
                <w:sz w:val="24"/>
                <w:szCs w:val="24"/>
                <w:lang w:val="en-US" w:eastAsia="zh-CN" w:bidi="ar-SA"/>
              </w:rPr>
              <w:t>的影响</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发泡</w:t>
            </w:r>
            <w:r>
              <w:rPr>
                <w:rFonts w:hint="default" w:ascii="Times New Roman" w:hAnsi="Times New Roman" w:eastAsia="宋体" w:cs="Times New Roman"/>
                <w:color w:val="auto"/>
                <w:sz w:val="24"/>
                <w:szCs w:val="24"/>
                <w:lang w:val="en-US" w:eastAsia="zh-CN"/>
              </w:rPr>
              <w:t>工段产生的废气经配套建设的</w:t>
            </w:r>
            <w:r>
              <w:rPr>
                <w:rFonts w:hint="eastAsia" w:cs="Times New Roman"/>
                <w:color w:val="auto"/>
                <w:sz w:val="24"/>
                <w:szCs w:val="24"/>
                <w:lang w:val="en-US" w:eastAsia="zh-CN"/>
              </w:rPr>
              <w:t>两级活性炭</w:t>
            </w:r>
            <w:r>
              <w:rPr>
                <w:rFonts w:hint="default" w:ascii="Times New Roman" w:hAnsi="Times New Roman" w:eastAsia="宋体" w:cs="Times New Roman"/>
                <w:color w:val="auto"/>
                <w:sz w:val="24"/>
                <w:szCs w:val="24"/>
                <w:lang w:val="en-US" w:eastAsia="zh-CN"/>
              </w:rPr>
              <w:t>吸附装置处理后，经1根15m排气筒</w:t>
            </w:r>
            <w:r>
              <w:rPr>
                <w:rFonts w:hint="eastAsia" w:cs="Times New Roman"/>
                <w:color w:val="auto"/>
                <w:sz w:val="24"/>
                <w:szCs w:val="24"/>
                <w:lang w:val="en-US" w:eastAsia="zh-CN"/>
              </w:rPr>
              <w:t>（DA001）</w:t>
            </w:r>
            <w:r>
              <w:rPr>
                <w:rFonts w:hint="default" w:ascii="Times New Roman" w:hAnsi="Times New Roman" w:eastAsia="宋体" w:cs="Times New Roman"/>
                <w:color w:val="auto"/>
                <w:sz w:val="24"/>
                <w:szCs w:val="24"/>
                <w:lang w:val="en-US" w:eastAsia="zh-CN"/>
              </w:rPr>
              <w:t>外排，对外环境影响较小，</w:t>
            </w:r>
            <w:r>
              <w:rPr>
                <w:rFonts w:hint="eastAsia" w:cs="Times New Roman"/>
                <w:color w:val="auto"/>
                <w:sz w:val="24"/>
                <w:szCs w:val="24"/>
                <w:lang w:val="en-US" w:eastAsia="zh-CN"/>
              </w:rPr>
              <w:t>生物质蒸汽发生器产生的废气经旋风除尘+布袋除尘处理后，通过1根30m排气筒（DA002）外排，对外环境影响较小，办公生活区位于项目东南面，远离生产区</w:t>
            </w:r>
            <w:r>
              <w:rPr>
                <w:rFonts w:hint="default" w:ascii="Times New Roman" w:hAnsi="Times New Roman" w:eastAsia="宋体" w:cs="Times New Roman"/>
                <w:color w:val="auto"/>
                <w:kern w:val="2"/>
                <w:sz w:val="24"/>
                <w:szCs w:val="24"/>
                <w:lang w:val="en-US" w:eastAsia="zh-CN" w:bidi="ar-SA"/>
              </w:rPr>
              <w:t>，因此，项目建设符合《云南省生态功能区划》的保护措施与发展方向。</w:t>
            </w:r>
          </w:p>
          <w:p w14:paraId="782CF444">
            <w:pPr>
              <w:keepNext w:val="0"/>
              <w:keepLines/>
              <w:pageBreakBefore w:val="0"/>
              <w:widowControl w:val="0"/>
              <w:kinsoku/>
              <w:wordWrap w:val="0"/>
              <w:overflowPunct/>
              <w:topLinePunct/>
              <w:autoSpaceDE/>
              <w:autoSpaceDN/>
              <w:bidi w:val="0"/>
              <w:adjustRightInd/>
              <w:snapToGrid/>
              <w:ind w:firstLine="0" w:firstLineChars="0"/>
              <w:textAlignment w:val="auto"/>
              <w:rPr>
                <w:rFonts w:hint="default" w:ascii="Times New Roman" w:hAnsi="Times New Roman" w:eastAsia="宋体" w:cs="Times New Roman"/>
                <w:b/>
                <w:bCs/>
                <w:color w:val="auto"/>
                <w:lang w:val="en-US" w:eastAsia="zh-CN"/>
              </w:rPr>
            </w:pPr>
            <w:bookmarkStart w:id="7" w:name="_Toc29406"/>
            <w:bookmarkStart w:id="8" w:name="_Toc3549"/>
            <w:bookmarkStart w:id="9" w:name="_Toc31931"/>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与《云南省土壤污染防治条例》的符合性</w:t>
            </w:r>
            <w:bookmarkEnd w:id="7"/>
            <w:bookmarkEnd w:id="8"/>
            <w:bookmarkEnd w:id="9"/>
          </w:p>
          <w:p w14:paraId="3BD094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本</w:t>
            </w:r>
            <w:r>
              <w:rPr>
                <w:rFonts w:hint="eastAsia" w:ascii="Times New Roman" w:hAnsi="Times New Roman" w:cs="Times New Roman" w:eastAsiaTheme="minorEastAsia"/>
                <w:color w:val="auto"/>
                <w:kern w:val="2"/>
                <w:sz w:val="24"/>
                <w:szCs w:val="24"/>
                <w:lang w:val="en-US" w:eastAsia="zh-CN" w:bidi="ar-SA"/>
              </w:rPr>
              <w:t>项目</w:t>
            </w:r>
            <w:r>
              <w:rPr>
                <w:rFonts w:hint="default" w:ascii="Times New Roman" w:hAnsi="Times New Roman" w:cs="Times New Roman" w:eastAsiaTheme="minorEastAsia"/>
                <w:color w:val="auto"/>
                <w:kern w:val="2"/>
                <w:sz w:val="24"/>
                <w:szCs w:val="24"/>
                <w:lang w:val="en-US" w:eastAsia="zh-CN" w:bidi="ar-SA"/>
              </w:rPr>
              <w:t>与《云南省土壤污染防治条例》的符合性详见</w:t>
            </w:r>
            <w:r>
              <w:rPr>
                <w:rFonts w:hint="eastAsia" w:ascii="Times New Roman" w:hAnsi="Times New Roman" w:cs="Times New Roman" w:eastAsiaTheme="minorEastAsia"/>
                <w:color w:val="auto"/>
                <w:kern w:val="2"/>
                <w:sz w:val="24"/>
                <w:szCs w:val="24"/>
                <w:lang w:val="en-US" w:eastAsia="zh-CN" w:bidi="ar-SA"/>
              </w:rPr>
              <w:t>下</w:t>
            </w:r>
            <w:r>
              <w:rPr>
                <w:rFonts w:hint="default" w:ascii="Times New Roman" w:hAnsi="Times New Roman" w:cs="Times New Roman" w:eastAsiaTheme="minorEastAsia"/>
                <w:color w:val="auto"/>
                <w:kern w:val="2"/>
                <w:sz w:val="24"/>
                <w:szCs w:val="24"/>
                <w:lang w:val="en-US" w:eastAsia="zh-CN" w:bidi="ar-SA"/>
              </w:rPr>
              <w:t>表。</w:t>
            </w:r>
          </w:p>
          <w:p w14:paraId="67D33950">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4"/>
                <w:szCs w:val="24"/>
              </w:rPr>
            </w:pPr>
          </w:p>
          <w:p w14:paraId="048C52C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4"/>
                <w:szCs w:val="24"/>
              </w:rPr>
            </w:pPr>
          </w:p>
          <w:p w14:paraId="24762E2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w:t>
            </w:r>
            <w:r>
              <w:rPr>
                <w:rFonts w:hint="eastAsia" w:cs="Times New Roman"/>
                <w:b/>
                <w:color w:val="auto"/>
                <w:sz w:val="24"/>
                <w:szCs w:val="24"/>
                <w:lang w:val="en-US" w:eastAsia="zh-CN"/>
              </w:rPr>
              <w:t xml:space="preserve">2 </w:t>
            </w:r>
            <w:r>
              <w:rPr>
                <w:rFonts w:hint="default" w:ascii="Times New Roman" w:hAnsi="Times New Roman" w:eastAsia="宋体" w:cs="Times New Roman"/>
                <w:b/>
                <w:color w:val="auto"/>
                <w:sz w:val="24"/>
                <w:szCs w:val="24"/>
              </w:rPr>
              <w:t xml:space="preserve"> 与《云南省土壤污染防治条例》的符合性分析</w:t>
            </w:r>
          </w:p>
          <w:tbl>
            <w:tblPr>
              <w:tblStyle w:val="3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2922"/>
              <w:gridCol w:w="2539"/>
              <w:gridCol w:w="740"/>
            </w:tblGrid>
            <w:tr w14:paraId="502B8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blHeader/>
              </w:trPr>
              <w:tc>
                <w:tcPr>
                  <w:tcW w:w="408" w:type="pct"/>
                  <w:noWrap w:val="0"/>
                  <w:vAlign w:val="center"/>
                </w:tcPr>
                <w:p w14:paraId="1804BA2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2163" w:type="pct"/>
                  <w:noWrap w:val="0"/>
                  <w:vAlign w:val="center"/>
                </w:tcPr>
                <w:p w14:paraId="0AAE3B9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云南省土壤污染防治条例</w:t>
                  </w:r>
                </w:p>
              </w:tc>
              <w:tc>
                <w:tcPr>
                  <w:tcW w:w="1879" w:type="pct"/>
                  <w:noWrap w:val="0"/>
                  <w:vAlign w:val="center"/>
                </w:tcPr>
                <w:p w14:paraId="47BC5B8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lang w:eastAsia="zh-CN"/>
                    </w:rPr>
                  </w:pPr>
                  <w:r>
                    <w:rPr>
                      <w:rFonts w:hint="default" w:ascii="Times New Roman" w:hAnsi="Times New Roman" w:cs="Times New Roman" w:eastAsiaTheme="minorEastAsia"/>
                      <w:b/>
                      <w:bCs/>
                      <w:color w:val="auto"/>
                      <w:sz w:val="21"/>
                      <w:szCs w:val="21"/>
                      <w:lang w:val="en-US" w:eastAsia="zh-CN"/>
                    </w:rPr>
                    <w:t>本项目</w:t>
                  </w:r>
                </w:p>
              </w:tc>
              <w:tc>
                <w:tcPr>
                  <w:tcW w:w="547" w:type="pct"/>
                  <w:noWrap w:val="0"/>
                  <w:vAlign w:val="center"/>
                </w:tcPr>
                <w:p w14:paraId="303ACDC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符合性</w:t>
                  </w:r>
                </w:p>
              </w:tc>
            </w:tr>
            <w:tr w14:paraId="547D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noWrap w:val="0"/>
                  <w:vAlign w:val="center"/>
                </w:tcPr>
                <w:p w14:paraId="3110F4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p>
              </w:tc>
              <w:tc>
                <w:tcPr>
                  <w:tcW w:w="2163" w:type="pct"/>
                  <w:noWrap w:val="0"/>
                  <w:vAlign w:val="center"/>
                </w:tcPr>
                <w:p w14:paraId="103E056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第十二条 县级以上人民政府及其有关部门应当加强发展规划和建设项目布局论证，严格执行相关行业企业布局选址要求，根据土壤环境质量状况、环境承载能力，合理确定区域功能定位、空间布局，合理规划产业布局。鼓励工业企业集聚发展，提高土地节约集约利用水平，减少土壤污染。禁止在居民区和学校、医院、疗养院、养老院等单位周边新建、改建、扩建可能造成土壤污染的建设项目</w:t>
                  </w:r>
                </w:p>
              </w:tc>
              <w:tc>
                <w:tcPr>
                  <w:tcW w:w="1879" w:type="pct"/>
                  <w:noWrap w:val="0"/>
                  <w:vAlign w:val="center"/>
                </w:tcPr>
                <w:p w14:paraId="607AEB9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lang w:eastAsia="zh-CN"/>
                    </w:rPr>
                    <w:t>本</w:t>
                  </w:r>
                  <w:r>
                    <w:rPr>
                      <w:rFonts w:hint="default" w:ascii="Times New Roman" w:hAnsi="Times New Roman" w:cs="Times New Roman" w:eastAsiaTheme="minorEastAsia"/>
                      <w:bCs/>
                      <w:color w:val="auto"/>
                      <w:sz w:val="21"/>
                      <w:szCs w:val="21"/>
                      <w:lang w:val="en-US" w:eastAsia="zh-CN"/>
                    </w:rPr>
                    <w:t>项目</w:t>
                  </w:r>
                  <w:r>
                    <w:rPr>
                      <w:rFonts w:hint="default" w:ascii="Times New Roman" w:hAnsi="Times New Roman" w:cs="Times New Roman" w:eastAsiaTheme="minorEastAsia"/>
                      <w:bCs/>
                      <w:color w:val="auto"/>
                      <w:sz w:val="21"/>
                      <w:szCs w:val="21"/>
                    </w:rPr>
                    <w:t>位于</w:t>
                  </w:r>
                  <w:r>
                    <w:rPr>
                      <w:rFonts w:hint="default" w:ascii="Times New Roman" w:hAnsi="Times New Roman" w:cs="Times New Roman" w:eastAsiaTheme="minorEastAsia"/>
                      <w:bCs/>
                      <w:color w:val="auto"/>
                      <w:sz w:val="21"/>
                      <w:szCs w:val="21"/>
                      <w:lang w:val="en-US" w:eastAsia="zh-CN"/>
                    </w:rPr>
                    <w:t>云南省玉溪市红塔区北城街道刺桐关社区一组岔箐脑</w:t>
                  </w:r>
                  <w:r>
                    <w:rPr>
                      <w:rFonts w:hint="default" w:ascii="Times New Roman" w:hAnsi="Times New Roman" w:cs="Times New Roman" w:eastAsiaTheme="minorEastAsia"/>
                      <w:bCs/>
                      <w:color w:val="auto"/>
                      <w:sz w:val="21"/>
                      <w:szCs w:val="21"/>
                    </w:rPr>
                    <w:t>，远离居民区和学校、医院、疗养院、养老院等</w:t>
                  </w:r>
                </w:p>
              </w:tc>
              <w:tc>
                <w:tcPr>
                  <w:tcW w:w="547" w:type="pct"/>
                  <w:noWrap w:val="0"/>
                  <w:vAlign w:val="center"/>
                </w:tcPr>
                <w:p w14:paraId="092D8CD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1161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noWrap w:val="0"/>
                  <w:vAlign w:val="center"/>
                </w:tcPr>
                <w:p w14:paraId="07E0D5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p>
              </w:tc>
              <w:tc>
                <w:tcPr>
                  <w:tcW w:w="2163" w:type="pct"/>
                  <w:noWrap w:val="0"/>
                  <w:vAlign w:val="center"/>
                </w:tcPr>
                <w:p w14:paraId="6B259A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第十四条 各类涉及土地利用的规划和可能造成土壤污染的建设项目，应当依法进行环境影响评价。环境影响评价文件应当包括对土壤可能造成的不良影响及应当采取的相应预防措施等内容。建设项目配套建设的土壤污染防治设施，应当与主体工程同时设计、同时施工、同时投入使用</w:t>
                  </w:r>
                </w:p>
              </w:tc>
              <w:tc>
                <w:tcPr>
                  <w:tcW w:w="1879" w:type="pct"/>
                  <w:noWrap w:val="0"/>
                  <w:vAlign w:val="center"/>
                </w:tcPr>
                <w:p w14:paraId="4EFD740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本</w:t>
                  </w:r>
                  <w:r>
                    <w:rPr>
                      <w:rFonts w:hint="default" w:ascii="Times New Roman" w:hAnsi="Times New Roman" w:cs="Times New Roman" w:eastAsiaTheme="minorEastAsia"/>
                      <w:color w:val="auto"/>
                      <w:sz w:val="21"/>
                      <w:szCs w:val="21"/>
                      <w:lang w:val="en-US" w:eastAsia="zh-CN"/>
                    </w:rPr>
                    <w:t>项目</w:t>
                  </w:r>
                  <w:r>
                    <w:rPr>
                      <w:rFonts w:hint="default" w:ascii="Times New Roman" w:hAnsi="Times New Roman" w:cs="Times New Roman" w:eastAsiaTheme="minorEastAsia"/>
                      <w:color w:val="auto"/>
                      <w:sz w:val="21"/>
                      <w:szCs w:val="21"/>
                    </w:rPr>
                    <w:t>正在进行环境影响评价、制定了土壤污染防治措施，治理设施与</w:t>
                  </w:r>
                  <w:r>
                    <w:rPr>
                      <w:rFonts w:hint="default" w:ascii="Times New Roman" w:hAnsi="Times New Roman" w:cs="Times New Roman" w:eastAsiaTheme="minorEastAsia"/>
                      <w:bCs/>
                      <w:color w:val="auto"/>
                      <w:sz w:val="21"/>
                      <w:szCs w:val="21"/>
                    </w:rPr>
                    <w:t>主体工程同时设计、同时施工、同时投入使用</w:t>
                  </w:r>
                  <w:r>
                    <w:rPr>
                      <w:rFonts w:hint="default" w:ascii="Times New Roman" w:hAnsi="Times New Roman" w:cs="Times New Roman" w:eastAsiaTheme="minorEastAsia"/>
                      <w:bCs/>
                      <w:color w:val="auto"/>
                      <w:sz w:val="21"/>
                      <w:szCs w:val="21"/>
                      <w:lang w:eastAsia="zh-CN"/>
                    </w:rPr>
                    <w:t>，</w:t>
                  </w:r>
                  <w:r>
                    <w:rPr>
                      <w:rFonts w:hint="default" w:ascii="Times New Roman" w:hAnsi="Times New Roman" w:cs="Times New Roman" w:eastAsiaTheme="minorEastAsia"/>
                      <w:bCs/>
                      <w:color w:val="auto"/>
                      <w:sz w:val="21"/>
                      <w:szCs w:val="21"/>
                      <w:lang w:val="en-US" w:eastAsia="zh-CN"/>
                    </w:rPr>
                    <w:t>本项目产生的</w:t>
                  </w:r>
                  <w:r>
                    <w:rPr>
                      <w:rFonts w:hint="default" w:ascii="Times New Roman" w:hAnsi="Times New Roman" w:cs="Times New Roman" w:eastAsiaTheme="minorEastAsia"/>
                      <w:color w:val="auto"/>
                      <w:sz w:val="21"/>
                      <w:szCs w:val="21"/>
                      <w:lang w:val="en-US" w:eastAsia="zh-CN"/>
                    </w:rPr>
                    <w:t>废机油和废活性炭暂存于危废暂存间（5m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），委托有资质的单位进行处置，不外排，生产工段（发泡工段）产生的有机气体经配套建设的两级活性炭装置处理后，经1根15m排气筒（DA001）外排，对外环境影响较小，</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燃烧产生的废气经</w:t>
                  </w:r>
                  <w:r>
                    <w:rPr>
                      <w:rFonts w:hint="eastAsia" w:cs="Times New Roman" w:eastAsiaTheme="minorEastAsia"/>
                      <w:color w:val="auto"/>
                      <w:sz w:val="21"/>
                      <w:szCs w:val="21"/>
                      <w:lang w:val="en-US" w:eastAsia="zh-CN"/>
                    </w:rPr>
                    <w:t>旋风除尘+布袋除尘</w:t>
                  </w:r>
                  <w:r>
                    <w:rPr>
                      <w:rFonts w:hint="default" w:ascii="Times New Roman" w:hAnsi="Times New Roman" w:cs="Times New Roman" w:eastAsiaTheme="minorEastAsia"/>
                      <w:color w:val="auto"/>
                      <w:sz w:val="21"/>
                      <w:szCs w:val="21"/>
                      <w:lang w:val="en-US" w:eastAsia="zh-CN"/>
                    </w:rPr>
                    <w:t>处理后，通过1根30m排气筒（DA002）外排，对土壤污染影响较小</w:t>
                  </w:r>
                </w:p>
              </w:tc>
              <w:tc>
                <w:tcPr>
                  <w:tcW w:w="547" w:type="pct"/>
                  <w:noWrap w:val="0"/>
                  <w:vAlign w:val="center"/>
                </w:tcPr>
                <w:p w14:paraId="0F08168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4D63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noWrap w:val="0"/>
                  <w:vAlign w:val="center"/>
                </w:tcPr>
                <w:p w14:paraId="716B928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p>
              </w:tc>
              <w:tc>
                <w:tcPr>
                  <w:tcW w:w="2163" w:type="pct"/>
                  <w:noWrap w:val="0"/>
                  <w:vAlign w:val="center"/>
                </w:tcPr>
                <w:p w14:paraId="696474D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第十五条 单位和个人生产、使用、贮存、运输、回收、处置、排放有毒有害物质，从事加油站经营、油品运输、油品贮存以及车船拆解、修理、保养等活动，应当采取有效的防渗漏、防流失、防扬散或者其他措施，防止土壤污染</w:t>
                  </w:r>
                </w:p>
              </w:tc>
              <w:tc>
                <w:tcPr>
                  <w:tcW w:w="1879" w:type="pct"/>
                  <w:noWrap w:val="0"/>
                  <w:vAlign w:val="center"/>
                </w:tcPr>
                <w:p w14:paraId="65C83F8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本</w:t>
                  </w:r>
                  <w:r>
                    <w:rPr>
                      <w:rFonts w:hint="default" w:ascii="Times New Roman" w:hAnsi="Times New Roman" w:cs="Times New Roman" w:eastAsiaTheme="minorEastAsia"/>
                      <w:color w:val="auto"/>
                      <w:sz w:val="21"/>
                      <w:szCs w:val="21"/>
                      <w:lang w:val="en-US" w:eastAsia="zh-CN"/>
                    </w:rPr>
                    <w:t>项目</w:t>
                  </w:r>
                  <w:r>
                    <w:rPr>
                      <w:rFonts w:hint="default" w:ascii="Times New Roman" w:hAnsi="Times New Roman" w:cs="Times New Roman" w:eastAsiaTheme="minorEastAsia"/>
                      <w:color w:val="auto"/>
                      <w:sz w:val="21"/>
                      <w:szCs w:val="21"/>
                      <w:lang w:eastAsia="zh-CN"/>
                    </w:rPr>
                    <w:t>产生的危险废物主要为废机油</w:t>
                  </w:r>
                  <w:r>
                    <w:rPr>
                      <w:rFonts w:hint="default" w:ascii="Times New Roman" w:hAnsi="Times New Roman" w:cs="Times New Roman" w:eastAsiaTheme="minorEastAsia"/>
                      <w:color w:val="auto"/>
                      <w:sz w:val="21"/>
                      <w:szCs w:val="21"/>
                      <w:lang w:val="en-US" w:eastAsia="zh-CN"/>
                    </w:rPr>
                    <w:t>和废活性炭，产生的废机油和废活性炭暂存于危废暂存间（5m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），委托有资质的单位进行处置，不外排（本评价</w:t>
                  </w:r>
                  <w:r>
                    <w:rPr>
                      <w:rFonts w:hint="eastAsia" w:cs="Times New Roman" w:eastAsiaTheme="minorEastAsia"/>
                      <w:color w:val="auto"/>
                      <w:sz w:val="21"/>
                      <w:szCs w:val="21"/>
                      <w:lang w:val="en-US" w:eastAsia="zh-CN"/>
                    </w:rPr>
                    <w:t>要求</w:t>
                  </w:r>
                  <w:r>
                    <w:rPr>
                      <w:rFonts w:hint="default" w:ascii="Times New Roman" w:hAnsi="Times New Roman" w:cs="Times New Roman" w:eastAsiaTheme="minorEastAsia"/>
                      <w:color w:val="auto"/>
                      <w:sz w:val="21"/>
                      <w:szCs w:val="21"/>
                      <w:lang w:val="en-US" w:eastAsia="zh-CN"/>
                    </w:rPr>
                    <w:t>建设单位在项目竣工验收时，委托有资质的单位进行处置，并签订危废处置协议），危废暂存间应严格按照GB18597-2023《危险废物贮存污染控制标准》相关要求进行建设</w:t>
                  </w:r>
                </w:p>
              </w:tc>
              <w:tc>
                <w:tcPr>
                  <w:tcW w:w="547" w:type="pct"/>
                  <w:noWrap w:val="0"/>
                  <w:vAlign w:val="center"/>
                </w:tcPr>
                <w:p w14:paraId="721F39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15BE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noWrap w:val="0"/>
                  <w:vAlign w:val="center"/>
                </w:tcPr>
                <w:p w14:paraId="222782F9">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4</w:t>
                  </w:r>
                </w:p>
              </w:tc>
              <w:tc>
                <w:tcPr>
                  <w:tcW w:w="2163" w:type="pct"/>
                  <w:noWrap w:val="0"/>
                  <w:vAlign w:val="center"/>
                </w:tcPr>
                <w:p w14:paraId="4E666DE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有色金属矿和黑色金属矿采选、有色金属和黑色金属冶炼、石油加工、化学原料和化学制品制造、焦化、医药制造、制革、电镀、铅蓄电池制造、印染、危险废物利用及处置等行业中纳入排污许可重点管理的企业事业单位，应当列入土壤污染重点监管单位名录</w:t>
                  </w:r>
                </w:p>
              </w:tc>
              <w:tc>
                <w:tcPr>
                  <w:tcW w:w="1879" w:type="pct"/>
                  <w:noWrap w:val="0"/>
                  <w:vAlign w:val="center"/>
                </w:tcPr>
                <w:p w14:paraId="3BACD12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本项目不涉及</w:t>
                  </w:r>
                </w:p>
              </w:tc>
              <w:tc>
                <w:tcPr>
                  <w:tcW w:w="547" w:type="pct"/>
                  <w:noWrap w:val="0"/>
                  <w:vAlign w:val="center"/>
                </w:tcPr>
                <w:p w14:paraId="0A3EC4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2C69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noWrap w:val="0"/>
                  <w:vAlign w:val="center"/>
                </w:tcPr>
                <w:p w14:paraId="035447E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5</w:t>
                  </w:r>
                </w:p>
              </w:tc>
              <w:tc>
                <w:tcPr>
                  <w:tcW w:w="2163" w:type="pct"/>
                  <w:noWrap w:val="0"/>
                  <w:vAlign w:val="center"/>
                </w:tcPr>
                <w:p w14:paraId="14559762">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第十七条 土壤污染重点监管单位应当依法履行下列义务：（一）严格控制有毒有害物质排放，按年度向所在地生态环境主管部门报告排放情（二）建立土壤污染隐患排查制度，发现污染隐患的，应当采取相应处置措施，保证持续有效防止有毒有害物质渗漏、流失、扬散；（三）依照法律法规和监测规范，制定、实施自行监测方案，对监测数据的真实性和准确性负责，不得篡改、伪造监测数据，并将监测数据报所在地生态环境主管部门；（四）法律法规规定的其他义务</w:t>
                  </w:r>
                </w:p>
              </w:tc>
              <w:tc>
                <w:tcPr>
                  <w:tcW w:w="1879" w:type="pct"/>
                  <w:noWrap w:val="0"/>
                  <w:vAlign w:val="center"/>
                </w:tcPr>
                <w:p w14:paraId="07F50BC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本项目</w:t>
                  </w:r>
                  <w:r>
                    <w:rPr>
                      <w:rFonts w:hint="default" w:ascii="Times New Roman" w:hAnsi="Times New Roman" w:cs="Times New Roman" w:eastAsiaTheme="minorEastAsia"/>
                      <w:color w:val="auto"/>
                      <w:sz w:val="21"/>
                      <w:szCs w:val="21"/>
                    </w:rPr>
                    <w:t>将参照此条例进行管理</w:t>
                  </w:r>
                </w:p>
              </w:tc>
              <w:tc>
                <w:tcPr>
                  <w:tcW w:w="547" w:type="pct"/>
                  <w:noWrap w:val="0"/>
                  <w:vAlign w:val="center"/>
                </w:tcPr>
                <w:p w14:paraId="3F76796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0039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noWrap w:val="0"/>
                  <w:vAlign w:val="center"/>
                </w:tcPr>
                <w:p w14:paraId="7C1FB08A">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w:t>
                  </w:r>
                </w:p>
              </w:tc>
              <w:tc>
                <w:tcPr>
                  <w:tcW w:w="2163" w:type="pct"/>
                  <w:noWrap w:val="0"/>
                  <w:vAlign w:val="center"/>
                </w:tcPr>
                <w:p w14:paraId="75C4324C">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第十九条 从事有色金属矿采选、有色金属冶炼、铅蓄电池制造、制革、化学原料和化学制品制造、电镀等行业的企业事业单位和其他生产经营者，应当执行重金属污染物排放标准要求和总量控制制度，依法实施强制性清洁生产审核，采用先进适用的生产工艺和技术，减少重金属污染物排放</w:t>
                  </w:r>
                </w:p>
              </w:tc>
              <w:tc>
                <w:tcPr>
                  <w:tcW w:w="1879" w:type="pct"/>
                  <w:noWrap w:val="0"/>
                  <w:vAlign w:val="center"/>
                </w:tcPr>
                <w:p w14:paraId="6626EB2F">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本项目</w:t>
                  </w:r>
                  <w:r>
                    <w:rPr>
                      <w:rFonts w:hint="default" w:ascii="Times New Roman" w:hAnsi="Times New Roman" w:cs="Times New Roman" w:eastAsiaTheme="minorEastAsia"/>
                      <w:color w:val="auto"/>
                      <w:sz w:val="21"/>
                      <w:szCs w:val="21"/>
                      <w:lang w:val="en-US" w:eastAsia="zh-CN"/>
                    </w:rPr>
                    <w:t>不涉及</w:t>
                  </w:r>
                </w:p>
              </w:tc>
              <w:tc>
                <w:tcPr>
                  <w:tcW w:w="547" w:type="pct"/>
                  <w:noWrap w:val="0"/>
                  <w:vAlign w:val="center"/>
                </w:tcPr>
                <w:p w14:paraId="38672F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54ABD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08" w:type="pct"/>
                  <w:noWrap w:val="0"/>
                  <w:vAlign w:val="center"/>
                </w:tcPr>
                <w:p w14:paraId="1A495D7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7</w:t>
                  </w:r>
                </w:p>
              </w:tc>
              <w:tc>
                <w:tcPr>
                  <w:tcW w:w="2163" w:type="pct"/>
                  <w:noWrap w:val="0"/>
                  <w:vAlign w:val="center"/>
                </w:tcPr>
                <w:p w14:paraId="77A4B8BD">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第二十条 县级以上人民政府生态环境、自然资源等主管部门应当依法加强对矿产资源开发区域土壤污染防治的监督管理，按照相关标准和总量控制的要求，严格控制可能造成土壤污染的重点污染物排放。企业在开采、选矿、运输、仓储等矿产资源开发活动中应当采取防护措施，防止废气、废水、尾矿、矿渣、矸石等污染土壤环境。贮存矿业固体废物应当采取符合国家环境保护标准的防护措施</w:t>
                  </w:r>
                </w:p>
              </w:tc>
              <w:tc>
                <w:tcPr>
                  <w:tcW w:w="1879" w:type="pct"/>
                  <w:noWrap w:val="0"/>
                  <w:vAlign w:val="center"/>
                </w:tcPr>
                <w:p w14:paraId="280E7A98">
                  <w:pPr>
                    <w:pStyle w:val="1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bCs/>
                      <w:color w:val="auto"/>
                      <w:kern w:val="2"/>
                      <w:sz w:val="21"/>
                      <w:szCs w:val="21"/>
                      <w:lang w:val="en-US" w:eastAsia="zh-CN" w:bidi="ar-SA"/>
                    </w:rPr>
                    <w:t>本项目不属于矿产资源开发行业，本项目不涉及</w:t>
                  </w:r>
                </w:p>
              </w:tc>
              <w:tc>
                <w:tcPr>
                  <w:tcW w:w="547" w:type="pct"/>
                  <w:noWrap w:val="0"/>
                  <w:vAlign w:val="center"/>
                </w:tcPr>
                <w:p w14:paraId="6354088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03ACE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noWrap w:val="0"/>
                  <w:vAlign w:val="center"/>
                </w:tcPr>
                <w:p w14:paraId="577FC5A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w:t>
                  </w:r>
                </w:p>
              </w:tc>
              <w:tc>
                <w:tcPr>
                  <w:tcW w:w="2163" w:type="pct"/>
                  <w:noWrap w:val="0"/>
                  <w:vAlign w:val="center"/>
                </w:tcPr>
                <w:p w14:paraId="1118E88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第二十一条 尾矿库运营、管理单位应当按照规定加强尾矿库的安全管理，开展土壤环境风险隐患排查，采取措施防止土壤污染。危库、险库、病库以及其他需要重点监管的尾矿库的运营、管理单位应当按照规定，进行土壤污染状况监测和定期评估。县级以上人民政府应急管理主管部门应当监督尾矿库运营、管理单位履行防治土壤污染的法定义务，防止其发生可能污染土壤的事故；生态环境主管部门应当加强对尾矿库土壤污染防治情况的监督检查和定期评估，发现风险隐患的，及时督促尾矿库运营、管理单位采取相应措施</w:t>
                  </w:r>
                </w:p>
              </w:tc>
              <w:tc>
                <w:tcPr>
                  <w:tcW w:w="1879" w:type="pct"/>
                  <w:noWrap w:val="0"/>
                  <w:vAlign w:val="center"/>
                </w:tcPr>
                <w:p w14:paraId="7B0B092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本项目不涉及</w:t>
                  </w:r>
                </w:p>
              </w:tc>
              <w:tc>
                <w:tcPr>
                  <w:tcW w:w="547" w:type="pct"/>
                  <w:noWrap w:val="0"/>
                  <w:vAlign w:val="center"/>
                </w:tcPr>
                <w:p w14:paraId="60AD4B5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7255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noWrap w:val="0"/>
                  <w:vAlign w:val="center"/>
                </w:tcPr>
                <w:p w14:paraId="22E62F5E">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9</w:t>
                  </w:r>
                </w:p>
              </w:tc>
              <w:tc>
                <w:tcPr>
                  <w:tcW w:w="2163" w:type="pct"/>
                  <w:noWrap w:val="0"/>
                  <w:vAlign w:val="center"/>
                </w:tcPr>
                <w:p w14:paraId="05242C6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第二十八条 各级人民政府应当加强对土壤资源的保护和合理利用。对开发建设过程中剥离的表土，应当单独收集和存放，符合条件的应当优先用于土地复垦、土壤改良、造地和绿化等。禁止将重金属或者其他有毒有害物质含量超标的工业固体废物、生活垃圾或者污染土壤用于土地复垦</w:t>
                  </w:r>
                </w:p>
              </w:tc>
              <w:tc>
                <w:tcPr>
                  <w:tcW w:w="1879" w:type="pct"/>
                  <w:noWrap w:val="0"/>
                  <w:vAlign w:val="center"/>
                </w:tcPr>
                <w:p w14:paraId="2880AEC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i w:val="0"/>
                      <w:iCs w:val="0"/>
                      <w:color w:val="auto"/>
                      <w:kern w:val="0"/>
                      <w:sz w:val="21"/>
                      <w:szCs w:val="21"/>
                      <w:lang w:val="en-US" w:eastAsia="zh-CN" w:bidi="ar"/>
                    </w:rPr>
                    <w:t>本项目产生的废弃包装物、废布袋暂存于一般固废暂存点，统一收集后外售处置，布袋除尘收集的粉尘和</w:t>
                  </w:r>
                  <w:r>
                    <w:rPr>
                      <w:rFonts w:hint="eastAsia" w:cs="Times New Roman" w:eastAsiaTheme="minorEastAsia"/>
                      <w:b w:val="0"/>
                      <w:bCs w:val="0"/>
                      <w:i w:val="0"/>
                      <w:iCs w:val="0"/>
                      <w:color w:val="auto"/>
                      <w:kern w:val="0"/>
                      <w:sz w:val="21"/>
                      <w:szCs w:val="21"/>
                      <w:lang w:val="en-US" w:eastAsia="zh-CN" w:bidi="ar"/>
                    </w:rPr>
                    <w:t>生物质蒸汽发生器</w:t>
                  </w:r>
                  <w:r>
                    <w:rPr>
                      <w:rFonts w:hint="default" w:ascii="Times New Roman" w:hAnsi="Times New Roman" w:cs="Times New Roman" w:eastAsiaTheme="minorEastAsia"/>
                      <w:b w:val="0"/>
                      <w:bCs w:val="0"/>
                      <w:i w:val="0"/>
                      <w:iCs w:val="0"/>
                      <w:color w:val="auto"/>
                      <w:kern w:val="0"/>
                      <w:sz w:val="21"/>
                      <w:szCs w:val="21"/>
                      <w:lang w:val="en-US" w:eastAsia="zh-CN" w:bidi="ar"/>
                    </w:rPr>
                    <w:t>炉渣统一收集袋装后暂存于一般固废暂存区内，外售其他企业制作复合肥料，设备维修产生的废机油和有机废气治理设施产生的废活性炭经收集后，暂存于危废暂存间，委托有资质的单位进行处置</w:t>
                  </w:r>
                </w:p>
              </w:tc>
              <w:tc>
                <w:tcPr>
                  <w:tcW w:w="547" w:type="pct"/>
                  <w:noWrap w:val="0"/>
                  <w:vAlign w:val="center"/>
                </w:tcPr>
                <w:p w14:paraId="0C457983">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494E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noWrap w:val="0"/>
                  <w:vAlign w:val="center"/>
                </w:tcPr>
                <w:p w14:paraId="645A392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1</w:t>
                  </w:r>
                  <w:r>
                    <w:rPr>
                      <w:rFonts w:hint="default" w:ascii="Times New Roman" w:hAnsi="Times New Roman" w:cs="Times New Roman" w:eastAsiaTheme="minorEastAsia"/>
                      <w:color w:val="auto"/>
                      <w:sz w:val="21"/>
                      <w:szCs w:val="21"/>
                      <w:lang w:val="en-US" w:eastAsia="zh-CN"/>
                    </w:rPr>
                    <w:t>0</w:t>
                  </w:r>
                </w:p>
              </w:tc>
              <w:tc>
                <w:tcPr>
                  <w:tcW w:w="2163" w:type="pct"/>
                  <w:noWrap w:val="0"/>
                  <w:vAlign w:val="center"/>
                </w:tcPr>
                <w:p w14:paraId="43862BE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第三十七条 县级以上人民政府应当依法将符合条件的优先保护类耕地划为永久基本农田，实行严格保护。在永久基本农田集中区域，不得新建可能造成土壤污染的建设项目；已经建成的，应当限期关闭拆除。省人民政府应当对优先保护类耕地面积减少或者土壤环境质量下降的县（市、区）进行预警提醒，并依法采取环境影响评价限批等限制性措施</w:t>
                  </w:r>
                </w:p>
              </w:tc>
              <w:tc>
                <w:tcPr>
                  <w:tcW w:w="1879" w:type="pct"/>
                  <w:noWrap w:val="0"/>
                  <w:vAlign w:val="center"/>
                </w:tcPr>
                <w:p w14:paraId="193C91C4">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lang w:eastAsia="zh-CN"/>
                    </w:rPr>
                    <w:t>本</w:t>
                  </w:r>
                  <w:r>
                    <w:rPr>
                      <w:rFonts w:hint="default" w:ascii="Times New Roman" w:hAnsi="Times New Roman" w:cs="Times New Roman" w:eastAsiaTheme="minorEastAsia"/>
                      <w:bCs/>
                      <w:color w:val="auto"/>
                      <w:sz w:val="21"/>
                      <w:szCs w:val="21"/>
                      <w:lang w:val="en-US" w:eastAsia="zh-CN"/>
                    </w:rPr>
                    <w:t>项目租用云南省玉溪市红塔区北城街道刺桐关社区一组岔箐脑闲置的封闭式厂房</w:t>
                  </w:r>
                  <w:r>
                    <w:rPr>
                      <w:rFonts w:hint="eastAsia" w:cs="Times New Roman" w:eastAsiaTheme="minorEastAsia"/>
                      <w:bCs/>
                      <w:color w:val="auto"/>
                      <w:sz w:val="21"/>
                      <w:szCs w:val="21"/>
                      <w:lang w:val="en-US" w:eastAsia="zh-CN"/>
                    </w:rPr>
                    <w:t>和空地</w:t>
                  </w:r>
                  <w:r>
                    <w:rPr>
                      <w:rFonts w:hint="default" w:ascii="Times New Roman" w:hAnsi="Times New Roman" w:cs="Times New Roman" w:eastAsiaTheme="minorEastAsia"/>
                      <w:bCs/>
                      <w:color w:val="auto"/>
                      <w:sz w:val="21"/>
                      <w:szCs w:val="21"/>
                      <w:lang w:val="en-US" w:eastAsia="zh-CN"/>
                    </w:rPr>
                    <w:t>进行建设</w:t>
                  </w:r>
                  <w:r>
                    <w:rPr>
                      <w:rFonts w:hint="default" w:ascii="Times New Roman" w:hAnsi="Times New Roman" w:cs="Times New Roman" w:eastAsiaTheme="minorEastAsia"/>
                      <w:bCs/>
                      <w:color w:val="auto"/>
                      <w:sz w:val="21"/>
                      <w:szCs w:val="21"/>
                      <w:lang w:eastAsia="zh-CN"/>
                    </w:rPr>
                    <w:t>，</w:t>
                  </w:r>
                  <w:r>
                    <w:rPr>
                      <w:rFonts w:hint="default" w:ascii="Times New Roman" w:hAnsi="Times New Roman" w:cs="Times New Roman" w:eastAsiaTheme="minorEastAsia"/>
                      <w:color w:val="auto"/>
                      <w:sz w:val="21"/>
                      <w:szCs w:val="21"/>
                      <w:lang w:val="en-US" w:eastAsia="zh-CN"/>
                    </w:rPr>
                    <w:t>不直接占用基本农田，项目不排放重金属等可能造成基本农田污染的污染因子，项目废气、固废量很小，对外环境影响较小。</w:t>
                  </w:r>
                </w:p>
              </w:tc>
              <w:tc>
                <w:tcPr>
                  <w:tcW w:w="547" w:type="pct"/>
                  <w:noWrap w:val="0"/>
                  <w:vAlign w:val="center"/>
                </w:tcPr>
                <w:p w14:paraId="5DDBE39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bl>
          <w:p w14:paraId="72906B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rPr>
            </w:pPr>
            <w:r>
              <w:rPr>
                <w:rFonts w:hint="eastAsia" w:ascii="Times New Roman" w:hAnsi="Times New Roman" w:eastAsia="宋体" w:cs="Times New Roman"/>
                <w:bCs/>
                <w:color w:val="auto"/>
                <w:lang w:val="en-US" w:eastAsia="zh-CN"/>
              </w:rPr>
              <w:t>综上，本</w:t>
            </w:r>
            <w:r>
              <w:rPr>
                <w:rFonts w:hint="default" w:ascii="Times New Roman" w:hAnsi="Times New Roman" w:eastAsia="宋体" w:cs="Times New Roman"/>
                <w:bCs/>
                <w:color w:val="auto"/>
              </w:rPr>
              <w:t>项目与《云南省土壤污染防治条例》相符。</w:t>
            </w:r>
          </w:p>
          <w:p w14:paraId="0F9BFEDE">
            <w:pPr>
              <w:pStyle w:val="6"/>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0" w:firstLineChars="0"/>
              <w:textAlignment w:val="auto"/>
              <w:rPr>
                <w:rFonts w:hint="default" w:ascii="Times New Roman" w:hAnsi="Times New Roman" w:eastAsia="宋体" w:cs="Times New Roman"/>
                <w:b/>
                <w:bCs/>
                <w:color w:val="auto"/>
                <w:kern w:val="2"/>
                <w:sz w:val="24"/>
                <w:szCs w:val="24"/>
                <w:lang w:val="en-US" w:eastAsia="zh-CN" w:bidi="ar-SA"/>
              </w:rPr>
            </w:pPr>
            <w:bookmarkStart w:id="10" w:name="_Toc12842"/>
            <w:r>
              <w:rPr>
                <w:rFonts w:hint="eastAsia" w:cs="Times New Roman"/>
                <w:b/>
                <w:bCs/>
                <w:color w:val="auto"/>
                <w:kern w:val="2"/>
                <w:sz w:val="24"/>
                <w:szCs w:val="24"/>
                <w:lang w:val="en-US" w:eastAsia="zh-CN" w:bidi="ar-SA"/>
              </w:rPr>
              <w:t>7</w:t>
            </w:r>
            <w:r>
              <w:rPr>
                <w:rFonts w:hint="eastAsia" w:ascii="Times New Roman" w:hAnsi="Times New Roman" w:eastAsia="宋体" w:cs="Times New Roman"/>
                <w:b/>
                <w:bCs/>
                <w:color w:val="auto"/>
                <w:kern w:val="2"/>
                <w:sz w:val="24"/>
                <w:szCs w:val="24"/>
                <w:lang w:val="en-US" w:eastAsia="zh-CN" w:bidi="ar-SA"/>
              </w:rPr>
              <w:t>、与《云南省大气污染防治条例》符合性分析</w:t>
            </w:r>
            <w:bookmarkEnd w:id="10"/>
          </w:p>
          <w:p w14:paraId="670B011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Cs/>
                <w:color w:val="auto"/>
                <w:lang w:val="en-US" w:eastAsia="zh-CN"/>
              </w:rPr>
              <w:t>本项目与《云南省大气污染防治条例》的符合性见表</w:t>
            </w:r>
            <w:r>
              <w:rPr>
                <w:rFonts w:hint="eastAsia" w:cs="Times New Roman"/>
                <w:bCs/>
                <w:color w:val="auto"/>
                <w:lang w:val="en-US" w:eastAsia="zh-CN"/>
              </w:rPr>
              <w:t>3</w:t>
            </w:r>
            <w:r>
              <w:rPr>
                <w:rFonts w:hint="eastAsia" w:ascii="Times New Roman" w:hAnsi="Times New Roman" w:eastAsia="宋体" w:cs="Times New Roman"/>
                <w:bCs/>
                <w:color w:val="auto"/>
                <w:lang w:val="en-US" w:eastAsia="zh-CN"/>
              </w:rPr>
              <w:t>。</w:t>
            </w:r>
          </w:p>
          <w:p w14:paraId="7F6653F6">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kern w:val="0"/>
                <w:sz w:val="24"/>
                <w:szCs w:val="24"/>
                <w:lang w:val="en-US" w:eastAsia="zh-CN" w:bidi="ar"/>
              </w:rPr>
              <w:t>表</w:t>
            </w:r>
            <w:r>
              <w:rPr>
                <w:rFonts w:hint="eastAsia" w:cs="Times New Roman"/>
                <w:b/>
                <w:bCs/>
                <w:color w:val="auto"/>
                <w:kern w:val="0"/>
                <w:sz w:val="24"/>
                <w:szCs w:val="24"/>
                <w:lang w:val="en-US" w:eastAsia="zh-CN" w:bidi="ar"/>
              </w:rPr>
              <w:t xml:space="preserve">3 </w:t>
            </w:r>
            <w:r>
              <w:rPr>
                <w:rFonts w:hint="default" w:ascii="Times New Roman" w:hAnsi="Times New Roman" w:eastAsia="宋体" w:cs="Times New Roman"/>
                <w:b/>
                <w:bCs/>
                <w:color w:val="auto"/>
                <w:kern w:val="0"/>
                <w:sz w:val="24"/>
                <w:szCs w:val="24"/>
                <w:lang w:val="en-US" w:eastAsia="zh-CN" w:bidi="ar"/>
              </w:rPr>
              <w:t>与</w:t>
            </w:r>
            <w:r>
              <w:rPr>
                <w:rFonts w:hint="eastAsia"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云南省大气污染防治条例</w:t>
            </w:r>
            <w:r>
              <w:rPr>
                <w:rFonts w:hint="eastAsia" w:cs="Times New Roman"/>
                <w:b/>
                <w:bCs/>
                <w:color w:val="auto"/>
                <w:kern w:val="0"/>
                <w:sz w:val="24"/>
                <w:szCs w:val="24"/>
                <w:lang w:val="en-US" w:eastAsia="zh-CN" w:bidi="ar"/>
              </w:rPr>
              <w:t>》</w:t>
            </w:r>
            <w:r>
              <w:rPr>
                <w:rFonts w:hint="default" w:ascii="Times New Roman" w:hAnsi="Times New Roman" w:eastAsia="宋体" w:cs="Times New Roman"/>
                <w:b/>
                <w:bCs/>
                <w:color w:val="auto"/>
                <w:kern w:val="0"/>
                <w:sz w:val="24"/>
                <w:szCs w:val="24"/>
                <w:lang w:val="en-US" w:eastAsia="zh-CN" w:bidi="ar"/>
              </w:rPr>
              <w:t>的符合性分析</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4"/>
              <w:gridCol w:w="2885"/>
              <w:gridCol w:w="873"/>
            </w:tblGrid>
            <w:tr w14:paraId="400E4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217" w:type="pct"/>
                  <w:noWrap w:val="0"/>
                  <w:vAlign w:val="center"/>
                </w:tcPr>
                <w:p w14:paraId="358AAA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rPr>
                  </w:pPr>
                  <w:r>
                    <w:rPr>
                      <w:rFonts w:hint="default" w:ascii="Times New Roman" w:hAnsi="Times New Roman" w:cs="Times New Roman" w:eastAsiaTheme="minorEastAsia"/>
                      <w:b/>
                      <w:bCs/>
                      <w:color w:val="auto"/>
                      <w:kern w:val="0"/>
                      <w:sz w:val="21"/>
                      <w:szCs w:val="21"/>
                      <w:lang w:val="en-US" w:eastAsia="zh-CN" w:bidi="ar"/>
                    </w:rPr>
                    <w:t>云南省大气污染防治条例</w:t>
                  </w:r>
                </w:p>
              </w:tc>
              <w:tc>
                <w:tcPr>
                  <w:tcW w:w="2136" w:type="pct"/>
                  <w:noWrap w:val="0"/>
                  <w:vAlign w:val="center"/>
                </w:tcPr>
                <w:p w14:paraId="7D4FDC63">
                  <w:pPr>
                    <w:pStyle w:val="1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本项目</w:t>
                  </w:r>
                </w:p>
              </w:tc>
              <w:tc>
                <w:tcPr>
                  <w:tcW w:w="646" w:type="pct"/>
                  <w:noWrap w:val="0"/>
                  <w:vAlign w:val="center"/>
                </w:tcPr>
                <w:p w14:paraId="0A281CAB">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vertAlign w:val="baseline"/>
                      <w:lang w:val="en-US" w:eastAsia="zh-CN"/>
                    </w:rPr>
                    <w:t>符合性</w:t>
                  </w:r>
                </w:p>
              </w:tc>
            </w:tr>
            <w:tr w14:paraId="46D1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17" w:type="pct"/>
                  <w:noWrap w:val="0"/>
                  <w:vAlign w:val="center"/>
                </w:tcPr>
                <w:p w14:paraId="3E581C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eastAsiaTheme="minorEastAsia"/>
                      <w:b w:val="0"/>
                      <w:bCs w:val="0"/>
                      <w:color w:val="auto"/>
                      <w:sz w:val="21"/>
                      <w:szCs w:val="21"/>
                      <w:vertAlign w:val="baseline"/>
                    </w:rPr>
                    <w:t>向大气排放污染物的企业事业单位和其他生产经营者应当按照有关规定设置大气污染物排放口。根据国家规定开展自行监测的排污单位应当对监测数据的真实性、准确性负责，自行监测的原始记录保存期限不得少于3年。</w:t>
                  </w:r>
                </w:p>
              </w:tc>
              <w:tc>
                <w:tcPr>
                  <w:tcW w:w="2136" w:type="pct"/>
                  <w:noWrap w:val="0"/>
                  <w:vAlign w:val="center"/>
                </w:tcPr>
                <w:p w14:paraId="38BF3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本项目布设了2个废气排放口，分别为有机废气排放口（DA001）和</w:t>
                  </w:r>
                  <w:r>
                    <w:rPr>
                      <w:rFonts w:hint="eastAsia" w:ascii="Times New Roman" w:hAnsi="Times New Roman" w:cs="Times New Roman" w:eastAsiaTheme="minorEastAsia"/>
                      <w:b w:val="0"/>
                      <w:bCs w:val="0"/>
                      <w:color w:val="auto"/>
                      <w:sz w:val="21"/>
                      <w:szCs w:val="21"/>
                      <w:vertAlign w:val="baseline"/>
                      <w:lang w:val="en-US" w:eastAsia="zh-CN"/>
                    </w:rPr>
                    <w:t>生物质蒸汽发生器</w:t>
                  </w:r>
                  <w:r>
                    <w:rPr>
                      <w:rFonts w:hint="default" w:ascii="Times New Roman" w:hAnsi="Times New Roman" w:cs="Times New Roman" w:eastAsiaTheme="minorEastAsia"/>
                      <w:b w:val="0"/>
                      <w:bCs w:val="0"/>
                      <w:color w:val="auto"/>
                      <w:sz w:val="21"/>
                      <w:szCs w:val="21"/>
                      <w:vertAlign w:val="baseline"/>
                      <w:lang w:val="en-US" w:eastAsia="zh-CN"/>
                    </w:rPr>
                    <w:t>废气排放口（DA002），均为一般排放口，本环评要求建设单位根据项目排污许可证要求开展自行监测，并按要求保留自行监测记录。</w:t>
                  </w:r>
                </w:p>
              </w:tc>
              <w:tc>
                <w:tcPr>
                  <w:tcW w:w="646" w:type="pct"/>
                  <w:noWrap w:val="0"/>
                  <w:vAlign w:val="center"/>
                </w:tcPr>
                <w:p w14:paraId="529B63A3">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29046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pct"/>
                  <w:noWrap w:val="0"/>
                  <w:vAlign w:val="center"/>
                </w:tcPr>
                <w:p w14:paraId="58299E9A">
                  <w:pPr>
                    <w:pStyle w:val="1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eastAsiaTheme="minorEastAsia"/>
                      <w:b w:val="0"/>
                      <w:bCs w:val="0"/>
                      <w:color w:val="auto"/>
                      <w:sz w:val="21"/>
                      <w:szCs w:val="21"/>
                      <w:vertAlign w:val="baseline"/>
                    </w:rPr>
                    <w:t>在禁燃区内，禁止销售、燃用高污染燃料；禁止新建、扩建燃用高污染燃料的设施，已建成的，应当在城市人民政府规定的期限内改用天然气、液化石油气、电或者其他清洁能源。</w:t>
                  </w:r>
                </w:p>
              </w:tc>
              <w:tc>
                <w:tcPr>
                  <w:tcW w:w="2136" w:type="pct"/>
                  <w:noWrap w:val="0"/>
                  <w:vAlign w:val="center"/>
                </w:tcPr>
                <w:p w14:paraId="47466134">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w:t>
                  </w:r>
                  <w:r>
                    <w:rPr>
                      <w:rFonts w:hint="eastAsia" w:ascii="Times New Roman" w:hAnsi="Times New Roman" w:cs="Times New Roman" w:eastAsiaTheme="minorEastAsia"/>
                      <w:b w:val="0"/>
                      <w:bCs w:val="0"/>
                      <w:color w:val="auto"/>
                      <w:sz w:val="21"/>
                      <w:szCs w:val="21"/>
                      <w:vertAlign w:val="baseline"/>
                      <w:lang w:val="en-US" w:eastAsia="zh-CN"/>
                    </w:rPr>
                    <w:t>生物质蒸汽发生器</w:t>
                  </w:r>
                  <w:r>
                    <w:rPr>
                      <w:rFonts w:hint="default" w:ascii="Times New Roman" w:hAnsi="Times New Roman" w:cs="Times New Roman" w:eastAsiaTheme="minorEastAsia"/>
                      <w:b w:val="0"/>
                      <w:bCs w:val="0"/>
                      <w:color w:val="auto"/>
                      <w:sz w:val="21"/>
                      <w:szCs w:val="21"/>
                      <w:vertAlign w:val="baseline"/>
                      <w:lang w:val="en-US" w:eastAsia="zh-CN"/>
                    </w:rPr>
                    <w:t>为专用锅炉，同时配套建设了高效除尘设备，不属于高污染燃料</w:t>
                  </w:r>
                </w:p>
              </w:tc>
              <w:tc>
                <w:tcPr>
                  <w:tcW w:w="646" w:type="pct"/>
                  <w:noWrap w:val="0"/>
                  <w:vAlign w:val="center"/>
                </w:tcPr>
                <w:p w14:paraId="74FB1DB3">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4F59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pct"/>
                  <w:noWrap w:val="0"/>
                  <w:vAlign w:val="center"/>
                </w:tcPr>
                <w:p w14:paraId="7E441C3C">
                  <w:pPr>
                    <w:pStyle w:val="1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rPr>
                  </w:pPr>
                  <w:bookmarkStart w:id="11" w:name="_Toc2425"/>
                  <w:r>
                    <w:rPr>
                      <w:rFonts w:hint="default" w:ascii="Times New Roman" w:hAnsi="Times New Roman" w:cs="Times New Roman" w:eastAsiaTheme="minorEastAsia"/>
                      <w:b w:val="0"/>
                      <w:bCs w:val="0"/>
                      <w:color w:val="auto"/>
                      <w:sz w:val="21"/>
                      <w:szCs w:val="21"/>
                      <w:vertAlign w:val="baseline"/>
                    </w:rPr>
                    <w:t>钢铁、有色金属、建材、石油、炼焦、化工、铁合金、火电等工业企业以及燃煤锅炉使用单位应当按照规定配套建设、使用和维护除尘、脱硫、脱硝等装置。</w:t>
                  </w:r>
                </w:p>
              </w:tc>
              <w:tc>
                <w:tcPr>
                  <w:tcW w:w="2136" w:type="pct"/>
                  <w:noWrap w:val="0"/>
                  <w:vAlign w:val="center"/>
                </w:tcPr>
                <w:p w14:paraId="32786CB3">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本项目不涉及</w:t>
                  </w:r>
                  <w:r>
                    <w:rPr>
                      <w:rFonts w:hint="default" w:ascii="Times New Roman" w:hAnsi="Times New Roman" w:cs="Times New Roman" w:eastAsiaTheme="minorEastAsia"/>
                      <w:b w:val="0"/>
                      <w:bCs w:val="0"/>
                      <w:color w:val="auto"/>
                      <w:sz w:val="21"/>
                      <w:szCs w:val="21"/>
                      <w:vertAlign w:val="baseline"/>
                    </w:rPr>
                    <w:t>铁、有色金属、建材、石油、炼焦、化工、铁合金、火电等</w:t>
                  </w:r>
                  <w:r>
                    <w:rPr>
                      <w:rFonts w:hint="default" w:ascii="Times New Roman" w:hAnsi="Times New Roman" w:cs="Times New Roman" w:eastAsiaTheme="minorEastAsia"/>
                      <w:b w:val="0"/>
                      <w:bCs w:val="0"/>
                      <w:color w:val="auto"/>
                      <w:sz w:val="21"/>
                      <w:szCs w:val="21"/>
                      <w:vertAlign w:val="baseline"/>
                      <w:lang w:val="en-US" w:eastAsia="zh-CN"/>
                    </w:rPr>
                    <w:t>行业，本项目配套建设的</w:t>
                  </w:r>
                  <w:r>
                    <w:rPr>
                      <w:rFonts w:hint="eastAsia" w:ascii="Times New Roman" w:hAnsi="Times New Roman" w:cs="Times New Roman" w:eastAsiaTheme="minorEastAsia"/>
                      <w:b w:val="0"/>
                      <w:bCs w:val="0"/>
                      <w:color w:val="auto"/>
                      <w:sz w:val="21"/>
                      <w:szCs w:val="21"/>
                      <w:vertAlign w:val="baseline"/>
                      <w:lang w:val="en-US" w:eastAsia="zh-CN"/>
                    </w:rPr>
                    <w:t>生物质蒸汽发生器</w:t>
                  </w:r>
                  <w:r>
                    <w:rPr>
                      <w:rFonts w:hint="default" w:ascii="Times New Roman" w:hAnsi="Times New Roman" w:cs="Times New Roman" w:eastAsiaTheme="minorEastAsia"/>
                      <w:b w:val="0"/>
                      <w:bCs w:val="0"/>
                      <w:color w:val="auto"/>
                      <w:sz w:val="21"/>
                      <w:szCs w:val="21"/>
                      <w:vertAlign w:val="baseline"/>
                      <w:lang w:val="en-US" w:eastAsia="zh-CN"/>
                    </w:rPr>
                    <w:t>建设了高效除尘设施（</w:t>
                  </w:r>
                  <w:r>
                    <w:rPr>
                      <w:rFonts w:hint="eastAsia" w:ascii="Times New Roman" w:hAnsi="Times New Roman" w:cs="Times New Roman" w:eastAsiaTheme="minorEastAsia"/>
                      <w:b w:val="0"/>
                      <w:bCs w:val="0"/>
                      <w:color w:val="auto"/>
                      <w:sz w:val="21"/>
                      <w:szCs w:val="21"/>
                      <w:vertAlign w:val="baseline"/>
                      <w:lang w:val="en-US" w:eastAsia="zh-CN"/>
                    </w:rPr>
                    <w:t>旋风除尘+布袋除尘</w:t>
                  </w:r>
                  <w:r>
                    <w:rPr>
                      <w:rFonts w:hint="default" w:ascii="Times New Roman" w:hAnsi="Times New Roman" w:cs="Times New Roman" w:eastAsiaTheme="minorEastAsia"/>
                      <w:b w:val="0"/>
                      <w:bCs w:val="0"/>
                      <w:color w:val="auto"/>
                      <w:sz w:val="21"/>
                      <w:szCs w:val="21"/>
                      <w:vertAlign w:val="baseline"/>
                      <w:lang w:val="en-US" w:eastAsia="zh-CN"/>
                    </w:rPr>
                    <w:t>）。</w:t>
                  </w:r>
                </w:p>
              </w:tc>
              <w:tc>
                <w:tcPr>
                  <w:tcW w:w="646" w:type="pct"/>
                  <w:noWrap w:val="0"/>
                  <w:vAlign w:val="center"/>
                </w:tcPr>
                <w:p w14:paraId="119301CF">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0784C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pct"/>
                  <w:noWrap w:val="0"/>
                  <w:vAlign w:val="center"/>
                </w:tcPr>
                <w:p w14:paraId="5D6D19D9">
                  <w:pPr>
                    <w:pStyle w:val="1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eastAsiaTheme="minorEastAsia"/>
                      <w:b w:val="0"/>
                      <w:bCs w:val="0"/>
                      <w:color w:val="auto"/>
                      <w:sz w:val="21"/>
                      <w:szCs w:val="21"/>
                      <w:vertAlign w:val="baseline"/>
                    </w:rPr>
                    <w:t>产生含挥发性有机物废气的生产和服务活动，应当在密闭空间或者设备中进行，并按照规定安装、使用污染防治设施；无法密闭的，应当采取措施减少废气排放。</w:t>
                  </w:r>
                </w:p>
              </w:tc>
              <w:tc>
                <w:tcPr>
                  <w:tcW w:w="2136" w:type="pct"/>
                  <w:noWrap w:val="0"/>
                  <w:vAlign w:val="center"/>
                </w:tcPr>
                <w:p w14:paraId="4CF9D7F6">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本项目在每台发泡剂上方均布设1个集气罩（共2个），用于收集项目发泡工序产生的有机废气，收集的有机废气经两级活性炭吸附处置后，通过1根15m排气筒（DA001）外排</w:t>
                  </w:r>
                </w:p>
              </w:tc>
              <w:tc>
                <w:tcPr>
                  <w:tcW w:w="646" w:type="pct"/>
                  <w:noWrap w:val="0"/>
                  <w:vAlign w:val="center"/>
                </w:tcPr>
                <w:p w14:paraId="56596034">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5A982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pct"/>
                  <w:noWrap w:val="0"/>
                  <w:vAlign w:val="center"/>
                </w:tcPr>
                <w:p w14:paraId="130BBE56">
                  <w:pPr>
                    <w:pStyle w:val="1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eastAsiaTheme="minorEastAsia"/>
                      <w:b w:val="0"/>
                      <w:bCs w:val="0"/>
                      <w:color w:val="auto"/>
                      <w:sz w:val="21"/>
                      <w:szCs w:val="21"/>
                      <w:vertAlign w:val="baseline"/>
                    </w:rPr>
                    <w:t>企业事业单位和其他生产经营者在生产经营活动中产生恶臭气体的，应当安装净化装置或者采取其他措施防止恶臭气体排放。</w:t>
                  </w:r>
                </w:p>
                <w:p w14:paraId="2ADB74A2">
                  <w:pPr>
                    <w:pStyle w:val="1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rPr>
                  </w:pPr>
                  <w:r>
                    <w:rPr>
                      <w:rFonts w:hint="default" w:ascii="Times New Roman" w:hAnsi="Times New Roman" w:cs="Times New Roman" w:eastAsiaTheme="minorEastAsia"/>
                      <w:b w:val="0"/>
                      <w:bCs w:val="0"/>
                      <w:color w:val="auto"/>
                      <w:sz w:val="21"/>
                      <w:szCs w:val="21"/>
                      <w:vertAlign w:val="baseline"/>
                    </w:rPr>
                    <w:t>垃圾处理场、垃圾中转站、污水处理厂、橡胶制品生产、生物发酵、规模化畜禽养殖、屠宰等产生恶臭气体的单位应当科学选址，与机关、学校、医院、居民住宅区等人口集中地区和其他依法需要特殊保护的区域保持符合规定的防护距离。</w:t>
                  </w:r>
                </w:p>
              </w:tc>
              <w:tc>
                <w:tcPr>
                  <w:tcW w:w="2136" w:type="pct"/>
                  <w:noWrap w:val="0"/>
                  <w:vAlign w:val="center"/>
                </w:tcPr>
                <w:p w14:paraId="7908F308">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本项目发泡工段产生的恶臭气体经集气罩+两级活性炭+1根15m排气筒（DA001）处理后外排，本项目属于塑料颗粒制品生产，位于</w:t>
                  </w:r>
                  <w:r>
                    <w:rPr>
                      <w:rFonts w:hint="default" w:ascii="Times New Roman" w:hAnsi="Times New Roman" w:cs="Times New Roman" w:eastAsiaTheme="minorEastAsia"/>
                      <w:bCs/>
                      <w:color w:val="auto"/>
                      <w:sz w:val="21"/>
                      <w:szCs w:val="21"/>
                      <w:lang w:val="en-US" w:eastAsia="zh-CN"/>
                    </w:rPr>
                    <w:t>北城街道刺桐关社区一组岔箐脑，周边无</w:t>
                  </w:r>
                  <w:r>
                    <w:rPr>
                      <w:rFonts w:hint="default" w:ascii="Times New Roman" w:hAnsi="Times New Roman" w:cs="Times New Roman" w:eastAsiaTheme="minorEastAsia"/>
                      <w:b w:val="0"/>
                      <w:bCs w:val="0"/>
                      <w:color w:val="auto"/>
                      <w:sz w:val="21"/>
                      <w:szCs w:val="21"/>
                      <w:vertAlign w:val="baseline"/>
                    </w:rPr>
                    <w:t>机关、学校、医院、居民住宅区等人口集中地区和其他依法需要特殊保护的区域</w:t>
                  </w:r>
                  <w:r>
                    <w:rPr>
                      <w:rFonts w:hint="default" w:ascii="Times New Roman" w:hAnsi="Times New Roman" w:cs="Times New Roman" w:eastAsiaTheme="minorEastAsia"/>
                      <w:b w:val="0"/>
                      <w:bCs w:val="0"/>
                      <w:color w:val="auto"/>
                      <w:sz w:val="21"/>
                      <w:szCs w:val="21"/>
                      <w:vertAlign w:val="baseline"/>
                      <w:lang w:eastAsia="zh-CN"/>
                    </w:rPr>
                    <w:t>。</w:t>
                  </w:r>
                </w:p>
              </w:tc>
              <w:tc>
                <w:tcPr>
                  <w:tcW w:w="646" w:type="pct"/>
                  <w:noWrap w:val="0"/>
                  <w:vAlign w:val="center"/>
                </w:tcPr>
                <w:p w14:paraId="6534278D">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6344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pct"/>
                  <w:shd w:val="clear" w:color="auto" w:fill="auto"/>
                  <w:noWrap w:val="0"/>
                  <w:vAlign w:val="center"/>
                </w:tcPr>
                <w:p w14:paraId="46D496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kern w:val="0"/>
                      <w:sz w:val="21"/>
                      <w:szCs w:val="21"/>
                      <w:lang w:val="en-US" w:eastAsia="zh-CN" w:bidi="ar"/>
                    </w:rPr>
                    <w:t>依法实行排污许可管理的单位，应当取得排污许可证，并按照排污许可证的规定排放大气污染物，禁止无排污许可证或者不按照排污许可证的规定排放大气污染物</w:t>
                  </w:r>
                </w:p>
              </w:tc>
              <w:tc>
                <w:tcPr>
                  <w:tcW w:w="2136" w:type="pct"/>
                  <w:shd w:val="clear" w:color="auto" w:fill="auto"/>
                  <w:noWrap w:val="0"/>
                  <w:vAlign w:val="center"/>
                </w:tcPr>
                <w:p w14:paraId="6E8DA9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本项目</w:t>
                  </w:r>
                  <w:r>
                    <w:rPr>
                      <w:rFonts w:hint="default" w:ascii="Times New Roman" w:hAnsi="Times New Roman" w:cs="Times New Roman" w:eastAsiaTheme="minorEastAsia"/>
                      <w:b w:val="0"/>
                      <w:bCs w:val="0"/>
                      <w:color w:val="auto"/>
                      <w:kern w:val="0"/>
                      <w:sz w:val="21"/>
                      <w:szCs w:val="21"/>
                      <w:lang w:val="en-US" w:eastAsia="zh-CN" w:bidi="ar"/>
                    </w:rPr>
                    <w:t>依法实行排污许可管理制度，应依法取得排污许可证，根据排污许可证排放许可的污染物</w:t>
                  </w:r>
                </w:p>
              </w:tc>
              <w:tc>
                <w:tcPr>
                  <w:tcW w:w="646" w:type="pct"/>
                  <w:shd w:val="clear" w:color="auto" w:fill="auto"/>
                  <w:noWrap w:val="0"/>
                  <w:vAlign w:val="center"/>
                </w:tcPr>
                <w:p w14:paraId="48548A12">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30B44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7" w:type="pct"/>
                  <w:shd w:val="clear" w:color="auto" w:fill="auto"/>
                  <w:noWrap w:val="0"/>
                  <w:vAlign w:val="center"/>
                </w:tcPr>
                <w:p w14:paraId="39901F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kern w:val="0"/>
                      <w:sz w:val="21"/>
                      <w:szCs w:val="21"/>
                      <w:lang w:val="en-US" w:eastAsia="zh-CN" w:bidi="ar"/>
                    </w:rPr>
                    <w:t>运输煤炭、垃圾、渣土、砂石、土方、灰浆等散装、流体物料的车辆应当采取密闭或者其他措施防止物料遗撒造成扬尘污染，并按照规定路线和时间行驶</w:t>
                  </w:r>
                </w:p>
                <w:p w14:paraId="7F9DA5BD">
                  <w:pPr>
                    <w:pStyle w:val="18"/>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p>
              </w:tc>
              <w:tc>
                <w:tcPr>
                  <w:tcW w:w="2136" w:type="pct"/>
                  <w:shd w:val="clear" w:color="auto" w:fill="auto"/>
                  <w:noWrap w:val="0"/>
                  <w:vAlign w:val="center"/>
                </w:tcPr>
                <w:p w14:paraId="69281A3D">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本项目原料和成品的运输均采用汽车运输，</w:t>
                  </w:r>
                  <w:r>
                    <w:rPr>
                      <w:rFonts w:hint="default" w:ascii="Times New Roman" w:hAnsi="Times New Roman" w:cs="Times New Roman" w:eastAsiaTheme="minorEastAsia"/>
                      <w:b w:val="0"/>
                      <w:bCs w:val="0"/>
                      <w:color w:val="auto"/>
                      <w:sz w:val="21"/>
                      <w:szCs w:val="21"/>
                      <w:lang w:val="en-US" w:eastAsia="zh-CN"/>
                    </w:rPr>
                    <w:t>运输过程中采取遮盖等措施，车厢应经常检查维修，要求严实不漏失，做到封闭运输，运输经过村庄、农田时要减速慢行，运输只在白天进行，合理调配运输时段，尽量避免在午休等居民正常休息时段经过城镇外围</w:t>
                  </w:r>
                </w:p>
              </w:tc>
              <w:tc>
                <w:tcPr>
                  <w:tcW w:w="646" w:type="pct"/>
                  <w:shd w:val="clear" w:color="auto" w:fill="auto"/>
                  <w:noWrap w:val="0"/>
                  <w:vAlign w:val="center"/>
                </w:tcPr>
                <w:p w14:paraId="0BAD4D7C">
                  <w:pPr>
                    <w:pStyle w:val="18"/>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符合</w:t>
                  </w:r>
                </w:p>
              </w:tc>
            </w:tr>
          </w:tbl>
          <w:p w14:paraId="54F45F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综上，本</w:t>
            </w:r>
            <w:r>
              <w:rPr>
                <w:rFonts w:hint="default" w:ascii="Times New Roman" w:hAnsi="Times New Roman" w:eastAsia="宋体" w:cs="Times New Roman"/>
                <w:bCs/>
                <w:color w:val="auto"/>
                <w:lang w:val="en-US" w:eastAsia="zh-CN"/>
              </w:rPr>
              <w:t>项目与《</w:t>
            </w:r>
            <w:r>
              <w:rPr>
                <w:rFonts w:hint="eastAsia" w:ascii="Times New Roman" w:hAnsi="Times New Roman" w:eastAsia="宋体" w:cs="Times New Roman"/>
                <w:bCs/>
                <w:color w:val="auto"/>
                <w:lang w:val="en-US" w:eastAsia="zh-CN"/>
              </w:rPr>
              <w:t>云南省大气污染防治条例</w:t>
            </w:r>
            <w:r>
              <w:rPr>
                <w:rFonts w:hint="default" w:ascii="Times New Roman" w:hAnsi="Times New Roman" w:eastAsia="宋体" w:cs="Times New Roman"/>
                <w:bCs/>
                <w:color w:val="auto"/>
                <w:lang w:val="en-US" w:eastAsia="zh-CN"/>
              </w:rPr>
              <w:t>》相符。</w:t>
            </w:r>
          </w:p>
          <w:p w14:paraId="179B756D">
            <w:pPr>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textAlignment w:val="auto"/>
              <w:outlineLvl w:val="9"/>
              <w:rPr>
                <w:rFonts w:hint="default" w:eastAsia="宋体" w:cs="Times New Roman"/>
                <w:b/>
                <w:bCs/>
                <w:color w:val="auto"/>
                <w:kern w:val="2"/>
                <w:sz w:val="24"/>
                <w:szCs w:val="24"/>
                <w:lang w:val="en-US" w:eastAsia="zh-CN" w:bidi="ar-SA"/>
              </w:rPr>
            </w:pPr>
            <w:r>
              <w:rPr>
                <w:rFonts w:hint="eastAsia" w:eastAsia="宋体" w:cs="Times New Roman"/>
                <w:b/>
                <w:bCs/>
                <w:color w:val="auto"/>
                <w:kern w:val="2"/>
                <w:sz w:val="24"/>
                <w:szCs w:val="24"/>
                <w:lang w:val="en-US" w:eastAsia="zh-CN" w:bidi="ar-SA"/>
              </w:rPr>
              <w:t>8、与《云南省固体废物污染环境防治条例》</w:t>
            </w:r>
            <w:r>
              <w:rPr>
                <w:rFonts w:hint="default" w:eastAsia="宋体" w:cs="Times New Roman"/>
                <w:b/>
                <w:bCs/>
                <w:color w:val="auto"/>
                <w:kern w:val="2"/>
                <w:sz w:val="24"/>
                <w:szCs w:val="24"/>
                <w:lang w:val="en-US" w:eastAsia="zh-CN" w:bidi="ar-SA"/>
              </w:rPr>
              <w:t>符合性分析</w:t>
            </w:r>
            <w:bookmarkEnd w:id="11"/>
          </w:p>
          <w:p w14:paraId="15B816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项目与《云南省固体废物污染环境防治条例》的符合性</w:t>
            </w:r>
            <w:r>
              <w:rPr>
                <w:rFonts w:hint="eastAsia" w:cs="Times New Roman"/>
                <w:bCs/>
                <w:color w:val="auto"/>
                <w:lang w:val="en-US" w:eastAsia="zh-CN"/>
              </w:rPr>
              <w:t>分析</w:t>
            </w:r>
            <w:r>
              <w:rPr>
                <w:rFonts w:hint="eastAsia" w:ascii="Times New Roman" w:hAnsi="Times New Roman" w:eastAsia="宋体" w:cs="Times New Roman"/>
                <w:bCs/>
                <w:color w:val="auto"/>
                <w:lang w:val="en-US" w:eastAsia="zh-CN"/>
              </w:rPr>
              <w:t>见表</w:t>
            </w:r>
            <w:r>
              <w:rPr>
                <w:rFonts w:hint="eastAsia" w:cs="Times New Roman"/>
                <w:bCs/>
                <w:color w:val="auto"/>
                <w:lang w:val="en-US" w:eastAsia="zh-CN"/>
              </w:rPr>
              <w:t>4</w:t>
            </w:r>
            <w:r>
              <w:rPr>
                <w:rFonts w:hint="eastAsia" w:ascii="Times New Roman" w:hAnsi="Times New Roman" w:eastAsia="宋体" w:cs="Times New Roman"/>
                <w:bCs/>
                <w:color w:val="auto"/>
                <w:lang w:val="en-US" w:eastAsia="zh-CN"/>
              </w:rPr>
              <w:t>。</w:t>
            </w:r>
          </w:p>
          <w:p w14:paraId="297577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w:t>
            </w:r>
            <w:r>
              <w:rPr>
                <w:rFonts w:hint="eastAsia" w:cs="Times New Roman"/>
                <w:b/>
                <w:bCs/>
                <w:color w:val="auto"/>
                <w:kern w:val="0"/>
                <w:sz w:val="24"/>
                <w:szCs w:val="24"/>
                <w:lang w:val="en-US" w:eastAsia="zh-CN" w:bidi="ar"/>
              </w:rPr>
              <w:t xml:space="preserve">4 </w:t>
            </w:r>
            <w:r>
              <w:rPr>
                <w:rFonts w:hint="eastAsia" w:ascii="Times New Roman" w:hAnsi="Times New Roman" w:eastAsia="宋体" w:cs="Times New Roman"/>
                <w:b/>
                <w:bCs/>
                <w:color w:val="auto"/>
                <w:kern w:val="0"/>
                <w:sz w:val="24"/>
                <w:szCs w:val="24"/>
                <w:lang w:val="en-US" w:eastAsia="zh-CN" w:bidi="ar"/>
              </w:rPr>
              <w:t xml:space="preserve"> 与《</w:t>
            </w:r>
            <w:r>
              <w:rPr>
                <w:rFonts w:hint="default" w:ascii="Times New Roman" w:hAnsi="Times New Roman" w:eastAsia="宋体" w:cs="Times New Roman"/>
                <w:b/>
                <w:bCs/>
                <w:color w:val="auto"/>
                <w:kern w:val="0"/>
                <w:sz w:val="24"/>
                <w:szCs w:val="24"/>
                <w:lang w:val="en-US" w:eastAsia="zh-CN" w:bidi="ar"/>
              </w:rPr>
              <w:t>云南省固体废物污染环境防治条例</w:t>
            </w:r>
            <w:r>
              <w:rPr>
                <w:rFonts w:hint="eastAsia" w:ascii="Times New Roman" w:hAnsi="Times New Roman" w:eastAsia="宋体" w:cs="Times New Roman"/>
                <w:b/>
                <w:bCs/>
                <w:color w:val="auto"/>
                <w:kern w:val="0"/>
                <w:sz w:val="24"/>
                <w:szCs w:val="24"/>
                <w:lang w:val="en-US" w:eastAsia="zh-CN" w:bidi="ar"/>
              </w:rPr>
              <w:t>》的符合性分析</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4"/>
              <w:gridCol w:w="2850"/>
              <w:gridCol w:w="668"/>
            </w:tblGrid>
            <w:tr w14:paraId="7B3A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394" w:type="pct"/>
                  <w:noWrap w:val="0"/>
                  <w:vAlign w:val="center"/>
                </w:tcPr>
                <w:p w14:paraId="349201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i w:val="0"/>
                      <w:iCs w:val="0"/>
                      <w:color w:val="auto"/>
                      <w:kern w:val="0"/>
                      <w:sz w:val="21"/>
                      <w:szCs w:val="21"/>
                      <w:lang w:val="en-US" w:eastAsia="zh-CN" w:bidi="ar"/>
                    </w:rPr>
                  </w:pPr>
                  <w:r>
                    <w:rPr>
                      <w:rFonts w:hint="default" w:ascii="Times New Roman" w:hAnsi="Times New Roman" w:cs="Times New Roman" w:eastAsiaTheme="minorEastAsia"/>
                      <w:b/>
                      <w:bCs/>
                      <w:i w:val="0"/>
                      <w:iCs w:val="0"/>
                      <w:color w:val="auto"/>
                      <w:kern w:val="0"/>
                      <w:sz w:val="21"/>
                      <w:szCs w:val="21"/>
                      <w:lang w:val="en-US" w:eastAsia="zh-CN" w:bidi="ar"/>
                    </w:rPr>
                    <w:t>云南省固体废物污染环境防治条例</w:t>
                  </w:r>
                </w:p>
              </w:tc>
              <w:tc>
                <w:tcPr>
                  <w:tcW w:w="2110" w:type="pct"/>
                  <w:noWrap w:val="0"/>
                  <w:vAlign w:val="center"/>
                </w:tcPr>
                <w:p w14:paraId="200590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i w:val="0"/>
                      <w:iCs w:val="0"/>
                      <w:color w:val="auto"/>
                      <w:kern w:val="0"/>
                      <w:sz w:val="21"/>
                      <w:szCs w:val="21"/>
                      <w:lang w:val="en-US" w:eastAsia="zh-CN" w:bidi="ar"/>
                    </w:rPr>
                  </w:pPr>
                  <w:r>
                    <w:rPr>
                      <w:rFonts w:hint="default" w:ascii="Times New Roman" w:hAnsi="Times New Roman" w:cs="Times New Roman" w:eastAsiaTheme="minorEastAsia"/>
                      <w:b/>
                      <w:bCs/>
                      <w:i w:val="0"/>
                      <w:iCs w:val="0"/>
                      <w:color w:val="auto"/>
                      <w:kern w:val="0"/>
                      <w:sz w:val="21"/>
                      <w:szCs w:val="21"/>
                      <w:lang w:val="en-US" w:eastAsia="zh-CN" w:bidi="ar"/>
                    </w:rPr>
                    <w:t>本项目</w:t>
                  </w:r>
                </w:p>
              </w:tc>
              <w:tc>
                <w:tcPr>
                  <w:tcW w:w="494" w:type="pct"/>
                  <w:noWrap w:val="0"/>
                  <w:vAlign w:val="center"/>
                </w:tcPr>
                <w:p w14:paraId="4ACB85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i w:val="0"/>
                      <w:iCs w:val="0"/>
                      <w:color w:val="auto"/>
                      <w:kern w:val="0"/>
                      <w:sz w:val="21"/>
                      <w:szCs w:val="21"/>
                      <w:lang w:val="en-US" w:eastAsia="zh-CN" w:bidi="ar"/>
                    </w:rPr>
                  </w:pPr>
                  <w:r>
                    <w:rPr>
                      <w:rFonts w:hint="default" w:ascii="Times New Roman" w:hAnsi="Times New Roman" w:cs="Times New Roman" w:eastAsiaTheme="minorEastAsia"/>
                      <w:b/>
                      <w:bCs/>
                      <w:i w:val="0"/>
                      <w:iCs w:val="0"/>
                      <w:color w:val="auto"/>
                      <w:kern w:val="0"/>
                      <w:sz w:val="21"/>
                      <w:szCs w:val="21"/>
                      <w:lang w:val="en-US" w:eastAsia="zh-CN" w:bidi="ar"/>
                    </w:rPr>
                    <w:t>符合性</w:t>
                  </w:r>
                </w:p>
              </w:tc>
            </w:tr>
            <w:tr w14:paraId="276C0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394" w:type="pct"/>
                  <w:noWrap w:val="0"/>
                  <w:vAlign w:val="center"/>
                </w:tcPr>
                <w:p w14:paraId="7FB2BB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w:t>
                  </w:r>
                </w:p>
              </w:tc>
              <w:tc>
                <w:tcPr>
                  <w:tcW w:w="2110" w:type="pct"/>
                  <w:vMerge w:val="restart"/>
                  <w:noWrap w:val="0"/>
                  <w:vAlign w:val="center"/>
                </w:tcPr>
                <w:p w14:paraId="217248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本项目产生的废弃包装物、废布袋暂存于一般固废暂存点，统一收集后外售处置，布袋除尘收集的粉尘和</w:t>
                  </w:r>
                  <w:r>
                    <w:rPr>
                      <w:rFonts w:hint="eastAsia" w:cs="Times New Roman" w:eastAsiaTheme="minorEastAsia"/>
                      <w:b w:val="0"/>
                      <w:bCs w:val="0"/>
                      <w:i w:val="0"/>
                      <w:iCs w:val="0"/>
                      <w:color w:val="auto"/>
                      <w:kern w:val="0"/>
                      <w:sz w:val="21"/>
                      <w:szCs w:val="21"/>
                      <w:lang w:val="en-US" w:eastAsia="zh-CN" w:bidi="ar"/>
                    </w:rPr>
                    <w:t>生物质蒸汽发生器</w:t>
                  </w:r>
                  <w:r>
                    <w:rPr>
                      <w:rFonts w:hint="default" w:ascii="Times New Roman" w:hAnsi="Times New Roman" w:cs="Times New Roman" w:eastAsiaTheme="minorEastAsia"/>
                      <w:b w:val="0"/>
                      <w:bCs w:val="0"/>
                      <w:i w:val="0"/>
                      <w:iCs w:val="0"/>
                      <w:color w:val="auto"/>
                      <w:kern w:val="0"/>
                      <w:sz w:val="21"/>
                      <w:szCs w:val="21"/>
                      <w:lang w:val="en-US" w:eastAsia="zh-CN" w:bidi="ar"/>
                    </w:rPr>
                    <w:t>炉渣统一收集袋装后暂存于一般固废暂存区内，外售其他企业制作复合肥料，设备维修产生的废机油和有机废气治理设施产生的废活性炭经收集后，暂存于危废暂存间，委托有资质的单位进行处置</w:t>
                  </w:r>
                </w:p>
              </w:tc>
              <w:tc>
                <w:tcPr>
                  <w:tcW w:w="494" w:type="pct"/>
                  <w:noWrap w:val="0"/>
                  <w:vAlign w:val="center"/>
                </w:tcPr>
                <w:p w14:paraId="38EE69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r w14:paraId="6DF5C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2394" w:type="pct"/>
                  <w:noWrap w:val="0"/>
                  <w:vAlign w:val="center"/>
                </w:tcPr>
                <w:p w14:paraId="7F0460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产生工业固体废物的单位应当根据经济、技术条件对工业固体废物加以利用；对暂时不利用或者不能利用的，应当按照国家规定建设贮存设施、场所，安全分类存放，或者采取无害化处置措施。 </w:t>
                  </w:r>
                </w:p>
              </w:tc>
              <w:tc>
                <w:tcPr>
                  <w:tcW w:w="2110" w:type="pct"/>
                  <w:vMerge w:val="continue"/>
                  <w:noWrap w:val="0"/>
                  <w:vAlign w:val="center"/>
                </w:tcPr>
                <w:p w14:paraId="352CA1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p>
              </w:tc>
              <w:tc>
                <w:tcPr>
                  <w:tcW w:w="494" w:type="pct"/>
                  <w:noWrap w:val="0"/>
                  <w:vAlign w:val="center"/>
                </w:tcPr>
                <w:p w14:paraId="1A8190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r w14:paraId="7558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394" w:type="pct"/>
                  <w:noWrap w:val="0"/>
                  <w:vAlign w:val="center"/>
                </w:tcPr>
                <w:p w14:paraId="496360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产生、收集、贮存、运输、利用、处置固体废物的单位和其他生产经营者，应当加强对相关设施、设备和场所的管理和维护，保证其正常运行和使用；依法及时向社会公开固体废物的种类、产生量、流向、贮存、利用、处置等固体废物污染环境防治信息，主动接受社会监督。</w:t>
                  </w:r>
                </w:p>
              </w:tc>
              <w:tc>
                <w:tcPr>
                  <w:tcW w:w="2110" w:type="pct"/>
                  <w:noWrap w:val="0"/>
                  <w:vAlign w:val="center"/>
                </w:tcPr>
                <w:p w14:paraId="7A48FB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本项目产生的一般固废暂存于一般固废暂存区，危险废物（废机油、废活性炭）暂存于危废暂存间，本项目应主动依法及时向社会公开固体废物的种类、产生量、流向、贮存、利用、处置等固体废物污染环境防治信息，并接受社会监督。</w:t>
                  </w:r>
                </w:p>
              </w:tc>
              <w:tc>
                <w:tcPr>
                  <w:tcW w:w="494" w:type="pct"/>
                  <w:noWrap w:val="0"/>
                  <w:vAlign w:val="center"/>
                </w:tcPr>
                <w:p w14:paraId="0B8EDF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r w14:paraId="5015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2394" w:type="pct"/>
                  <w:noWrap w:val="0"/>
                  <w:vAlign w:val="center"/>
                </w:tcPr>
                <w:p w14:paraId="669E07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建设产生、贮存、利用、处置固体废物的项目，应当依法进行环境影响评价，并遵守国家有关建设项目环境保护管理的规定。</w:t>
                  </w:r>
                </w:p>
              </w:tc>
              <w:tc>
                <w:tcPr>
                  <w:tcW w:w="2110" w:type="pct"/>
                  <w:noWrap w:val="0"/>
                  <w:vAlign w:val="center"/>
                </w:tcPr>
                <w:p w14:paraId="49C68B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本项目将按照相关法律法规进行环境影响评价，并遵守国家有关建设项目环境保护管理的规定</w:t>
                  </w:r>
                </w:p>
              </w:tc>
              <w:tc>
                <w:tcPr>
                  <w:tcW w:w="494" w:type="pct"/>
                  <w:noWrap w:val="0"/>
                  <w:vAlign w:val="center"/>
                </w:tcPr>
                <w:p w14:paraId="630CE0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r w14:paraId="1A0E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394" w:type="pct"/>
                  <w:noWrap w:val="0"/>
                  <w:vAlign w:val="center"/>
                </w:tcPr>
                <w:p w14:paraId="1B6CDF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产生工业固体废物的单位委托他人运输、利用、处置工业固体废物的，应当对受托方的主体资格和技术能力进行核实，依法签订书面合同，在合同中约定污染防治要求</w:t>
                  </w:r>
                </w:p>
              </w:tc>
              <w:tc>
                <w:tcPr>
                  <w:tcW w:w="2110" w:type="pct"/>
                  <w:noWrap w:val="0"/>
                  <w:vAlign w:val="center"/>
                </w:tcPr>
                <w:p w14:paraId="42D831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本项目产生的危险废物委托有资质的单位进行处置，建设单位应该对受托方的主体资格和技术能力进行核实，依法签订书面合同，在合同中约定相关的污染防治要求</w:t>
                  </w:r>
                </w:p>
              </w:tc>
              <w:tc>
                <w:tcPr>
                  <w:tcW w:w="494" w:type="pct"/>
                  <w:noWrap w:val="0"/>
                  <w:vAlign w:val="center"/>
                </w:tcPr>
                <w:p w14:paraId="75BC15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r w14:paraId="168A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394" w:type="pct"/>
                  <w:noWrap w:val="0"/>
                  <w:vAlign w:val="center"/>
                </w:tcPr>
                <w:p w14:paraId="13CAFB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产生危险废物的单位，应当按照国家有关规定制定危险废物管理计划；建立危险废物管理台账，如实记录有关信息，并通过省固体废物信息管理平台向所在地生态环境主管部门申报危险废物的种类、产生量、流向、贮存、处置等有关资料。产生危险废物的单位，应当按照国家有关规定和环境保护标准要求贮存、利用、处置危险废物，不得擅自倾倒、堆放</w:t>
                  </w:r>
                </w:p>
              </w:tc>
              <w:tc>
                <w:tcPr>
                  <w:tcW w:w="2110" w:type="pct"/>
                  <w:noWrap w:val="0"/>
                  <w:vAlign w:val="center"/>
                </w:tcPr>
                <w:p w14:paraId="19AC6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本项目应制定危险废物管理计划，建立危险废物管理台账，并通过省固体废物信息管理平台向玉溪市生态环境局红塔分局申报危险废物的种类、产生量、流向、贮存、处置等有关资料。本项目产生的危险废物委托有资质的单位进行处置，不得擅自倾倒、堆放</w:t>
                  </w:r>
                </w:p>
              </w:tc>
              <w:tc>
                <w:tcPr>
                  <w:tcW w:w="494" w:type="pct"/>
                  <w:noWrap w:val="0"/>
                  <w:vAlign w:val="center"/>
                </w:tcPr>
                <w:p w14:paraId="4A5EC9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r w14:paraId="196C9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2394" w:type="pct"/>
                  <w:noWrap w:val="0"/>
                  <w:vAlign w:val="center"/>
                </w:tcPr>
                <w:p w14:paraId="29356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收集、贮存危险废物，应当按照危险废物特性分类进行。禁止混合收集、贮存、运输、处置性质不相容而未经安全性处置的危险废物。贮存危险废物应当采取符合国家环境保护标准的防护措施。禁止将危险废物混入非危险废物中贮存。</w:t>
                  </w:r>
                </w:p>
              </w:tc>
              <w:tc>
                <w:tcPr>
                  <w:tcW w:w="2110" w:type="pct"/>
                  <w:noWrap w:val="0"/>
                  <w:vAlign w:val="center"/>
                </w:tcPr>
                <w:p w14:paraId="0E7523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本项目产生的危险废物暂存于危废暂存间，危废暂存间内严禁暂存除危险废物外的其他废物</w:t>
                  </w:r>
                </w:p>
              </w:tc>
              <w:tc>
                <w:tcPr>
                  <w:tcW w:w="494" w:type="pct"/>
                  <w:noWrap w:val="0"/>
                  <w:vAlign w:val="center"/>
                </w:tcPr>
                <w:p w14:paraId="046AF5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r w14:paraId="293C3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2394" w:type="pct"/>
                  <w:noWrap w:val="0"/>
                  <w:vAlign w:val="center"/>
                </w:tcPr>
                <w:p w14:paraId="02659E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转移危险废物的，应当执行国家危险废物转移联单制度，按照国家有关规定如实填写、运行危险废物电子或者纸质转移联单。</w:t>
                  </w:r>
                </w:p>
              </w:tc>
              <w:tc>
                <w:tcPr>
                  <w:tcW w:w="2110" w:type="pct"/>
                  <w:noWrap w:val="0"/>
                  <w:vAlign w:val="center"/>
                </w:tcPr>
                <w:p w14:paraId="292920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本项目产生的危险废物委托有资质的单位进行处置，建设单位应、转运单位、接收单位应按照国家有关规定如实填写、运行危险废物电子或者纸质转移联单。</w:t>
                  </w:r>
                </w:p>
              </w:tc>
              <w:tc>
                <w:tcPr>
                  <w:tcW w:w="494" w:type="pct"/>
                  <w:noWrap w:val="0"/>
                  <w:vAlign w:val="center"/>
                </w:tcPr>
                <w:p w14:paraId="212CB5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i w:val="0"/>
                      <w:iCs w:val="0"/>
                      <w:color w:val="auto"/>
                      <w:kern w:val="0"/>
                      <w:sz w:val="21"/>
                      <w:szCs w:val="21"/>
                      <w:lang w:val="en-US" w:eastAsia="zh-CN" w:bidi="ar"/>
                    </w:rPr>
                  </w:pPr>
                  <w:r>
                    <w:rPr>
                      <w:rFonts w:hint="default" w:ascii="Times New Roman" w:hAnsi="Times New Roman" w:cs="Times New Roman" w:eastAsiaTheme="minorEastAsia"/>
                      <w:b w:val="0"/>
                      <w:bCs w:val="0"/>
                      <w:i w:val="0"/>
                      <w:iCs w:val="0"/>
                      <w:color w:val="auto"/>
                      <w:kern w:val="0"/>
                      <w:sz w:val="21"/>
                      <w:szCs w:val="21"/>
                      <w:lang w:val="en-US" w:eastAsia="zh-CN" w:bidi="ar"/>
                    </w:rPr>
                    <w:t>符合</w:t>
                  </w:r>
                </w:p>
              </w:tc>
            </w:tr>
          </w:tbl>
          <w:p w14:paraId="123CEB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bCs/>
                <w:color w:val="auto"/>
                <w:lang w:val="en-US" w:eastAsia="zh-CN"/>
              </w:rPr>
              <w:t>综上，本</w:t>
            </w:r>
            <w:r>
              <w:rPr>
                <w:rFonts w:hint="default" w:ascii="Times New Roman" w:hAnsi="Times New Roman" w:eastAsia="宋体" w:cs="Times New Roman"/>
                <w:bCs/>
                <w:color w:val="auto"/>
              </w:rPr>
              <w:t>项目与《</w:t>
            </w:r>
            <w:r>
              <w:rPr>
                <w:rFonts w:hint="eastAsia" w:ascii="Times New Roman" w:hAnsi="Times New Roman" w:eastAsia="宋体" w:cs="Times New Roman"/>
                <w:bCs/>
                <w:color w:val="auto"/>
                <w:lang w:val="en-US" w:eastAsia="zh-CN"/>
              </w:rPr>
              <w:t>云南省固体废物污染环境防治条例</w:t>
            </w:r>
            <w:r>
              <w:rPr>
                <w:rFonts w:hint="default" w:ascii="Times New Roman" w:hAnsi="Times New Roman" w:eastAsia="宋体" w:cs="Times New Roman"/>
                <w:bCs/>
                <w:color w:val="auto"/>
              </w:rPr>
              <w:t>》相符。</w:t>
            </w:r>
          </w:p>
          <w:p w14:paraId="7ACE5007">
            <w:pPr>
              <w:pStyle w:val="6"/>
              <w:keepNext w:val="0"/>
              <w:keepLines w:val="0"/>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textAlignment w:val="auto"/>
              <w:rPr>
                <w:rFonts w:hint="eastAsia" w:ascii="Times New Roman" w:hAnsi="Times New Roman" w:eastAsia="宋体" w:cs="Times New Roman"/>
                <w:b/>
                <w:bCs/>
                <w:color w:val="auto"/>
                <w:kern w:val="2"/>
                <w:sz w:val="24"/>
                <w:szCs w:val="24"/>
                <w:lang w:val="en-US" w:eastAsia="zh-CN" w:bidi="ar-SA"/>
              </w:rPr>
            </w:pPr>
            <w:bookmarkStart w:id="12" w:name="_Toc19549"/>
            <w:bookmarkStart w:id="13" w:name="_Toc7057"/>
            <w:bookmarkStart w:id="14" w:name="_Toc9374"/>
            <w:r>
              <w:rPr>
                <w:rFonts w:hint="eastAsia" w:ascii="Times New Roman" w:hAnsi="Times New Roman" w:eastAsia="宋体" w:cs="Times New Roman"/>
                <w:b/>
                <w:bCs/>
                <w:color w:val="auto"/>
                <w:kern w:val="2"/>
                <w:sz w:val="24"/>
                <w:szCs w:val="24"/>
                <w:lang w:val="en-US" w:eastAsia="zh-CN" w:bidi="ar-SA"/>
              </w:rPr>
              <w:t>9、与《玉溪市“三线一单”生态环境分区管控实施意见》中（生态红线、环境质量底线、资源利用上限）及《玉溪市生态环境局关于印发玉溪市生态环境分区管控动态更新调整方案（2023年）的通知》（玉市环</w:t>
            </w:r>
            <w:r>
              <w:rPr>
                <w:rFonts w:hint="default" w:ascii="Times New Roman" w:hAnsi="Times New Roman" w:eastAsia="宋体" w:cs="Times New Roman"/>
                <w:b/>
                <w:bCs/>
                <w:color w:val="auto"/>
                <w:kern w:val="2"/>
                <w:sz w:val="24"/>
                <w:szCs w:val="24"/>
                <w:lang w:val="en-US" w:eastAsia="zh-CN" w:bidi="ar-SA"/>
              </w:rPr>
              <w:t>〔202</w:t>
            </w:r>
            <w:r>
              <w:rPr>
                <w:rFonts w:hint="eastAsia" w:ascii="Times New Roman" w:hAnsi="Times New Roman" w:eastAsia="宋体" w:cs="Times New Roman"/>
                <w:b/>
                <w:bCs/>
                <w:color w:val="auto"/>
                <w:kern w:val="2"/>
                <w:sz w:val="24"/>
                <w:szCs w:val="24"/>
                <w:lang w:val="en-US" w:eastAsia="zh-CN" w:bidi="ar-SA"/>
              </w:rPr>
              <w:t>4</w:t>
            </w:r>
            <w:r>
              <w:rPr>
                <w:rFonts w:hint="default" w:ascii="Times New Roman" w:hAnsi="Times New Roman" w:eastAsia="宋体" w:cs="Times New Roman"/>
                <w:b/>
                <w:bCs/>
                <w:color w:val="auto"/>
                <w:kern w:val="2"/>
                <w:sz w:val="24"/>
                <w:szCs w:val="24"/>
                <w:lang w:val="en-US" w:eastAsia="zh-CN" w:bidi="ar-SA"/>
              </w:rPr>
              <w:t>〕</w:t>
            </w:r>
            <w:r>
              <w:rPr>
                <w:rFonts w:hint="eastAsia" w:ascii="Times New Roman" w:hAnsi="Times New Roman" w:eastAsia="宋体" w:cs="Times New Roman"/>
                <w:b/>
                <w:bCs/>
                <w:color w:val="auto"/>
                <w:kern w:val="2"/>
                <w:sz w:val="24"/>
                <w:szCs w:val="24"/>
                <w:lang w:val="en-US" w:eastAsia="zh-CN" w:bidi="ar-SA"/>
              </w:rPr>
              <w:t>40号）（生态环境分区管控）的符合性分析</w:t>
            </w:r>
            <w:bookmarkEnd w:id="12"/>
            <w:bookmarkEnd w:id="13"/>
            <w:bookmarkEnd w:id="14"/>
          </w:p>
          <w:p w14:paraId="69E38BD4">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both"/>
              <w:textAlignment w:val="auto"/>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2021年12月6日玉溪市人民政府印发了《玉溪市“三线一单”生态环境分区管控实施意见的通知》</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玉政发</w:t>
            </w:r>
            <w:r>
              <w:rPr>
                <w:rFonts w:hint="default" w:ascii="Times New Roman" w:hAnsi="Times New Roman" w:eastAsia="宋体" w:cs="Times New Roman"/>
                <w:b w:val="0"/>
                <w:bCs w:val="0"/>
                <w:color w:val="auto"/>
                <w:kern w:val="2"/>
                <w:sz w:val="24"/>
                <w:szCs w:val="24"/>
                <w:lang w:val="en-US" w:eastAsia="zh-CN" w:bidi="ar-SA"/>
              </w:rPr>
              <w:t>〔202</w:t>
            </w:r>
            <w:r>
              <w:rPr>
                <w:rFonts w:hint="eastAsia" w:ascii="Times New Roman" w:hAnsi="Times New Roman" w:eastAsia="宋体" w:cs="Times New Roman"/>
                <w:b w:val="0"/>
                <w:bCs w:val="0"/>
                <w:color w:val="auto"/>
                <w:kern w:val="2"/>
                <w:sz w:val="24"/>
                <w:szCs w:val="24"/>
                <w:lang w:val="en-US" w:eastAsia="zh-CN" w:bidi="ar-SA"/>
              </w:rPr>
              <w:t>1</w:t>
            </w:r>
            <w:r>
              <w:rPr>
                <w:rFonts w:hint="default"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color w:val="auto"/>
              </w:rPr>
              <w:t>15号</w:t>
            </w:r>
            <w:r>
              <w:rPr>
                <w:rFonts w:hint="eastAsia" w:ascii="Times New Roman" w:hAnsi="Times New Roman" w:eastAsia="宋体" w:cs="Times New Roman"/>
                <w:color w:val="auto"/>
                <w:lang w:eastAsia="zh-CN"/>
              </w:rPr>
              <w:t>）。</w:t>
            </w:r>
          </w:p>
          <w:p w14:paraId="77F2924A">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与《玉溪市</w:t>
            </w:r>
            <w:r>
              <w:rPr>
                <w:rFonts w:hint="eastAsia" w:cs="Times New Roman"/>
                <w:color w:val="auto"/>
                <w:lang w:eastAsia="zh-CN"/>
              </w:rPr>
              <w:t>“</w:t>
            </w:r>
            <w:r>
              <w:rPr>
                <w:rFonts w:hint="default" w:ascii="Times New Roman" w:hAnsi="Times New Roman" w:eastAsia="宋体" w:cs="Times New Roman"/>
                <w:color w:val="auto"/>
              </w:rPr>
              <w:t>三线一单</w:t>
            </w:r>
            <w:r>
              <w:rPr>
                <w:rFonts w:hint="eastAsia" w:cs="Times New Roman"/>
                <w:color w:val="auto"/>
                <w:lang w:eastAsia="zh-CN"/>
              </w:rPr>
              <w:t>”</w:t>
            </w:r>
            <w:r>
              <w:rPr>
                <w:rFonts w:hint="default" w:ascii="Times New Roman" w:hAnsi="Times New Roman" w:eastAsia="宋体" w:cs="Times New Roman"/>
                <w:color w:val="auto"/>
              </w:rPr>
              <w:t>生态环境分区管控实施意见》的符合性分析详见下表。</w:t>
            </w:r>
          </w:p>
          <w:p w14:paraId="0DFFCC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w:t>
            </w:r>
            <w:r>
              <w:rPr>
                <w:rFonts w:hint="eastAsia"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 xml:space="preserve">  与《玉溪市</w:t>
            </w:r>
            <w:r>
              <w:rPr>
                <w:rFonts w:hint="eastAsia"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三线一单</w:t>
            </w:r>
            <w:r>
              <w:rPr>
                <w:rFonts w:hint="eastAsia" w:cs="Times New Roman"/>
                <w:b/>
                <w:color w:val="auto"/>
                <w:sz w:val="24"/>
                <w:szCs w:val="24"/>
                <w:highlight w:val="none"/>
                <w:lang w:eastAsia="zh-CN"/>
              </w:rPr>
              <w:t>”</w:t>
            </w:r>
            <w:r>
              <w:rPr>
                <w:rFonts w:hint="default" w:ascii="Times New Roman" w:hAnsi="Times New Roman" w:eastAsia="宋体" w:cs="Times New Roman"/>
                <w:b/>
                <w:color w:val="auto"/>
                <w:sz w:val="24"/>
                <w:szCs w:val="24"/>
                <w:highlight w:val="none"/>
              </w:rPr>
              <w:t>生态环境分区管控实施意见》符合性</w:t>
            </w:r>
            <w:r>
              <w:rPr>
                <w:rFonts w:hint="eastAsia" w:ascii="Times New Roman" w:hAnsi="Times New Roman" w:eastAsia="宋体" w:cs="Times New Roman"/>
                <w:b/>
                <w:color w:val="auto"/>
                <w:sz w:val="24"/>
                <w:szCs w:val="24"/>
                <w:highlight w:val="none"/>
                <w:lang w:val="en-US" w:eastAsia="zh-CN"/>
              </w:rPr>
              <w:t>分析</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669"/>
              <w:gridCol w:w="2370"/>
              <w:gridCol w:w="2575"/>
              <w:gridCol w:w="722"/>
            </w:tblGrid>
            <w:tr w14:paraId="2D93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559" w:type="pct"/>
                  <w:gridSpan w:val="3"/>
                  <w:noWrap w:val="0"/>
                  <w:vAlign w:val="center"/>
                </w:tcPr>
                <w:p w14:paraId="3FCD0FEE">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kern w:val="2"/>
                      <w:sz w:val="21"/>
                      <w:szCs w:val="21"/>
                    </w:rPr>
                    <w:t>意见要求</w:t>
                  </w:r>
                </w:p>
              </w:tc>
              <w:tc>
                <w:tcPr>
                  <w:tcW w:w="1905" w:type="pct"/>
                  <w:noWrap w:val="0"/>
                  <w:vAlign w:val="center"/>
                </w:tcPr>
                <w:p w14:paraId="09F15DD4">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kern w:val="2"/>
                      <w:sz w:val="21"/>
                      <w:szCs w:val="21"/>
                    </w:rPr>
                    <w:t>项目情况</w:t>
                  </w:r>
                </w:p>
              </w:tc>
              <w:tc>
                <w:tcPr>
                  <w:tcW w:w="534" w:type="pct"/>
                  <w:noWrap w:val="0"/>
                  <w:vAlign w:val="center"/>
                </w:tcPr>
                <w:p w14:paraId="585BBC73">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bCs/>
                      <w:color w:val="auto"/>
                      <w:kern w:val="2"/>
                      <w:sz w:val="21"/>
                      <w:szCs w:val="21"/>
                    </w:rPr>
                  </w:pPr>
                  <w:r>
                    <w:rPr>
                      <w:rFonts w:hint="default" w:ascii="Times New Roman" w:hAnsi="Times New Roman" w:cs="Times New Roman" w:eastAsiaTheme="minorEastAsia"/>
                      <w:b/>
                      <w:bCs/>
                      <w:color w:val="auto"/>
                      <w:kern w:val="2"/>
                      <w:sz w:val="21"/>
                      <w:szCs w:val="21"/>
                    </w:rPr>
                    <w:t>符合性</w:t>
                  </w:r>
                </w:p>
              </w:tc>
            </w:tr>
            <w:tr w14:paraId="1B4C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000" w:type="pct"/>
                  <w:gridSpan w:val="5"/>
                  <w:noWrap w:val="0"/>
                  <w:vAlign w:val="center"/>
                </w:tcPr>
                <w:p w14:paraId="2076AD06">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明确生态保护红线、环境质量底线和资源利用上线</w:t>
                  </w:r>
                </w:p>
              </w:tc>
            </w:tr>
            <w:tr w14:paraId="5F3C5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9" w:type="pct"/>
                  <w:gridSpan w:val="3"/>
                  <w:noWrap w:val="0"/>
                  <w:vAlign w:val="center"/>
                </w:tcPr>
                <w:p w14:paraId="3BD17A3C">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生态保护红线和一般生态空间：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905" w:type="pct"/>
                  <w:noWrap w:val="0"/>
                  <w:vAlign w:val="center"/>
                </w:tcPr>
                <w:p w14:paraId="2430F70D">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租用云南省玉溪市红塔区北城街道刺桐关社区一组岔箐脑闲置的封闭</w:t>
                  </w:r>
                  <w:r>
                    <w:rPr>
                      <w:rFonts w:hint="eastAsia" w:cs="Times New Roman" w:eastAsiaTheme="minorEastAsia"/>
                      <w:color w:val="auto"/>
                      <w:sz w:val="21"/>
                      <w:szCs w:val="21"/>
                      <w:lang w:val="en-US" w:eastAsia="zh-CN"/>
                    </w:rPr>
                    <w:t>厂房和空地</w:t>
                  </w:r>
                  <w:r>
                    <w:rPr>
                      <w:rFonts w:hint="default" w:ascii="Times New Roman" w:hAnsi="Times New Roman" w:cs="Times New Roman" w:eastAsiaTheme="minorEastAsia"/>
                      <w:color w:val="auto"/>
                      <w:sz w:val="21"/>
                      <w:szCs w:val="21"/>
                      <w:lang w:val="en-US" w:eastAsia="zh-CN"/>
                    </w:rPr>
                    <w:t>进行建设</w:t>
                  </w:r>
                  <w:r>
                    <w:rPr>
                      <w:rFonts w:hint="default" w:ascii="Times New Roman" w:hAnsi="Times New Roman" w:cs="Times New Roman" w:eastAsiaTheme="minorEastAsia"/>
                      <w:color w:val="auto"/>
                      <w:sz w:val="21"/>
                      <w:szCs w:val="21"/>
                    </w:rPr>
                    <w:t>，不新增占地。项目评价范围内不涉及自然保护区、风景名胜区、世界文化和自然遗产地、森林公园、饮用水源保护区、基本农田等生态敏感区，本项目不涉及占用</w:t>
                  </w:r>
                  <w:r>
                    <w:rPr>
                      <w:rFonts w:hint="default" w:ascii="Times New Roman" w:hAnsi="Times New Roman" w:cs="Times New Roman" w:eastAsiaTheme="minorEastAsia"/>
                      <w:color w:val="auto"/>
                      <w:sz w:val="21"/>
                      <w:szCs w:val="21"/>
                      <w:lang w:val="en-US" w:eastAsia="zh-CN"/>
                    </w:rPr>
                    <w:t>红塔区</w:t>
                  </w:r>
                  <w:r>
                    <w:rPr>
                      <w:rFonts w:hint="default" w:ascii="Times New Roman" w:hAnsi="Times New Roman" w:cs="Times New Roman" w:eastAsiaTheme="minorEastAsia"/>
                      <w:color w:val="auto"/>
                      <w:sz w:val="21"/>
                      <w:szCs w:val="21"/>
                    </w:rPr>
                    <w:t>生态保护红线和一般生态空间。</w:t>
                  </w:r>
                </w:p>
              </w:tc>
              <w:tc>
                <w:tcPr>
                  <w:tcW w:w="534" w:type="pct"/>
                  <w:noWrap w:val="0"/>
                  <w:vAlign w:val="center"/>
                </w:tcPr>
                <w:p w14:paraId="606B0BDE">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148E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2559" w:type="pct"/>
                  <w:gridSpan w:val="3"/>
                  <w:noWrap w:val="0"/>
                  <w:vAlign w:val="center"/>
                </w:tcPr>
                <w:p w14:paraId="2283E0CE">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（二）环境质量底线</w:t>
                  </w:r>
                </w:p>
                <w:p w14:paraId="3BE95C68">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水环境质量底线。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p w14:paraId="00830621">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大气环境质量底线。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p w14:paraId="0C80D0F9">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土壤环境风险防控底线。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905" w:type="pct"/>
                  <w:noWrap w:val="0"/>
                  <w:vAlign w:val="center"/>
                </w:tcPr>
                <w:p w14:paraId="6D8D31FF">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1.水环境质量底线：本项目地表水为</w:t>
                  </w:r>
                  <w:r>
                    <w:rPr>
                      <w:rFonts w:hint="default" w:ascii="Times New Roman" w:hAnsi="Times New Roman" w:cs="Times New Roman" w:eastAsiaTheme="minorEastAsia"/>
                      <w:color w:val="auto"/>
                      <w:sz w:val="21"/>
                      <w:szCs w:val="21"/>
                      <w:lang w:val="en-US" w:eastAsia="zh-CN"/>
                    </w:rPr>
                    <w:t>玉溪大河</w:t>
                  </w:r>
                  <w:r>
                    <w:rPr>
                      <w:rFonts w:hint="default" w:ascii="Times New Roman" w:hAnsi="Times New Roman" w:cs="Times New Roman" w:eastAsiaTheme="minorEastAsia"/>
                      <w:color w:val="auto"/>
                      <w:sz w:val="21"/>
                      <w:szCs w:val="21"/>
                    </w:rPr>
                    <w:t>，不涉及抚仙湖、杞麓湖、星云湖、集中式饮用水水源地。</w:t>
                  </w:r>
                  <w:r>
                    <w:rPr>
                      <w:rFonts w:hint="default" w:ascii="Times New Roman" w:hAnsi="Times New Roman" w:cs="Times New Roman" w:eastAsiaTheme="minorEastAsia"/>
                      <w:color w:val="auto"/>
                      <w:sz w:val="21"/>
                      <w:szCs w:val="21"/>
                      <w:lang w:val="en-US" w:eastAsia="zh-CN"/>
                    </w:rPr>
                    <w:t>根据</w:t>
                  </w:r>
                  <w:r>
                    <w:rPr>
                      <w:rFonts w:hint="default" w:ascii="Times New Roman" w:hAnsi="Times New Roman" w:cs="Times New Roman" w:eastAsiaTheme="minorEastAsia"/>
                      <w:color w:val="auto"/>
                      <w:sz w:val="21"/>
                      <w:szCs w:val="21"/>
                      <w:lang w:val="zh-CN" w:eastAsia="zh-CN"/>
                    </w:rPr>
                    <w:t>玉溪市生态环境局202</w:t>
                  </w:r>
                  <w:r>
                    <w:rPr>
                      <w:rFonts w:hint="eastAsia"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lang w:val="zh-CN" w:eastAsia="zh-CN"/>
                    </w:rPr>
                    <w:t>年6月5日发布的《202</w:t>
                  </w:r>
                  <w:r>
                    <w:rPr>
                      <w:rFonts w:hint="eastAsia"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lang w:val="zh-CN" w:eastAsia="zh-CN"/>
                    </w:rPr>
                    <w:t>年玉溪市环境状况公报》，玉溪大河矣读可断面水质类别为Ⅳ类，不能满足《地表水环境质量标准》（GB3838-2002）中的III类标准，</w:t>
                  </w:r>
                  <w:r>
                    <w:rPr>
                      <w:rFonts w:hint="default" w:ascii="Times New Roman" w:hAnsi="Times New Roman" w:cs="Times New Roman" w:eastAsiaTheme="minorEastAsia"/>
                      <w:color w:val="auto"/>
                      <w:sz w:val="21"/>
                      <w:szCs w:val="21"/>
                      <w:lang w:val="en-US" w:eastAsia="zh-CN"/>
                    </w:rPr>
                    <w:t>故项目所在区域地表水水体为不达标区</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本</w:t>
                  </w:r>
                  <w:r>
                    <w:rPr>
                      <w:rFonts w:hint="default" w:ascii="Times New Roman" w:hAnsi="Times New Roman" w:cs="Times New Roman" w:eastAsiaTheme="minorEastAsia"/>
                      <w:color w:val="auto"/>
                      <w:sz w:val="21"/>
                      <w:szCs w:val="21"/>
                    </w:rPr>
                    <w:t>项目废水不外排，不会改变现有环境功能；</w:t>
                  </w:r>
                </w:p>
                <w:p w14:paraId="6625B290">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2.项目区域属于环境空气二类功能区，为达标区，环境空气质量满足GB3095-2012《环境空气质量标准》中二级标准</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本项目无二氧化碳排放</w:t>
                  </w:r>
                  <w:r>
                    <w:rPr>
                      <w:rFonts w:hint="default" w:ascii="Times New Roman" w:hAnsi="Times New Roman" w:cs="Times New Roman" w:eastAsiaTheme="minorEastAsia"/>
                      <w:color w:val="auto"/>
                      <w:sz w:val="21"/>
                      <w:szCs w:val="21"/>
                    </w:rPr>
                    <w:t>；</w:t>
                  </w:r>
                </w:p>
                <w:p w14:paraId="424F63D8">
                  <w:pPr>
                    <w:pStyle w:val="13"/>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r>
                    <w:rPr>
                      <w:rFonts w:hint="default" w:ascii="Times New Roman" w:hAnsi="Times New Roman" w:cs="Times New Roman" w:eastAsiaTheme="minorEastAsia"/>
                      <w:color w:val="auto"/>
                      <w:sz w:val="21"/>
                      <w:szCs w:val="21"/>
                      <w:lang w:val="en-US" w:eastAsia="zh-CN"/>
                    </w:rPr>
                    <w:t>.本项目为塑料颗粒生产加工项目，项目租用</w:t>
                  </w:r>
                  <w:r>
                    <w:rPr>
                      <w:rFonts w:hint="default" w:ascii="Times New Roman" w:hAnsi="Times New Roman" w:cs="Times New Roman" w:eastAsiaTheme="minorEastAsia"/>
                      <w:color w:val="auto"/>
                      <w:kern w:val="2"/>
                      <w:sz w:val="21"/>
                      <w:szCs w:val="21"/>
                      <w:lang w:val="en-US" w:eastAsia="zh-CN" w:bidi="ar-SA"/>
                    </w:rPr>
                    <w:t>云南省玉溪市红塔区北城街道刺桐关社区一组岔箐脑闲置厂房</w:t>
                  </w:r>
                  <w:r>
                    <w:rPr>
                      <w:rFonts w:hint="eastAsia" w:cs="Times New Roman" w:eastAsiaTheme="minorEastAsia"/>
                      <w:color w:val="auto"/>
                      <w:kern w:val="2"/>
                      <w:sz w:val="21"/>
                      <w:szCs w:val="21"/>
                      <w:lang w:val="en-US" w:eastAsia="zh-CN" w:bidi="ar-SA"/>
                    </w:rPr>
                    <w:t>和空地</w:t>
                  </w:r>
                  <w:r>
                    <w:rPr>
                      <w:rFonts w:hint="default" w:ascii="Times New Roman" w:hAnsi="Times New Roman" w:cs="Times New Roman" w:eastAsiaTheme="minorEastAsia"/>
                      <w:color w:val="auto"/>
                      <w:sz w:val="21"/>
                      <w:szCs w:val="21"/>
                      <w:lang w:val="en-US" w:eastAsia="zh-CN"/>
                    </w:rPr>
                    <w:t>进行建设，不新增占地，厂</w:t>
                  </w:r>
                  <w:r>
                    <w:rPr>
                      <w:rFonts w:hint="eastAsia" w:cs="Times New Roman" w:eastAsiaTheme="minorEastAsia"/>
                      <w:color w:val="auto"/>
                      <w:sz w:val="21"/>
                      <w:szCs w:val="21"/>
                      <w:lang w:val="en-US" w:eastAsia="zh-CN"/>
                    </w:rPr>
                    <w:t>房</w:t>
                  </w:r>
                  <w:r>
                    <w:rPr>
                      <w:rFonts w:hint="default" w:ascii="Times New Roman" w:hAnsi="Times New Roman" w:cs="Times New Roman" w:eastAsiaTheme="minorEastAsia"/>
                      <w:color w:val="auto"/>
                      <w:sz w:val="21"/>
                      <w:szCs w:val="21"/>
                      <w:lang w:val="en-US" w:eastAsia="zh-CN"/>
                    </w:rPr>
                    <w:t>地面进行硬化，生产线均布设于车间内，项目无生活、生产废水外排，生产工段（发泡工段）产生的有机气体经配套建设的两级活性炭装置处理后，经1根15m排气筒（DA001）外排，对外环境影响较小，</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燃烧产生的废气经</w:t>
                  </w:r>
                  <w:r>
                    <w:rPr>
                      <w:rFonts w:hint="eastAsia" w:cs="Times New Roman" w:eastAsiaTheme="minorEastAsia"/>
                      <w:color w:val="auto"/>
                      <w:sz w:val="21"/>
                      <w:szCs w:val="21"/>
                      <w:lang w:val="en-US" w:eastAsia="zh-CN"/>
                    </w:rPr>
                    <w:t>旋风除尘+布袋除尘</w:t>
                  </w:r>
                  <w:r>
                    <w:rPr>
                      <w:rFonts w:hint="default" w:ascii="Times New Roman" w:hAnsi="Times New Roman" w:cs="Times New Roman" w:eastAsiaTheme="minorEastAsia"/>
                      <w:color w:val="auto"/>
                      <w:sz w:val="21"/>
                      <w:szCs w:val="21"/>
                      <w:lang w:val="en-US" w:eastAsia="zh-CN"/>
                    </w:rPr>
                    <w:t>处理后，通过1根30m排气筒（DA002）外排；项目固体废物分类收集、分类处置，危险废物按危废管理要求进行暂存与处置，对土壤、地下水环境影响较小。</w:t>
                  </w:r>
                  <w:r>
                    <w:rPr>
                      <w:rFonts w:hint="default" w:ascii="Times New Roman" w:hAnsi="Times New Roman" w:cs="Times New Roman" w:eastAsiaTheme="minorEastAsia"/>
                      <w:color w:val="auto"/>
                      <w:sz w:val="21"/>
                      <w:szCs w:val="21"/>
                    </w:rPr>
                    <w:t>项目的建设，对地表水、大气环境、土壤影响较小，不影响环境区划功能。</w:t>
                  </w:r>
                </w:p>
              </w:tc>
              <w:tc>
                <w:tcPr>
                  <w:tcW w:w="534" w:type="pct"/>
                  <w:noWrap w:val="0"/>
                  <w:vAlign w:val="center"/>
                </w:tcPr>
                <w:p w14:paraId="7404B5DE">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4CCB0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9" w:type="pct"/>
                  <w:gridSpan w:val="3"/>
                  <w:noWrap w:val="0"/>
                  <w:vAlign w:val="center"/>
                </w:tcPr>
                <w:p w14:paraId="3A419589">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（三）资源利用上线</w:t>
                  </w:r>
                </w:p>
                <w:p w14:paraId="33A5355B">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强化资源能源节约集约利用，持续提升资源能源利用效率，水资源、土地资源、能源消耗等达到或优于省下达的总量和强度控制目标。</w:t>
                  </w:r>
                </w:p>
              </w:tc>
              <w:tc>
                <w:tcPr>
                  <w:tcW w:w="1905" w:type="pct"/>
                  <w:noWrap w:val="0"/>
                  <w:vAlign w:val="center"/>
                </w:tcPr>
                <w:p w14:paraId="5DAD3E25">
                  <w:pPr>
                    <w:pStyle w:val="13"/>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项目</w:t>
                  </w:r>
                  <w:r>
                    <w:rPr>
                      <w:rFonts w:hint="default" w:ascii="Times New Roman" w:hAnsi="Times New Roman" w:cs="Times New Roman" w:eastAsiaTheme="minorEastAsia"/>
                      <w:color w:val="auto"/>
                      <w:sz w:val="21"/>
                      <w:szCs w:val="21"/>
                      <w:lang w:val="en-US" w:eastAsia="zh-CN"/>
                    </w:rPr>
                    <w:t>租用</w:t>
                  </w:r>
                  <w:r>
                    <w:rPr>
                      <w:rFonts w:hint="default" w:ascii="Times New Roman" w:hAnsi="Times New Roman" w:cs="Times New Roman" w:eastAsiaTheme="minorEastAsia"/>
                      <w:color w:val="auto"/>
                      <w:kern w:val="2"/>
                      <w:sz w:val="21"/>
                      <w:szCs w:val="21"/>
                      <w:lang w:val="en-US" w:eastAsia="zh-CN" w:bidi="ar-SA"/>
                    </w:rPr>
                    <w:t>云南省玉溪市红塔区北城街道刺桐关社区一组岔箐脑闲置厂房</w:t>
                  </w:r>
                  <w:r>
                    <w:rPr>
                      <w:rFonts w:hint="eastAsia" w:cs="Times New Roman" w:eastAsiaTheme="minorEastAsia"/>
                      <w:color w:val="auto"/>
                      <w:kern w:val="2"/>
                      <w:sz w:val="21"/>
                      <w:szCs w:val="21"/>
                      <w:lang w:val="en-US" w:eastAsia="zh-CN" w:bidi="ar-SA"/>
                    </w:rPr>
                    <w:t>和空地</w:t>
                  </w:r>
                  <w:r>
                    <w:rPr>
                      <w:rFonts w:hint="default" w:ascii="Times New Roman" w:hAnsi="Times New Roman" w:cs="Times New Roman" w:eastAsiaTheme="minorEastAsia"/>
                      <w:color w:val="auto"/>
                      <w:sz w:val="21"/>
                      <w:szCs w:val="21"/>
                      <w:lang w:val="en-US" w:eastAsia="zh-CN"/>
                    </w:rPr>
                    <w:t>进行建设</w:t>
                  </w:r>
                  <w:r>
                    <w:rPr>
                      <w:rFonts w:hint="default" w:ascii="Times New Roman" w:hAnsi="Times New Roman" w:cs="Times New Roman" w:eastAsiaTheme="minorEastAsia"/>
                      <w:color w:val="auto"/>
                      <w:sz w:val="21"/>
                      <w:szCs w:val="21"/>
                    </w:rPr>
                    <w:t>，不新增占地。</w:t>
                  </w:r>
                  <w:r>
                    <w:rPr>
                      <w:rFonts w:hint="default" w:ascii="Times New Roman" w:hAnsi="Times New Roman" w:cs="Times New Roman" w:eastAsiaTheme="minorEastAsia"/>
                      <w:color w:val="auto"/>
                      <w:kern w:val="2"/>
                      <w:sz w:val="21"/>
                      <w:szCs w:val="21"/>
                      <w:lang w:val="en-US" w:eastAsia="zh-CN" w:bidi="ar-SA"/>
                    </w:rPr>
                    <w:t>项目无生活和生产废水外排</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b w:val="0"/>
                      <w:bCs w:val="0"/>
                      <w:i w:val="0"/>
                      <w:iCs w:val="0"/>
                      <w:color w:val="auto"/>
                      <w:kern w:val="0"/>
                      <w:sz w:val="21"/>
                      <w:szCs w:val="21"/>
                      <w:lang w:val="en-US" w:eastAsia="zh-CN" w:bidi="ar"/>
                    </w:rPr>
                    <w:t>布袋除尘收集的粉尘和</w:t>
                  </w:r>
                  <w:r>
                    <w:rPr>
                      <w:rFonts w:hint="eastAsia" w:cs="Times New Roman" w:eastAsiaTheme="minorEastAsia"/>
                      <w:b w:val="0"/>
                      <w:bCs w:val="0"/>
                      <w:i w:val="0"/>
                      <w:iCs w:val="0"/>
                      <w:color w:val="auto"/>
                      <w:kern w:val="0"/>
                      <w:sz w:val="21"/>
                      <w:szCs w:val="21"/>
                      <w:lang w:val="en-US" w:eastAsia="zh-CN" w:bidi="ar"/>
                    </w:rPr>
                    <w:t>生物质蒸汽发生器</w:t>
                  </w:r>
                  <w:r>
                    <w:rPr>
                      <w:rFonts w:hint="default" w:ascii="Times New Roman" w:hAnsi="Times New Roman" w:cs="Times New Roman" w:eastAsiaTheme="minorEastAsia"/>
                      <w:b w:val="0"/>
                      <w:bCs w:val="0"/>
                      <w:i w:val="0"/>
                      <w:iCs w:val="0"/>
                      <w:color w:val="auto"/>
                      <w:kern w:val="0"/>
                      <w:sz w:val="21"/>
                      <w:szCs w:val="21"/>
                      <w:lang w:val="en-US" w:eastAsia="zh-CN" w:bidi="ar"/>
                    </w:rPr>
                    <w:t>炉渣统一收集袋装后暂存于一般固废暂存间内</w:t>
                  </w:r>
                  <w:r>
                    <w:rPr>
                      <w:rFonts w:hint="default" w:ascii="Times New Roman" w:hAnsi="Times New Roman" w:cs="Times New Roman" w:eastAsiaTheme="minorEastAsia"/>
                      <w:color w:val="auto"/>
                      <w:sz w:val="21"/>
                      <w:szCs w:val="21"/>
                      <w:lang w:val="en-US" w:eastAsia="zh-CN"/>
                    </w:rPr>
                    <w:t>。项目用水量小、土地占用少、使用能源主要为电能及</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热能，资源能源利用效率高</w:t>
                  </w:r>
                </w:p>
              </w:tc>
              <w:tc>
                <w:tcPr>
                  <w:tcW w:w="534" w:type="pct"/>
                  <w:noWrap w:val="0"/>
                  <w:vAlign w:val="center"/>
                </w:tcPr>
                <w:p w14:paraId="0511F12C">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512B7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5000" w:type="pct"/>
                  <w:gridSpan w:val="5"/>
                  <w:noWrap w:val="0"/>
                  <w:vAlign w:val="center"/>
                </w:tcPr>
                <w:p w14:paraId="65BA6F56">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构建生态环境分区管控体系</w:t>
                  </w:r>
                </w:p>
              </w:tc>
            </w:tr>
            <w:tr w14:paraId="7072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9" w:type="pct"/>
                  <w:gridSpan w:val="3"/>
                  <w:noWrap w:val="0"/>
                  <w:vAlign w:val="center"/>
                </w:tcPr>
                <w:p w14:paraId="242ECBEA">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（一）生态环境管控单元划分。全市共划分82个生态环境管控单元，分为优先保护、重点管控和一般管控3类。</w:t>
                  </w:r>
                </w:p>
                <w:p w14:paraId="5191EC7E">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1．优先保护单元。共27个，包含生态保护红线和一般生态空间，主要分布在哀牢山、红河（元江）干热河谷、珠江上游及滇东南喀斯特地带、高原湖泊湖区及流域水源涵养区等生态功能重要、生态环境敏感区域。</w:t>
                  </w:r>
                </w:p>
                <w:p w14:paraId="7C3DC7E2">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2．重点管控单元。共46个，包含开发强度高、污染物排放强度大、环境问题相对集中的区域和大气环境布局敏感区等，主要分布在</w:t>
                  </w:r>
                  <w:r>
                    <w:rPr>
                      <w:rFonts w:hint="eastAsia"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三湖</w:t>
                  </w:r>
                  <w:r>
                    <w:rPr>
                      <w:rFonts w:hint="eastAsia"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（抚仙湖、星云湖、杞麓湖）坝区、各类开发区和工业集中区、城镇规划区及环境质量改善压力较大的区域。</w:t>
                  </w:r>
                </w:p>
                <w:p w14:paraId="68604AA4">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3．一般管控单元。共9个，为优先保护、重点管控单元之外的区域。</w:t>
                  </w:r>
                </w:p>
              </w:tc>
              <w:tc>
                <w:tcPr>
                  <w:tcW w:w="1905" w:type="pct"/>
                  <w:noWrap w:val="0"/>
                  <w:vAlign w:val="center"/>
                </w:tcPr>
                <w:p w14:paraId="02BE36EA">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本项目不涉及占用生态保护红线和一般生态空间，不属于优先保护单元、一般管控单元，属于重点管控单元。</w:t>
                  </w:r>
                </w:p>
              </w:tc>
              <w:tc>
                <w:tcPr>
                  <w:tcW w:w="534" w:type="pct"/>
                  <w:noWrap w:val="0"/>
                  <w:vAlign w:val="center"/>
                </w:tcPr>
                <w:p w14:paraId="19F2F477">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6279C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000" w:type="pct"/>
                  <w:gridSpan w:val="5"/>
                  <w:noWrap w:val="0"/>
                  <w:vAlign w:val="center"/>
                </w:tcPr>
                <w:p w14:paraId="2E355B24">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玉溪市生态环境管控总体要求</w:t>
                  </w:r>
                </w:p>
              </w:tc>
            </w:tr>
            <w:tr w14:paraId="62FBC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2" w:hRule="atLeast"/>
              </w:trPr>
              <w:tc>
                <w:tcPr>
                  <w:tcW w:w="2559" w:type="pct"/>
                  <w:gridSpan w:val="3"/>
                  <w:noWrap w:val="0"/>
                  <w:vAlign w:val="center"/>
                </w:tcPr>
                <w:p w14:paraId="604BD37A">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空间布局约束</w:t>
                  </w:r>
                </w:p>
                <w:p w14:paraId="31C33620">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1.南盘江、元江水系干流沿岸和三大高原湖泊流域，严格控制石化、化工、有色金属冶炼等项目的环境风险，合理布局生产装置及危险化学品仓储等设施。</w:t>
                  </w:r>
                </w:p>
                <w:p w14:paraId="1A59E970">
                  <w:pPr>
                    <w:pStyle w:val="31"/>
                    <w:keepNext w:val="0"/>
                    <w:keepLines w:val="0"/>
                    <w:pageBreakBefore w:val="0"/>
                    <w:kinsoku/>
                    <w:wordWrap/>
                    <w:overflowPunct/>
                    <w:topLinePunct w:val="0"/>
                    <w:autoSpaceDE/>
                    <w:autoSpaceDN/>
                    <w:bidi w:val="0"/>
                    <w:adjustRightInd w:val="0"/>
                    <w:snapToGrid w:val="0"/>
                    <w:spacing w:beforeAutospacing="0" w:afterAutospacing="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2、对不符合城市发展规划的钢铁企业，支持其实施减量、环保搬迁或转型转产。</w:t>
                  </w:r>
                </w:p>
                <w:p w14:paraId="080037B6">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r>
                    <w:rPr>
                      <w:rFonts w:hint="default" w:ascii="Times New Roman" w:hAnsi="Times New Roman" w:cs="Times New Roman" w:eastAsiaTheme="minorEastAsia"/>
                      <w:color w:val="auto"/>
                      <w:kern w:val="2"/>
                      <w:sz w:val="21"/>
                      <w:szCs w:val="21"/>
                    </w:rPr>
                    <w:t xml:space="preserve"> </w:t>
                  </w:r>
                  <w:r>
                    <w:rPr>
                      <w:rFonts w:hint="default" w:ascii="Times New Roman" w:hAnsi="Times New Roman" w:cs="Times New Roman" w:eastAsiaTheme="minorEastAsia"/>
                      <w:color w:val="auto"/>
                      <w:sz w:val="21"/>
                      <w:szCs w:val="21"/>
                    </w:rPr>
                    <w:t>严格控制水污染严重地区和敏感区域高耗水、高污染行业发展，畜禽规模化养殖、食品加工、医药制造等涉水项目向环境容量大的县（市、区）布局。</w:t>
                  </w:r>
                </w:p>
              </w:tc>
              <w:tc>
                <w:tcPr>
                  <w:tcW w:w="1905" w:type="pct"/>
                  <w:noWrap w:val="0"/>
                  <w:vAlign w:val="center"/>
                </w:tcPr>
                <w:p w14:paraId="51D35EE1">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1.本项目地表水体为东南侧</w:t>
                  </w:r>
                  <w:r>
                    <w:rPr>
                      <w:rFonts w:hint="default" w:ascii="Times New Roman" w:hAnsi="Times New Roman" w:cs="Times New Roman" w:eastAsiaTheme="minorEastAsia"/>
                      <w:color w:val="auto"/>
                      <w:sz w:val="21"/>
                      <w:szCs w:val="21"/>
                      <w:lang w:eastAsia="zh-CN"/>
                    </w:rPr>
                    <w:t>108</w:t>
                  </w:r>
                  <w:r>
                    <w:rPr>
                      <w:rFonts w:hint="default" w:ascii="Times New Roman" w:hAnsi="Times New Roman" w:cs="Times New Roman" w:eastAsiaTheme="minorEastAsia"/>
                      <w:color w:val="auto"/>
                      <w:sz w:val="21"/>
                      <w:szCs w:val="21"/>
                    </w:rPr>
                    <w:t>m处的后河，后河汇入岔河，岔河流入项目南侧4020m处的西河水库，出库后流入西河，西河属于玉溪大河支流，西河水汇入玉溪大河</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玉溪大河属于珠江流域，西江水系，项目为</w:t>
                  </w:r>
                  <w:r>
                    <w:rPr>
                      <w:rFonts w:hint="default" w:ascii="Times New Roman" w:hAnsi="Times New Roman" w:cs="Times New Roman" w:eastAsiaTheme="minorEastAsia"/>
                      <w:color w:val="auto"/>
                      <w:sz w:val="21"/>
                      <w:szCs w:val="21"/>
                      <w:lang w:val="en-US" w:eastAsia="zh-CN"/>
                    </w:rPr>
                    <w:t>塑料颗粒生产加工项目</w:t>
                  </w:r>
                  <w:r>
                    <w:rPr>
                      <w:rFonts w:hint="default" w:ascii="Times New Roman" w:hAnsi="Times New Roman" w:cs="Times New Roman" w:eastAsiaTheme="minorEastAsia"/>
                      <w:color w:val="auto"/>
                      <w:sz w:val="21"/>
                      <w:szCs w:val="21"/>
                    </w:rPr>
                    <w:t>，不涉及石化、化工、有色金属冶炼；</w:t>
                  </w:r>
                </w:p>
                <w:p w14:paraId="5DEE788E">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2.本项目不属于钢铁企业；</w:t>
                  </w:r>
                </w:p>
                <w:p w14:paraId="7E84C3A9">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3、本项目建成后，</w:t>
                  </w:r>
                  <w:r>
                    <w:rPr>
                      <w:rFonts w:hint="default" w:ascii="Times New Roman" w:hAnsi="Times New Roman" w:cs="Times New Roman" w:eastAsiaTheme="minorEastAsia"/>
                      <w:color w:val="auto"/>
                      <w:sz w:val="21"/>
                      <w:szCs w:val="21"/>
                      <w:lang w:val="en-US" w:eastAsia="zh-CN"/>
                    </w:rPr>
                    <w:t>无污废水</w:t>
                  </w:r>
                  <w:r>
                    <w:rPr>
                      <w:rFonts w:hint="default" w:ascii="Times New Roman" w:hAnsi="Times New Roman" w:cs="Times New Roman" w:eastAsiaTheme="minorEastAsia"/>
                      <w:color w:val="auto"/>
                      <w:sz w:val="21"/>
                      <w:szCs w:val="21"/>
                    </w:rPr>
                    <w:t>外排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项目不属于高耗水、高污染行业，所在区域不属于水污染严重地区和敏感区域。</w:t>
                  </w:r>
                </w:p>
              </w:tc>
              <w:tc>
                <w:tcPr>
                  <w:tcW w:w="534" w:type="pct"/>
                  <w:noWrap w:val="0"/>
                  <w:vAlign w:val="center"/>
                </w:tcPr>
                <w:p w14:paraId="07D10947">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0B5A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trPr>
              <w:tc>
                <w:tcPr>
                  <w:tcW w:w="2559" w:type="pct"/>
                  <w:gridSpan w:val="3"/>
                  <w:shd w:val="clear" w:color="auto" w:fill="auto"/>
                  <w:noWrap w:val="0"/>
                  <w:vAlign w:val="center"/>
                </w:tcPr>
                <w:p w14:paraId="04ED8E86">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资源开发利用效率</w:t>
                  </w:r>
                </w:p>
                <w:p w14:paraId="611B7D67">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1.降低水、土地、矿产资源消耗强度，强化约束性指标管理。</w:t>
                  </w:r>
                </w:p>
                <w:p w14:paraId="5AA5C319">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w:t>
                  </w:r>
                  <w:r>
                    <w:rPr>
                      <w:rFonts w:hint="default" w:ascii="Times New Roman" w:hAnsi="Times New Roman" w:cs="Times New Roman" w:eastAsiaTheme="minorEastAsia"/>
                      <w:color w:val="auto"/>
                      <w:kern w:val="2"/>
                      <w:sz w:val="21"/>
                      <w:szCs w:val="21"/>
                    </w:rPr>
                    <w:t xml:space="preserve"> </w:t>
                  </w:r>
                  <w:r>
                    <w:rPr>
                      <w:rFonts w:hint="default" w:ascii="Times New Roman" w:hAnsi="Times New Roman" w:cs="Times New Roman" w:eastAsiaTheme="minorEastAsia"/>
                      <w:color w:val="auto"/>
                      <w:sz w:val="21"/>
                      <w:szCs w:val="21"/>
                    </w:rPr>
                    <w:t>.实行最严格的水资源管理制度，严格用水总量、强度指标管理，严格取水管控，建立重点监控取水单位名录，强化重点监控取水单位管理。全市年用水总量、万元工业增加值用水量降幅等指标达到省考核要求。</w:t>
                  </w:r>
                </w:p>
                <w:p w14:paraId="0EBA71B0">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3.坚持最严格的耕地保护制度，守住耕地保护红线。坚持节约用地，严格执行耕地占补平衡等制度，提高土地投资强度和单位面积产出水平。</w:t>
                  </w:r>
                </w:p>
                <w:p w14:paraId="09177566">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rPr>
                    <w:t>5.高污染燃料禁燃区按照《高污染燃料目录》及当地有关禁燃区管理规定执行。</w:t>
                  </w:r>
                </w:p>
              </w:tc>
              <w:tc>
                <w:tcPr>
                  <w:tcW w:w="1905" w:type="pct"/>
                  <w:shd w:val="clear" w:color="auto" w:fill="auto"/>
                  <w:noWrap w:val="0"/>
                  <w:vAlign w:val="center"/>
                </w:tcPr>
                <w:p w14:paraId="1B0B5EF3">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1、本项目租用</w:t>
                  </w:r>
                  <w:r>
                    <w:rPr>
                      <w:rFonts w:hint="default" w:ascii="Times New Roman" w:hAnsi="Times New Roman" w:cs="Times New Roman" w:eastAsiaTheme="minorEastAsia"/>
                      <w:color w:val="auto"/>
                      <w:kern w:val="2"/>
                      <w:sz w:val="21"/>
                      <w:szCs w:val="21"/>
                      <w:lang w:val="en-US" w:eastAsia="zh-CN" w:bidi="ar-SA"/>
                    </w:rPr>
                    <w:t>云南省玉溪市红塔区北城街道刺桐关社区一组岔箐脑闲置的封闭车间</w:t>
                  </w:r>
                  <w:r>
                    <w:rPr>
                      <w:rFonts w:hint="eastAsia" w:cs="Times New Roman" w:eastAsiaTheme="minorEastAsia"/>
                      <w:color w:val="auto"/>
                      <w:kern w:val="2"/>
                      <w:sz w:val="21"/>
                      <w:szCs w:val="21"/>
                      <w:lang w:val="en-US" w:eastAsia="zh-CN" w:bidi="ar-SA"/>
                    </w:rPr>
                    <w:t>和空地</w:t>
                  </w:r>
                  <w:r>
                    <w:rPr>
                      <w:rFonts w:hint="default" w:ascii="Times New Roman" w:hAnsi="Times New Roman" w:cs="Times New Roman" w:eastAsiaTheme="minorEastAsia"/>
                      <w:color w:val="auto"/>
                      <w:sz w:val="21"/>
                      <w:szCs w:val="21"/>
                      <w:lang w:val="en-US" w:eastAsia="zh-CN"/>
                    </w:rPr>
                    <w:t>进行建设，不新增用地，项目用水量较少，无矿产资源消耗。</w:t>
                  </w:r>
                </w:p>
                <w:p w14:paraId="060575E7">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2、本项目不属于</w:t>
                  </w:r>
                  <w:r>
                    <w:rPr>
                      <w:rFonts w:hint="default" w:ascii="Times New Roman" w:hAnsi="Times New Roman" w:cs="Times New Roman" w:eastAsiaTheme="minorEastAsia"/>
                      <w:color w:val="auto"/>
                      <w:sz w:val="21"/>
                      <w:szCs w:val="21"/>
                    </w:rPr>
                    <w:t>重点监控取水单位</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项目软水制备废水及</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排污水经收集后回用于厂区洒水降尘，发泡工段蒸汽冷凝水用于</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损耗补充水，项目生产废水不外排。</w:t>
                  </w:r>
                  <w:r>
                    <w:rPr>
                      <w:rFonts w:hint="default" w:ascii="Times New Roman" w:hAnsi="Times New Roman" w:cs="Times New Roman" w:eastAsiaTheme="minorEastAsia"/>
                      <w:color w:val="auto"/>
                      <w:sz w:val="21"/>
                      <w:szCs w:val="21"/>
                    </w:rPr>
                    <w:t>食堂废水经油水分离器隔油后与其</w:t>
                  </w:r>
                  <w:r>
                    <w:rPr>
                      <w:rFonts w:hint="default" w:ascii="Times New Roman" w:hAnsi="Times New Roman" w:cs="Times New Roman" w:eastAsiaTheme="minorEastAsia"/>
                      <w:color w:val="auto"/>
                      <w:sz w:val="21"/>
                      <w:szCs w:val="21"/>
                      <w:lang w:val="en-US" w:eastAsia="zh-CN"/>
                    </w:rPr>
                    <w:t>它</w:t>
                  </w:r>
                  <w:r>
                    <w:rPr>
                      <w:rFonts w:hint="default" w:ascii="Times New Roman" w:hAnsi="Times New Roman" w:cs="Times New Roman" w:eastAsiaTheme="minorEastAsia"/>
                      <w:color w:val="auto"/>
                      <w:sz w:val="21"/>
                      <w:szCs w:val="21"/>
                    </w:rPr>
                    <w:t>生活污水一起进入化粪池</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经化粪池（</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）预处理后，</w:t>
                  </w:r>
                  <w:r>
                    <w:rPr>
                      <w:rFonts w:hint="eastAsia" w:cs="Times New Roman" w:eastAsiaTheme="minorEastAsia"/>
                      <w:color w:val="auto"/>
                      <w:sz w:val="21"/>
                      <w:szCs w:val="21"/>
                      <w:lang w:val="en-US" w:eastAsia="zh-CN"/>
                    </w:rPr>
                    <w:t>通过泵输送至项目新建的2m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/d的一体化污水处理设施，经处理达标后，晴天回用于厂区绿化或道路清扫，不外排，雨天暂存于中水池，待晴天后，回用于厂区绿化或道路清扫，不外排</w:t>
                  </w:r>
                  <w:r>
                    <w:rPr>
                      <w:rFonts w:hint="default" w:ascii="Times New Roman" w:hAnsi="Times New Roman" w:cs="Times New Roman" w:eastAsiaTheme="minorEastAsia"/>
                      <w:color w:val="auto"/>
                      <w:sz w:val="21"/>
                      <w:szCs w:val="21"/>
                      <w:lang w:eastAsia="zh-CN"/>
                    </w:rPr>
                    <w:t>。</w:t>
                  </w:r>
                </w:p>
                <w:p w14:paraId="6259209B">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3、本项目不涉及占用耕地。</w:t>
                  </w:r>
                </w:p>
                <w:p w14:paraId="748FEAAB">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5、本项目</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配套建设了高效的除尘装置，符合</w:t>
                  </w:r>
                  <w:r>
                    <w:rPr>
                      <w:rFonts w:hint="default" w:ascii="Times New Roman" w:hAnsi="Times New Roman" w:cs="Times New Roman" w:eastAsiaTheme="minorEastAsia"/>
                      <w:color w:val="auto"/>
                      <w:sz w:val="21"/>
                      <w:szCs w:val="21"/>
                    </w:rPr>
                    <w:t>当地有关禁燃区管理规</w:t>
                  </w:r>
                  <w:r>
                    <w:rPr>
                      <w:rFonts w:hint="default" w:ascii="Times New Roman" w:hAnsi="Times New Roman" w:cs="Times New Roman" w:eastAsiaTheme="minorEastAsia"/>
                      <w:color w:val="auto"/>
                      <w:sz w:val="21"/>
                      <w:szCs w:val="21"/>
                      <w:lang w:val="en-US" w:eastAsia="zh-CN"/>
                    </w:rPr>
                    <w:t>定。</w:t>
                  </w:r>
                </w:p>
              </w:tc>
              <w:tc>
                <w:tcPr>
                  <w:tcW w:w="534" w:type="pct"/>
                  <w:noWrap w:val="0"/>
                  <w:vAlign w:val="center"/>
                </w:tcPr>
                <w:p w14:paraId="0AB62629">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64B97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6" w:hRule="atLeast"/>
              </w:trPr>
              <w:tc>
                <w:tcPr>
                  <w:tcW w:w="2559" w:type="pct"/>
                  <w:gridSpan w:val="3"/>
                  <w:shd w:val="clear" w:color="auto" w:fill="auto"/>
                  <w:noWrap w:val="0"/>
                  <w:vAlign w:val="center"/>
                </w:tcPr>
                <w:p w14:paraId="4277D86F">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污染物排放管控</w:t>
                  </w:r>
                </w:p>
                <w:p w14:paraId="260CC96A">
                  <w:pPr>
                    <w:pStyle w:val="103"/>
                    <w:keepNext w:val="0"/>
                    <w:keepLines w:val="0"/>
                    <w:pageBreakBefore w:val="0"/>
                    <w:numPr>
                      <w:ilvl w:val="0"/>
                      <w:numId w:val="4"/>
                    </w:numPr>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加大</w:t>
                  </w:r>
                  <w:r>
                    <w:rPr>
                      <w:rFonts w:hint="eastAsia"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三湖</w:t>
                  </w:r>
                  <w:r>
                    <w:rPr>
                      <w:rFonts w:hint="eastAsia"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及</w:t>
                  </w:r>
                  <w:r>
                    <w:rPr>
                      <w:rFonts w:hint="eastAsia"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两江</w:t>
                  </w:r>
                  <w:r>
                    <w:rPr>
                      <w:rFonts w:hint="eastAsia"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流域的保护和治理，重点流域水污染严重地区，新建、改建、扩建重点行业建设项目实行主要污染物排放减量置换。</w:t>
                  </w:r>
                </w:p>
                <w:p w14:paraId="1734500E">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w:t>
                  </w:r>
                  <w:r>
                    <w:rPr>
                      <w:rFonts w:hint="default" w:ascii="Times New Roman" w:hAnsi="Times New Roman" w:cs="Times New Roman" w:eastAsiaTheme="minorEastAsia"/>
                      <w:color w:val="auto"/>
                      <w:kern w:val="2"/>
                      <w:sz w:val="21"/>
                      <w:szCs w:val="21"/>
                    </w:rPr>
                    <w:t xml:space="preserve"> </w:t>
                  </w:r>
                  <w:r>
                    <w:rPr>
                      <w:rFonts w:hint="default" w:ascii="Times New Roman" w:hAnsi="Times New Roman" w:cs="Times New Roman" w:eastAsiaTheme="minorEastAsia"/>
                      <w:color w:val="auto"/>
                      <w:sz w:val="21"/>
                      <w:szCs w:val="21"/>
                    </w:rPr>
                    <w:t>严格保护城乡饮用水水源地，整治饮用水水源保护区内的污染源，确保饮水安全。实现城镇生活污水、垃圾处理设施全覆盖和稳定运行。推进农村面源污染治理。推进工业园区、工矿企业污水处理设施全覆盖和利用效率最大化。</w:t>
                  </w:r>
                </w:p>
                <w:p w14:paraId="2325E191">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rPr>
                    <w:t>6.加强土壤污染防治，对农用地实施分类管理，对建设用地实行准入管理，确定土壤环境污染重点监管企业名单，实施土壤污染风险管控和修复名录制度，对污染地块开发利用实行联动监管。</w:t>
                  </w:r>
                </w:p>
              </w:tc>
              <w:tc>
                <w:tcPr>
                  <w:tcW w:w="1905" w:type="pct"/>
                  <w:shd w:val="clear" w:color="auto" w:fill="auto"/>
                  <w:noWrap w:val="0"/>
                  <w:vAlign w:val="center"/>
                </w:tcPr>
                <w:p w14:paraId="4288CABF">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w:t>
                  </w:r>
                  <w:r>
                    <w:rPr>
                      <w:rFonts w:hint="default" w:ascii="Times New Roman" w:hAnsi="Times New Roman" w:cs="Times New Roman" w:eastAsiaTheme="minorEastAsia"/>
                      <w:color w:val="auto"/>
                      <w:sz w:val="21"/>
                      <w:szCs w:val="21"/>
                      <w:lang w:val="en-US" w:eastAsia="zh-CN"/>
                    </w:rPr>
                    <w:t>本项目无生产废水和生活污水</w:t>
                  </w:r>
                  <w:r>
                    <w:rPr>
                      <w:rFonts w:hint="default" w:ascii="Times New Roman" w:hAnsi="Times New Roman" w:cs="Times New Roman" w:eastAsiaTheme="minorEastAsia"/>
                      <w:color w:val="auto"/>
                      <w:sz w:val="21"/>
                      <w:szCs w:val="21"/>
                    </w:rPr>
                    <w:t>外排。</w:t>
                  </w:r>
                </w:p>
                <w:p w14:paraId="1980D590">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3.本项目不涉及饮用水水源地</w:t>
                  </w:r>
                  <w:r>
                    <w:rPr>
                      <w:rFonts w:hint="default" w:ascii="Times New Roman" w:hAnsi="Times New Roman" w:cs="Times New Roman" w:eastAsiaTheme="minorEastAsia"/>
                      <w:color w:val="auto"/>
                      <w:sz w:val="21"/>
                      <w:szCs w:val="21"/>
                      <w:lang w:eastAsia="zh-CN"/>
                    </w:rPr>
                    <w:t>。</w:t>
                  </w:r>
                </w:p>
                <w:p w14:paraId="4F98ED59">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rPr>
                    <w:t>6、</w:t>
                  </w:r>
                  <w:r>
                    <w:rPr>
                      <w:rFonts w:hint="default" w:ascii="Times New Roman" w:hAnsi="Times New Roman" w:cs="Times New Roman" w:eastAsiaTheme="minorEastAsia"/>
                      <w:color w:val="auto"/>
                      <w:sz w:val="21"/>
                      <w:szCs w:val="21"/>
                      <w:lang w:val="en-US" w:eastAsia="zh-CN"/>
                    </w:rPr>
                    <w:t>项目未占用农用地，用地性质为采矿用地，本项目为塑料颗粒生产加工项目，整个生产工段布设于封闭的车间内，地面进行了硬化处置，对</w:t>
                  </w:r>
                  <w:r>
                    <w:rPr>
                      <w:rFonts w:hint="default" w:ascii="Times New Roman" w:hAnsi="Times New Roman" w:cs="Times New Roman" w:eastAsiaTheme="minorEastAsia"/>
                      <w:color w:val="auto"/>
                      <w:sz w:val="21"/>
                      <w:szCs w:val="21"/>
                    </w:rPr>
                    <w:t>土壤</w:t>
                  </w:r>
                  <w:r>
                    <w:rPr>
                      <w:rFonts w:hint="default" w:ascii="Times New Roman" w:hAnsi="Times New Roman" w:cs="Times New Roman" w:eastAsiaTheme="minorEastAsia"/>
                      <w:color w:val="auto"/>
                      <w:sz w:val="21"/>
                      <w:szCs w:val="21"/>
                      <w:lang w:val="en-US" w:eastAsia="zh-CN"/>
                    </w:rPr>
                    <w:t>环境影响较小</w:t>
                  </w:r>
                  <w:r>
                    <w:rPr>
                      <w:rFonts w:hint="default" w:ascii="Times New Roman" w:hAnsi="Times New Roman" w:cs="Times New Roman" w:eastAsiaTheme="minorEastAsia"/>
                      <w:color w:val="auto"/>
                      <w:sz w:val="21"/>
                      <w:szCs w:val="21"/>
                    </w:rPr>
                    <w:t>。</w:t>
                  </w:r>
                </w:p>
              </w:tc>
              <w:tc>
                <w:tcPr>
                  <w:tcW w:w="534" w:type="pct"/>
                  <w:noWrap w:val="0"/>
                  <w:vAlign w:val="center"/>
                </w:tcPr>
                <w:p w14:paraId="344E2FF0">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376F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9" w:type="pct"/>
                  <w:gridSpan w:val="3"/>
                  <w:shd w:val="clear" w:color="auto" w:fill="auto"/>
                  <w:noWrap w:val="0"/>
                  <w:vAlign w:val="center"/>
                </w:tcPr>
                <w:p w14:paraId="1250128B">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环境风险防控</w:t>
                  </w:r>
                </w:p>
                <w:p w14:paraId="527171CC">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rPr>
                    <w:t>2.</w:t>
                  </w:r>
                  <w:r>
                    <w:rPr>
                      <w:rFonts w:hint="default" w:ascii="Times New Roman" w:hAnsi="Times New Roman" w:cs="Times New Roman" w:eastAsiaTheme="minorEastAsia"/>
                      <w:color w:val="auto"/>
                      <w:kern w:val="2"/>
                      <w:sz w:val="21"/>
                      <w:szCs w:val="21"/>
                    </w:rPr>
                    <w:t xml:space="preserve"> </w:t>
                  </w:r>
                  <w:r>
                    <w:rPr>
                      <w:rFonts w:hint="default" w:ascii="Times New Roman" w:hAnsi="Times New Roman" w:cs="Times New Roman" w:eastAsiaTheme="minorEastAsia"/>
                      <w:color w:val="auto"/>
                      <w:sz w:val="21"/>
                      <w:szCs w:val="21"/>
                    </w:rPr>
                    <w:t>加强环境风险防控和应急管理，制定和完善突发环境事件和饮用水水源地突发环境事件应急预案，加强风险防控和突发环境事件应急处理处置能力。</w:t>
                  </w:r>
                </w:p>
              </w:tc>
              <w:tc>
                <w:tcPr>
                  <w:tcW w:w="1905" w:type="pct"/>
                  <w:shd w:val="clear" w:color="auto" w:fill="auto"/>
                  <w:noWrap w:val="0"/>
                  <w:vAlign w:val="center"/>
                </w:tcPr>
                <w:p w14:paraId="05467424">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bCs/>
                      <w:color w:val="auto"/>
                      <w:sz w:val="21"/>
                      <w:szCs w:val="21"/>
                    </w:rPr>
                    <w:t>建设单位应按《突发环境事件应急预案管理暂行办法》，编制《突发环境事件应急预案》，并报当地环境主管部门进行备案，定期按照预案进行演练，并按照《突发环境事件应急预案管理暂行办法》进行预案修编</w:t>
                  </w:r>
                </w:p>
              </w:tc>
              <w:tc>
                <w:tcPr>
                  <w:tcW w:w="534" w:type="pct"/>
                  <w:noWrap w:val="0"/>
                  <w:vAlign w:val="center"/>
                </w:tcPr>
                <w:p w14:paraId="68491405">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43AB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000" w:type="pct"/>
                  <w:gridSpan w:val="5"/>
                  <w:noWrap w:val="0"/>
                  <w:vAlign w:val="center"/>
                </w:tcPr>
                <w:p w14:paraId="73F86672">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红塔区农业面源污染重点管控单元生态环境准入清单</w:t>
                  </w:r>
                </w:p>
              </w:tc>
            </w:tr>
            <w:tr w14:paraId="48E1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2559" w:type="pct"/>
                  <w:gridSpan w:val="3"/>
                  <w:noWrap w:val="0"/>
                  <w:vAlign w:val="center"/>
                </w:tcPr>
                <w:p w14:paraId="5C13A5A9">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清单意见要求</w:t>
                  </w:r>
                </w:p>
              </w:tc>
              <w:tc>
                <w:tcPr>
                  <w:tcW w:w="1905" w:type="pct"/>
                  <w:noWrap w:val="0"/>
                  <w:vAlign w:val="center"/>
                </w:tcPr>
                <w:p w14:paraId="2F9A43C0">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本项目情况</w:t>
                  </w:r>
                </w:p>
              </w:tc>
              <w:tc>
                <w:tcPr>
                  <w:tcW w:w="534" w:type="pct"/>
                  <w:noWrap w:val="0"/>
                  <w:vAlign w:val="center"/>
                </w:tcPr>
                <w:p w14:paraId="06D7CA0D">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符合性</w:t>
                  </w:r>
                </w:p>
              </w:tc>
            </w:tr>
            <w:tr w14:paraId="7FD82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310" w:type="pct"/>
                  <w:vMerge w:val="restart"/>
                  <w:noWrap w:val="0"/>
                  <w:vAlign w:val="center"/>
                </w:tcPr>
                <w:p w14:paraId="3AB2B9D9">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红塔区农业面源污染重点管控单元</w:t>
                  </w:r>
                </w:p>
              </w:tc>
              <w:tc>
                <w:tcPr>
                  <w:tcW w:w="495" w:type="pct"/>
                  <w:noWrap w:val="0"/>
                  <w:vAlign w:val="center"/>
                </w:tcPr>
                <w:p w14:paraId="613961CA">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空间布局约束</w:t>
                  </w:r>
                </w:p>
              </w:tc>
              <w:tc>
                <w:tcPr>
                  <w:tcW w:w="1753" w:type="pct"/>
                  <w:noWrap w:val="0"/>
                  <w:vAlign w:val="center"/>
                </w:tcPr>
                <w:p w14:paraId="2F002392">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right="0" w:firstLine="0" w:firstLineChars="0"/>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1.禁止畜禽水产超规划养殖。</w:t>
                  </w:r>
                </w:p>
                <w:p w14:paraId="7486ADFE">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2.严格执行禁养区制度。</w:t>
                  </w:r>
                </w:p>
              </w:tc>
              <w:tc>
                <w:tcPr>
                  <w:tcW w:w="1905" w:type="pct"/>
                  <w:noWrap w:val="0"/>
                  <w:vAlign w:val="center"/>
                </w:tcPr>
                <w:p w14:paraId="3C0A03C4">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本项目为塑料颗粒的生产加工项目，不涉及畜禽养殖</w:t>
                  </w:r>
                </w:p>
              </w:tc>
              <w:tc>
                <w:tcPr>
                  <w:tcW w:w="534" w:type="pct"/>
                  <w:noWrap w:val="0"/>
                  <w:vAlign w:val="center"/>
                </w:tcPr>
                <w:p w14:paraId="2E6C7434">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符合</w:t>
                  </w:r>
                </w:p>
              </w:tc>
            </w:tr>
            <w:tr w14:paraId="1C27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10" w:type="pct"/>
                  <w:vMerge w:val="continue"/>
                  <w:noWrap w:val="0"/>
                  <w:vAlign w:val="center"/>
                </w:tcPr>
                <w:p w14:paraId="4A81137E">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p>
              </w:tc>
              <w:tc>
                <w:tcPr>
                  <w:tcW w:w="495" w:type="pct"/>
                  <w:noWrap w:val="0"/>
                  <w:vAlign w:val="center"/>
                </w:tcPr>
                <w:p w14:paraId="1B2EAD59">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污染物排放管控</w:t>
                  </w:r>
                </w:p>
              </w:tc>
              <w:tc>
                <w:tcPr>
                  <w:tcW w:w="1753" w:type="pct"/>
                  <w:noWrap w:val="0"/>
                  <w:vAlign w:val="center"/>
                </w:tcPr>
                <w:p w14:paraId="12D4A0B7">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right="0" w:firstLine="0" w:firstLineChars="0"/>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行政村农村人居环境整治实现全覆盖，垃圾及生活污水治理水平稳步提升，实现90%左右的村庄生活垃圾得到治理，基本完成非正规垃圾堆放点整治。加快小石桥等污水处理厂及其配套网管建设。</w:t>
                  </w:r>
                </w:p>
                <w:p w14:paraId="18199752">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right="0" w:firstLine="0" w:firstLineChars="0"/>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.严禁未经处理或处理后未达标的养殖废水直接排入河道。</w:t>
                  </w:r>
                </w:p>
                <w:p w14:paraId="2D9A17B4">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right="0" w:firstLine="0" w:firstLineChars="0"/>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.加强玉溪大河等河道的综合整治。禁止垃圾沿河、沿路堆放，减少对河道水体的污染。</w:t>
                  </w:r>
                </w:p>
                <w:p w14:paraId="0A7E470D">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rPr>
                    <w:t>.减少化肥农药施用量，主要农作物化肥农药使用量实现负增长，确保化肥、农药利用率均达到40%以上。</w:t>
                  </w:r>
                </w:p>
              </w:tc>
              <w:tc>
                <w:tcPr>
                  <w:tcW w:w="1905" w:type="pct"/>
                  <w:noWrap w:val="0"/>
                  <w:vAlign w:val="center"/>
                </w:tcPr>
                <w:p w14:paraId="0EAFCA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1.本项目不涉及。</w:t>
                  </w:r>
                </w:p>
                <w:p w14:paraId="3BA1B2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2.本项目为塑料颗粒的生产加工项目，不涉及养殖废水。</w:t>
                  </w:r>
                </w:p>
                <w:p w14:paraId="61935D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3.本项目固废处置率为100%，对玉溪大河没有影响。</w:t>
                  </w:r>
                </w:p>
                <w:p w14:paraId="08B9E6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kern w:val="0"/>
                      <w:sz w:val="21"/>
                      <w:szCs w:val="21"/>
                      <w:lang w:val="en-US" w:eastAsia="zh-CN" w:bidi="ar-SA"/>
                    </w:rPr>
                    <w:t>4.本项目不涉及。</w:t>
                  </w:r>
                </w:p>
              </w:tc>
              <w:tc>
                <w:tcPr>
                  <w:tcW w:w="534" w:type="pct"/>
                  <w:noWrap w:val="0"/>
                  <w:vAlign w:val="center"/>
                </w:tcPr>
                <w:p w14:paraId="2511A4B4">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符合</w:t>
                  </w:r>
                </w:p>
              </w:tc>
            </w:tr>
            <w:tr w14:paraId="03FC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10" w:type="pct"/>
                  <w:vMerge w:val="continue"/>
                  <w:noWrap w:val="0"/>
                  <w:vAlign w:val="center"/>
                </w:tcPr>
                <w:p w14:paraId="5E69AA85">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p>
              </w:tc>
              <w:tc>
                <w:tcPr>
                  <w:tcW w:w="495" w:type="pct"/>
                  <w:noWrap w:val="0"/>
                  <w:vAlign w:val="center"/>
                </w:tcPr>
                <w:p w14:paraId="4260B086">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环境风险防控</w:t>
                  </w:r>
                </w:p>
              </w:tc>
              <w:tc>
                <w:tcPr>
                  <w:tcW w:w="1753" w:type="pct"/>
                  <w:noWrap w:val="0"/>
                  <w:vAlign w:val="center"/>
                </w:tcPr>
                <w:p w14:paraId="6764D5E7">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right="0" w:firstLine="0" w:firstLineChars="0"/>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1.禁止向农田灌溉渠道排放工业废水或者医疗污水。</w:t>
                  </w:r>
                </w:p>
                <w:p w14:paraId="0FAEF702">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right="0" w:firstLine="0" w:firstLineChars="0"/>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2.农田灌溉用水应当符合相应的水质标准，防止土壤、地下水和农产品污染。</w:t>
                  </w:r>
                </w:p>
                <w:p w14:paraId="3B93CCB6">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right="0" w:firstLine="0" w:firstLineChars="0"/>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3.实施农作物秸秆资源化利用，严防因秸秆露天焚烧造成区域性重污染天气。</w:t>
                  </w:r>
                </w:p>
                <w:p w14:paraId="27A2304C">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4.禁止生产、销售、使用国家明令禁止的农业投入品，开展农用地土壤污染防治宣传和技术培训活动，扶持农业生产专业化服务，指导农业生产者合理使用农药、兽药、肥料、饲料、农用薄膜等农业投入品，控制农药、兽药、化肥等的使用量。</w:t>
                  </w:r>
                </w:p>
              </w:tc>
              <w:tc>
                <w:tcPr>
                  <w:tcW w:w="1905" w:type="pct"/>
                  <w:noWrap w:val="0"/>
                  <w:vAlign w:val="center"/>
                </w:tcPr>
                <w:p w14:paraId="25E6C613">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kern w:val="0"/>
                      <w:sz w:val="21"/>
                      <w:szCs w:val="21"/>
                      <w:lang w:val="en-US" w:eastAsia="zh-CN" w:bidi="ar-SA"/>
                    </w:rPr>
                    <w:t>1.本项目无生活、生产废水外排，不涉及</w:t>
                  </w:r>
                  <w:r>
                    <w:rPr>
                      <w:rFonts w:hint="default" w:ascii="Times New Roman" w:hAnsi="Times New Roman" w:cs="Times New Roman" w:eastAsiaTheme="minorEastAsia"/>
                      <w:color w:val="auto"/>
                      <w:sz w:val="21"/>
                      <w:szCs w:val="21"/>
                    </w:rPr>
                    <w:t>农田灌溉</w:t>
                  </w:r>
                  <w:r>
                    <w:rPr>
                      <w:rFonts w:hint="default" w:ascii="Times New Roman" w:hAnsi="Times New Roman" w:cs="Times New Roman" w:eastAsiaTheme="minorEastAsia"/>
                      <w:color w:val="auto"/>
                      <w:sz w:val="21"/>
                      <w:szCs w:val="21"/>
                      <w:lang w:val="en-US" w:eastAsia="zh-CN"/>
                    </w:rPr>
                    <w:t>或</w:t>
                  </w:r>
                  <w:r>
                    <w:rPr>
                      <w:rFonts w:hint="default" w:ascii="Times New Roman" w:hAnsi="Times New Roman" w:cs="Times New Roman" w:eastAsiaTheme="minorEastAsia"/>
                      <w:color w:val="auto"/>
                      <w:sz w:val="21"/>
                      <w:szCs w:val="21"/>
                    </w:rPr>
                    <w:t>医疗污水</w:t>
                  </w:r>
                  <w:r>
                    <w:rPr>
                      <w:rFonts w:hint="default" w:ascii="Times New Roman" w:hAnsi="Times New Roman" w:cs="Times New Roman" w:eastAsiaTheme="minorEastAsia"/>
                      <w:color w:val="auto"/>
                      <w:sz w:val="21"/>
                      <w:szCs w:val="21"/>
                      <w:lang w:eastAsia="zh-CN"/>
                    </w:rPr>
                    <w:t>。</w:t>
                  </w:r>
                </w:p>
                <w:p w14:paraId="46678ED1">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2.本项目不涉及。</w:t>
                  </w:r>
                </w:p>
                <w:p w14:paraId="580285E8">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3.不项目不涉及。</w:t>
                  </w:r>
                </w:p>
                <w:p w14:paraId="68021976">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4.本项目为塑料颗粒的生产加工项目，不涉及</w:t>
                  </w:r>
                  <w:r>
                    <w:rPr>
                      <w:rFonts w:hint="default" w:ascii="Times New Roman" w:hAnsi="Times New Roman" w:cs="Times New Roman" w:eastAsiaTheme="minorEastAsia"/>
                      <w:color w:val="auto"/>
                      <w:sz w:val="21"/>
                      <w:szCs w:val="21"/>
                    </w:rPr>
                    <w:t>生产、销售、使用国家明令禁止的农业投入品</w:t>
                  </w:r>
                </w:p>
              </w:tc>
              <w:tc>
                <w:tcPr>
                  <w:tcW w:w="534" w:type="pct"/>
                  <w:noWrap w:val="0"/>
                  <w:vAlign w:val="center"/>
                </w:tcPr>
                <w:p w14:paraId="32D1BACE">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符合</w:t>
                  </w:r>
                </w:p>
              </w:tc>
            </w:tr>
            <w:tr w14:paraId="53574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310" w:type="pct"/>
                  <w:vMerge w:val="continue"/>
                  <w:noWrap w:val="0"/>
                  <w:vAlign w:val="center"/>
                </w:tcPr>
                <w:p w14:paraId="2B7CBC24">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p>
              </w:tc>
              <w:tc>
                <w:tcPr>
                  <w:tcW w:w="495" w:type="pct"/>
                  <w:noWrap w:val="0"/>
                  <w:vAlign w:val="center"/>
                </w:tcPr>
                <w:p w14:paraId="3F21764A">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资源开发效率要求</w:t>
                  </w:r>
                </w:p>
              </w:tc>
              <w:tc>
                <w:tcPr>
                  <w:tcW w:w="1753" w:type="pct"/>
                  <w:noWrap w:val="0"/>
                  <w:vAlign w:val="center"/>
                </w:tcPr>
                <w:p w14:paraId="622CFAE0">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right="0" w:firstLine="0" w:firstLineChars="0"/>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1.发展节水农业，加强节水灌溉工程建设和节水改造。</w:t>
                  </w:r>
                </w:p>
                <w:p w14:paraId="7F2B94BF">
                  <w:pPr>
                    <w:pStyle w:val="31"/>
                    <w:keepNext w:val="0"/>
                    <w:keepLines w:val="0"/>
                    <w:pageBreakBefore w:val="0"/>
                    <w:widowControl/>
                    <w:suppressLineNumbers w:val="0"/>
                    <w:kinsoku/>
                    <w:wordWrap/>
                    <w:overflowPunct/>
                    <w:topLinePunct w:val="0"/>
                    <w:autoSpaceDE/>
                    <w:autoSpaceDN/>
                    <w:bidi w:val="0"/>
                    <w:spacing w:beforeAutospacing="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2.畜禽粪污综合利用率达到90%以上，畜禽规模养殖场粪污处理设施装备配套率达到100%</w:t>
                  </w:r>
                  <w:r>
                    <w:rPr>
                      <w:rFonts w:hint="default" w:ascii="Times New Roman" w:hAnsi="Times New Roman" w:cs="Times New Roman" w:eastAsiaTheme="minorEastAsia"/>
                      <w:color w:val="auto"/>
                      <w:kern w:val="0"/>
                      <w:sz w:val="21"/>
                      <w:szCs w:val="21"/>
                      <w:lang w:val="en-US" w:eastAsia="zh-CN" w:bidi="ar-SA"/>
                    </w:rPr>
                    <w:t>。</w:t>
                  </w:r>
                </w:p>
              </w:tc>
              <w:tc>
                <w:tcPr>
                  <w:tcW w:w="1905" w:type="pct"/>
                  <w:noWrap w:val="0"/>
                  <w:vAlign w:val="center"/>
                </w:tcPr>
                <w:p w14:paraId="5006191C">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本项目为有塑料颗粒的生产加工项目，不涉及农业节水灌溉和畜禽养殖粪污。项目软水制备废水及</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排污水经收集后回用于厂区洒水降尘，发泡工段蒸汽冷凝水用于</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损耗补充水，项目生产废水不外排。</w:t>
                  </w:r>
                  <w:r>
                    <w:rPr>
                      <w:rFonts w:hint="default" w:ascii="Times New Roman" w:hAnsi="Times New Roman" w:cs="Times New Roman" w:eastAsiaTheme="minorEastAsia"/>
                      <w:color w:val="auto"/>
                      <w:sz w:val="21"/>
                      <w:szCs w:val="21"/>
                    </w:rPr>
                    <w:t>食堂废水经油水分离器隔油后与其</w:t>
                  </w:r>
                  <w:r>
                    <w:rPr>
                      <w:rFonts w:hint="default" w:ascii="Times New Roman" w:hAnsi="Times New Roman" w:cs="Times New Roman" w:eastAsiaTheme="minorEastAsia"/>
                      <w:color w:val="auto"/>
                      <w:sz w:val="21"/>
                      <w:szCs w:val="21"/>
                      <w:lang w:val="en-US" w:eastAsia="zh-CN"/>
                    </w:rPr>
                    <w:t>它</w:t>
                  </w:r>
                  <w:r>
                    <w:rPr>
                      <w:rFonts w:hint="default" w:ascii="Times New Roman" w:hAnsi="Times New Roman" w:cs="Times New Roman" w:eastAsiaTheme="minorEastAsia"/>
                      <w:color w:val="auto"/>
                      <w:sz w:val="21"/>
                      <w:szCs w:val="21"/>
                    </w:rPr>
                    <w:t>生活污水一起进入化粪池</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经化粪池（</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）预处理后，</w:t>
                  </w:r>
                  <w:r>
                    <w:rPr>
                      <w:rFonts w:hint="eastAsia" w:cs="Times New Roman" w:eastAsiaTheme="minorEastAsia"/>
                      <w:color w:val="auto"/>
                      <w:sz w:val="21"/>
                      <w:szCs w:val="21"/>
                      <w:lang w:val="en-US" w:eastAsia="zh-CN"/>
                    </w:rPr>
                    <w:t>通过泵输送至项目新建的2m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/d的一体化污水处理设施，经处理达标后，晴天回用于厂区绿化或道路清扫，不外排，雨天暂存于中水池，待晴天后，回用于厂区绿化或道路清扫，不外排</w:t>
                  </w:r>
                </w:p>
              </w:tc>
              <w:tc>
                <w:tcPr>
                  <w:tcW w:w="534" w:type="pct"/>
                  <w:noWrap w:val="0"/>
                  <w:vAlign w:val="center"/>
                </w:tcPr>
                <w:p w14:paraId="609F59B0">
                  <w:pPr>
                    <w:pStyle w:val="103"/>
                    <w:keepNext w:val="0"/>
                    <w:keepLines w:val="0"/>
                    <w:pageBreakBefore w:val="0"/>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符合</w:t>
                  </w:r>
                </w:p>
              </w:tc>
            </w:tr>
          </w:tbl>
          <w:p w14:paraId="14DAC22C">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eastAsia="宋体" w:cs="Times New Roman"/>
                <w:color w:val="auto"/>
              </w:rPr>
            </w:pPr>
            <w:r>
              <w:rPr>
                <w:rFonts w:ascii="Times New Roman" w:hAnsi="Times New Roman" w:eastAsia="宋体" w:cs="Times New Roman"/>
                <w:color w:val="auto"/>
              </w:rPr>
              <w:t>综上，本项目总体上符合</w:t>
            </w:r>
            <w:r>
              <w:rPr>
                <w:rFonts w:hint="eastAsia" w:ascii="Times New Roman" w:hAnsi="Times New Roman" w:eastAsia="宋体" w:cs="Times New Roman"/>
                <w:color w:val="auto"/>
              </w:rPr>
              <w:t>《玉溪市</w:t>
            </w:r>
            <w:r>
              <w:rPr>
                <w:rFonts w:hint="eastAsia" w:cs="Times New Roman"/>
                <w:color w:val="auto"/>
                <w:lang w:eastAsia="zh-CN"/>
              </w:rPr>
              <w:t>“</w:t>
            </w:r>
            <w:r>
              <w:rPr>
                <w:rFonts w:hint="eastAsia" w:ascii="Times New Roman" w:hAnsi="Times New Roman" w:eastAsia="宋体" w:cs="Times New Roman"/>
                <w:color w:val="auto"/>
              </w:rPr>
              <w:t>三线一单</w:t>
            </w:r>
            <w:r>
              <w:rPr>
                <w:rFonts w:hint="eastAsia" w:cs="Times New Roman"/>
                <w:color w:val="auto"/>
                <w:lang w:eastAsia="zh-CN"/>
              </w:rPr>
              <w:t>”</w:t>
            </w:r>
            <w:r>
              <w:rPr>
                <w:rFonts w:hint="eastAsia" w:ascii="Times New Roman" w:hAnsi="Times New Roman" w:eastAsia="宋体" w:cs="Times New Roman"/>
                <w:color w:val="auto"/>
              </w:rPr>
              <w:t>生态环境分区管控实施意见》</w:t>
            </w:r>
            <w:r>
              <w:rPr>
                <w:rFonts w:ascii="Times New Roman" w:hAnsi="Times New Roman" w:eastAsia="宋体" w:cs="Times New Roman"/>
                <w:color w:val="auto"/>
              </w:rPr>
              <w:t>的环境管理要求。</w:t>
            </w:r>
          </w:p>
          <w:p w14:paraId="7FECB71E">
            <w:pP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2024年6月7日玉溪市生态环境局发布的《玉溪市生态环境局关于印发玉溪市生态环境分区管控动态更新调整方案</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2023年</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的通知》</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玉市环〔202</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〕40号</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6E1D3B6D">
            <w:pPr>
              <w:rPr>
                <w:rFonts w:hint="eastAsia" w:cs="Times New Roman"/>
                <w:color w:val="auto"/>
                <w:sz w:val="24"/>
                <w:szCs w:val="24"/>
                <w:lang w:val="en-US" w:eastAsia="zh-CN"/>
              </w:rPr>
            </w:pPr>
            <w:r>
              <w:rPr>
                <w:rFonts w:hint="eastAsia" w:cs="Times New Roman"/>
                <w:color w:val="auto"/>
                <w:sz w:val="24"/>
                <w:szCs w:val="24"/>
                <w:lang w:val="en-US" w:eastAsia="zh-CN"/>
              </w:rPr>
              <w:t>项目与《玉溪市生态环境局关于印发玉溪市生态环境分区管控动态更新调整方案（2023年）的通知》符合性分析详见下表。</w:t>
            </w:r>
          </w:p>
          <w:p w14:paraId="1C882E72">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shd w:val="clear" w:color="auto" w:fill="auto"/>
                <w:lang w:val="en-US" w:eastAsia="zh-CN"/>
              </w:rPr>
            </w:pPr>
            <w:r>
              <w:rPr>
                <w:rFonts w:hint="eastAsia" w:ascii="Times New Roman" w:hAnsi="Times New Roman" w:eastAsia="宋体" w:cs="Times New Roman"/>
                <w:b/>
                <w:bCs/>
                <w:color w:val="auto"/>
                <w:sz w:val="24"/>
                <w:szCs w:val="24"/>
                <w:highlight w:val="none"/>
                <w:shd w:val="clear" w:color="auto" w:fill="auto"/>
                <w:lang w:val="en-US" w:eastAsia="zh-CN"/>
              </w:rPr>
              <w:t>表</w:t>
            </w:r>
            <w:r>
              <w:rPr>
                <w:rFonts w:hint="eastAsia" w:cs="Times New Roman"/>
                <w:b/>
                <w:bCs/>
                <w:color w:val="auto"/>
                <w:sz w:val="24"/>
                <w:szCs w:val="24"/>
                <w:highlight w:val="none"/>
                <w:shd w:val="clear" w:color="auto" w:fill="auto"/>
                <w:lang w:val="en-US" w:eastAsia="zh-CN"/>
              </w:rPr>
              <w:t xml:space="preserve">6 </w:t>
            </w:r>
            <w:r>
              <w:rPr>
                <w:rFonts w:hint="eastAsia" w:ascii="Times New Roman" w:hAnsi="Times New Roman" w:eastAsia="宋体" w:cs="Times New Roman"/>
                <w:b/>
                <w:bCs/>
                <w:color w:val="auto"/>
                <w:sz w:val="24"/>
                <w:szCs w:val="24"/>
                <w:highlight w:val="none"/>
                <w:shd w:val="clear" w:color="auto" w:fill="auto"/>
                <w:lang w:val="en-US" w:eastAsia="zh-CN"/>
              </w:rPr>
              <w:t xml:space="preserve"> 项目与 《玉溪市生态环境局关于印发玉溪市生态环境分区管控动态更新调整方案（2023年）的通知》符合性分析</w:t>
            </w:r>
          </w:p>
          <w:tbl>
            <w:tblPr>
              <w:tblStyle w:val="33"/>
              <w:tblW w:w="68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064"/>
              <w:gridCol w:w="2475"/>
              <w:gridCol w:w="2100"/>
              <w:gridCol w:w="747"/>
            </w:tblGrid>
            <w:tr w14:paraId="6675A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430" w:type="dxa"/>
                  <w:vAlign w:val="center"/>
                </w:tcPr>
                <w:p w14:paraId="1F59F38A">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序号</w:t>
                  </w:r>
                </w:p>
              </w:tc>
              <w:tc>
                <w:tcPr>
                  <w:tcW w:w="1064" w:type="dxa"/>
                  <w:vAlign w:val="center"/>
                </w:tcPr>
                <w:p w14:paraId="15515C60">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管控单元名称</w:t>
                  </w:r>
                </w:p>
              </w:tc>
              <w:tc>
                <w:tcPr>
                  <w:tcW w:w="2475" w:type="dxa"/>
                  <w:vAlign w:val="center"/>
                </w:tcPr>
                <w:p w14:paraId="3997722A">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bCs w:val="0"/>
                      <w:color w:val="auto"/>
                      <w:sz w:val="21"/>
                      <w:szCs w:val="21"/>
                    </w:rPr>
                  </w:pPr>
                </w:p>
                <w:p w14:paraId="12322423">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准入要求</w:t>
                  </w:r>
                </w:p>
              </w:tc>
              <w:tc>
                <w:tcPr>
                  <w:tcW w:w="2100" w:type="dxa"/>
                  <w:vAlign w:val="center"/>
                </w:tcPr>
                <w:p w14:paraId="76D24F30">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项目情况</w:t>
                  </w:r>
                </w:p>
              </w:tc>
              <w:tc>
                <w:tcPr>
                  <w:tcW w:w="747" w:type="dxa"/>
                  <w:vAlign w:val="center"/>
                </w:tcPr>
                <w:p w14:paraId="20DBBE6E">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bCs w:val="0"/>
                      <w:color w:val="auto"/>
                      <w:sz w:val="21"/>
                      <w:szCs w:val="21"/>
                      <w:lang w:val="en-US" w:eastAsia="zh-CN"/>
                    </w:rPr>
                  </w:pPr>
                  <w:r>
                    <w:rPr>
                      <w:rFonts w:hint="default" w:ascii="Times New Roman" w:hAnsi="Times New Roman" w:cs="Times New Roman" w:eastAsiaTheme="minorEastAsia"/>
                      <w:b/>
                      <w:bCs w:val="0"/>
                      <w:color w:val="auto"/>
                      <w:sz w:val="21"/>
                      <w:szCs w:val="21"/>
                      <w:lang w:val="en-US" w:eastAsia="zh-CN"/>
                    </w:rPr>
                    <w:t>符合性</w:t>
                  </w:r>
                </w:p>
              </w:tc>
            </w:tr>
            <w:tr w14:paraId="1B9CC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430" w:type="dxa"/>
                  <w:vAlign w:val="center"/>
                </w:tcPr>
                <w:p w14:paraId="78AFD39D">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p w14:paraId="4969B842">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w:t>
                  </w:r>
                  <w:r>
                    <w:rPr>
                      <w:rFonts w:hint="default" w:ascii="Times New Roman" w:hAnsi="Times New Roman" w:cs="Times New Roman" w:eastAsiaTheme="minorEastAsia"/>
                      <w:bCs/>
                      <w:color w:val="auto"/>
                      <w:sz w:val="21"/>
                      <w:szCs w:val="21"/>
                    </w:rPr>
                    <w:br w:type="textWrapping"/>
                  </w:r>
                </w:p>
              </w:tc>
              <w:tc>
                <w:tcPr>
                  <w:tcW w:w="1064" w:type="dxa"/>
                  <w:vMerge w:val="restart"/>
                  <w:vAlign w:val="center"/>
                </w:tcPr>
                <w:p w14:paraId="63E78F61">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p w14:paraId="2A6FC98D">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p w14:paraId="78D14D51">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p w14:paraId="1F69F834">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color w:val="auto"/>
                      <w:sz w:val="21"/>
                      <w:szCs w:val="21"/>
                    </w:rPr>
                    <w:t>红塔区农业农村面源污染重点管控单元</w:t>
                  </w:r>
                  <w:r>
                    <w:rPr>
                      <w:rFonts w:hint="default" w:ascii="Times New Roman" w:hAnsi="Times New Roman" w:cs="Times New Roman" w:eastAsiaTheme="minorEastAsia"/>
                      <w:bCs/>
                      <w:color w:val="auto"/>
                      <w:sz w:val="21"/>
                      <w:szCs w:val="21"/>
                      <w:lang w:eastAsia="zh-CN"/>
                    </w:rPr>
                    <w:t>（</w:t>
                  </w:r>
                  <w:r>
                    <w:rPr>
                      <w:rFonts w:hint="default" w:ascii="Times New Roman" w:hAnsi="Times New Roman" w:cs="Times New Roman" w:eastAsiaTheme="minorEastAsia"/>
                      <w:bCs/>
                      <w:color w:val="auto"/>
                      <w:sz w:val="21"/>
                      <w:szCs w:val="21"/>
                    </w:rPr>
                    <w:t>管控单元编码</w:t>
                  </w:r>
                  <w:r>
                    <w:rPr>
                      <w:rFonts w:hint="default" w:ascii="Times New Roman" w:hAnsi="Times New Roman" w:cs="Times New Roman" w:eastAsiaTheme="minorEastAsia"/>
                      <w:bCs/>
                      <w:color w:val="auto"/>
                      <w:sz w:val="21"/>
                      <w:szCs w:val="21"/>
                      <w:lang w:eastAsia="zh-CN"/>
                    </w:rPr>
                    <w:t>：</w:t>
                  </w:r>
                  <w:r>
                    <w:rPr>
                      <w:rFonts w:hint="default" w:ascii="Times New Roman" w:hAnsi="Times New Roman" w:cs="Times New Roman" w:eastAsiaTheme="minorEastAsia"/>
                      <w:color w:val="auto"/>
                      <w:sz w:val="21"/>
                      <w:szCs w:val="21"/>
                    </w:rPr>
                    <w:t>ZH53040220003</w:t>
                  </w:r>
                  <w:r>
                    <w:rPr>
                      <w:rFonts w:hint="default" w:ascii="Times New Roman" w:hAnsi="Times New Roman" w:cs="Times New Roman" w:eastAsiaTheme="minorEastAsia"/>
                      <w:bCs/>
                      <w:color w:val="auto"/>
                      <w:sz w:val="21"/>
                      <w:szCs w:val="21"/>
                      <w:lang w:eastAsia="zh-CN"/>
                    </w:rPr>
                    <w:t>）</w:t>
                  </w:r>
                  <w:r>
                    <w:rPr>
                      <w:rFonts w:hint="default" w:ascii="Times New Roman" w:hAnsi="Times New Roman" w:cs="Times New Roman" w:eastAsiaTheme="minorEastAsia"/>
                      <w:bCs/>
                      <w:color w:val="auto"/>
                      <w:sz w:val="21"/>
                      <w:szCs w:val="21"/>
                    </w:rPr>
                    <w:br w:type="textWrapping"/>
                  </w:r>
                </w:p>
              </w:tc>
              <w:tc>
                <w:tcPr>
                  <w:tcW w:w="2475" w:type="dxa"/>
                  <w:vAlign w:val="center"/>
                </w:tcPr>
                <w:p w14:paraId="6B438D40">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p w14:paraId="7920B2E7">
                  <w:pPr>
                    <w:pStyle w:val="103"/>
                    <w:keepNext w:val="0"/>
                    <w:keepLines w:val="0"/>
                    <w:pageBreakBefore w:val="0"/>
                    <w:widowControl/>
                    <w:numPr>
                      <w:ilvl w:val="0"/>
                      <w:numId w:val="5"/>
                    </w:numPr>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空间布局约束</w:t>
                  </w:r>
                </w:p>
                <w:p w14:paraId="4FA20D19">
                  <w:pPr>
                    <w:pStyle w:val="103"/>
                    <w:keepNext w:val="0"/>
                    <w:keepLines w:val="0"/>
                    <w:pageBreakBefore w:val="0"/>
                    <w:widowControl/>
                    <w:numPr>
                      <w:ilvl w:val="0"/>
                      <w:numId w:val="0"/>
                    </w:numPr>
                    <w:kinsoku/>
                    <w:wordWrap/>
                    <w:overflowPunct/>
                    <w:topLinePunct w:val="0"/>
                    <w:autoSpaceDE/>
                    <w:autoSpaceDN/>
                    <w:bidi w:val="0"/>
                    <w:adjustRightInd w:val="0"/>
                    <w:snapToGrid w:val="0"/>
                    <w:spacing w:beforeLines="0" w:afterLines="0" w:line="240" w:lineRule="auto"/>
                    <w:jc w:val="both"/>
                    <w:textAlignment w:val="auto"/>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color w:val="auto"/>
                      <w:sz w:val="21"/>
                      <w:szCs w:val="21"/>
                    </w:rPr>
                    <w:t>1.玉溪大河两边500米范围内，白龙潭河、红旗河、张东河、新西河、老西河、前进沟、八里沟、密罗河、甸苴河两边200米范围内禁止种植小香葱、大蒜，禁止种植高耗水、耗肥、耗药农作物。</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2.严格执行禁养区制度，逐步引导坝区养殖向北城、大营街、研和、洛河等乡（街道）的山区、半山区转移。</w:t>
                  </w:r>
                </w:p>
              </w:tc>
              <w:tc>
                <w:tcPr>
                  <w:tcW w:w="2100" w:type="dxa"/>
                  <w:vAlign w:val="center"/>
                </w:tcPr>
                <w:p w14:paraId="1244885A">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bCs/>
                      <w:color w:val="auto"/>
                      <w:sz w:val="21"/>
                      <w:szCs w:val="21"/>
                      <w:lang w:val="en-US" w:eastAsia="zh-CN"/>
                    </w:rPr>
                    <w:t>1、本项目属于塑料颗粒生产加工项目，不涉及</w:t>
                  </w:r>
                  <w:r>
                    <w:rPr>
                      <w:rFonts w:hint="default" w:ascii="Times New Roman" w:hAnsi="Times New Roman" w:cs="Times New Roman" w:eastAsiaTheme="minorEastAsia"/>
                      <w:color w:val="auto"/>
                      <w:sz w:val="21"/>
                      <w:szCs w:val="21"/>
                    </w:rPr>
                    <w:t>种植小香葱、大蒜，禁止种植高耗水、耗肥、耗药农作物</w:t>
                  </w:r>
                  <w:r>
                    <w:rPr>
                      <w:rFonts w:hint="default" w:ascii="Times New Roman" w:hAnsi="Times New Roman" w:cs="Times New Roman" w:eastAsiaTheme="minorEastAsia"/>
                      <w:color w:val="auto"/>
                      <w:kern w:val="0"/>
                      <w:sz w:val="21"/>
                      <w:szCs w:val="21"/>
                      <w:lang w:val="en-US" w:eastAsia="zh-CN" w:bidi="ar-SA"/>
                    </w:rPr>
                    <w:t>。</w:t>
                  </w:r>
                </w:p>
                <w:p w14:paraId="7AFA384B">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2、本项目不涉及。</w:t>
                  </w:r>
                </w:p>
              </w:tc>
              <w:tc>
                <w:tcPr>
                  <w:tcW w:w="747" w:type="dxa"/>
                  <w:vAlign w:val="center"/>
                </w:tcPr>
                <w:p w14:paraId="218D0796">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符合</w:t>
                  </w:r>
                </w:p>
              </w:tc>
            </w:tr>
            <w:tr w14:paraId="7D8E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1" w:hRule="atLeast"/>
              </w:trPr>
              <w:tc>
                <w:tcPr>
                  <w:tcW w:w="430" w:type="dxa"/>
                  <w:vAlign w:val="center"/>
                </w:tcPr>
                <w:p w14:paraId="433DD73E">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2</w:t>
                  </w:r>
                </w:p>
              </w:tc>
              <w:tc>
                <w:tcPr>
                  <w:tcW w:w="1064" w:type="dxa"/>
                  <w:vMerge w:val="continue"/>
                  <w:vAlign w:val="center"/>
                </w:tcPr>
                <w:p w14:paraId="26004CCF">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tc>
              <w:tc>
                <w:tcPr>
                  <w:tcW w:w="2475" w:type="dxa"/>
                  <w:vAlign w:val="center"/>
                </w:tcPr>
                <w:p w14:paraId="1E148B43">
                  <w:pPr>
                    <w:pStyle w:val="103"/>
                    <w:keepNext w:val="0"/>
                    <w:keepLines w:val="0"/>
                    <w:pageBreakBefore w:val="0"/>
                    <w:widowControl/>
                    <w:numPr>
                      <w:ilvl w:val="0"/>
                      <w:numId w:val="0"/>
                    </w:numPr>
                    <w:kinsoku/>
                    <w:wordWrap/>
                    <w:overflowPunct/>
                    <w:topLinePunct w:val="0"/>
                    <w:autoSpaceDE/>
                    <w:autoSpaceDN/>
                    <w:bidi w:val="0"/>
                    <w:adjustRightInd w:val="0"/>
                    <w:snapToGrid w:val="0"/>
                    <w:spacing w:beforeLines="0" w:afterLines="0" w:line="240" w:lineRule="auto"/>
                    <w:jc w:val="both"/>
                    <w:textAlignment w:val="auto"/>
                    <w:outlineLvl w:val="9"/>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
                      <w:color w:val="auto"/>
                      <w:sz w:val="21"/>
                      <w:szCs w:val="21"/>
                    </w:rPr>
                    <w:t>（二）污染物排放管控</w:t>
                  </w:r>
                  <w:r>
                    <w:rPr>
                      <w:rFonts w:hint="default" w:ascii="Times New Roman" w:hAnsi="Times New Roman" w:cs="Times New Roman" w:eastAsiaTheme="minorEastAsia"/>
                      <w:b/>
                      <w:color w:val="auto"/>
                      <w:sz w:val="21"/>
                      <w:szCs w:val="21"/>
                    </w:rPr>
                    <w:br w:type="textWrapping"/>
                  </w:r>
                  <w:r>
                    <w:rPr>
                      <w:rFonts w:hint="default" w:ascii="Times New Roman" w:hAnsi="Times New Roman" w:cs="Times New Roman" w:eastAsiaTheme="minorEastAsia"/>
                      <w:color w:val="auto"/>
                      <w:sz w:val="21"/>
                      <w:szCs w:val="21"/>
                    </w:rPr>
                    <w:t>1.加强农村人居环境整治，垃圾及生活污水治理水平稳步提升，基本完成非正规垃圾堆放点整治。</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2.严禁未经处理或处理后未达标的养殖废水直接排入河道。</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3.加强玉溪大河等河道的综合整治，禁止垃圾沿河、沿路堆放，减少对河道水体的污染。</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4.减少化肥农药施用量，主要农作物化肥农药使用量实现负增长，确保化肥、农药利用率均达到40%以上。</w:t>
                  </w:r>
                </w:p>
              </w:tc>
              <w:tc>
                <w:tcPr>
                  <w:tcW w:w="2100" w:type="dxa"/>
                  <w:vAlign w:val="center"/>
                </w:tcPr>
                <w:p w14:paraId="51A713E4">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1.本项目生活垃圾统一袋装收集后，</w:t>
                  </w:r>
                  <w:r>
                    <w:rPr>
                      <w:rFonts w:hint="default" w:ascii="Times New Roman" w:hAnsi="Times New Roman" w:cs="Times New Roman" w:eastAsiaTheme="minorEastAsia"/>
                      <w:b w:val="0"/>
                      <w:bCs/>
                      <w:color w:val="auto"/>
                      <w:kern w:val="2"/>
                      <w:sz w:val="21"/>
                      <w:szCs w:val="21"/>
                      <w:lang w:val="en-US" w:eastAsia="zh-CN" w:bidi="ar-SA"/>
                    </w:rPr>
                    <w:t>送至附近的垃圾暂存点，委托当地环卫部门统一清运。</w:t>
                  </w:r>
                </w:p>
                <w:p w14:paraId="52F0F8E0">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2.本项目不涉及。</w:t>
                  </w:r>
                </w:p>
                <w:p w14:paraId="49C9CFC9">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3.</w:t>
                  </w:r>
                  <w:r>
                    <w:rPr>
                      <w:rFonts w:hint="default" w:ascii="Times New Roman" w:hAnsi="Times New Roman" w:cs="Times New Roman" w:eastAsiaTheme="minorEastAsia"/>
                      <w:color w:val="auto"/>
                      <w:sz w:val="21"/>
                      <w:szCs w:val="21"/>
                    </w:rPr>
                    <w:t>食堂废水经油水分离器隔油后与其</w:t>
                  </w:r>
                  <w:r>
                    <w:rPr>
                      <w:rFonts w:hint="default" w:ascii="Times New Roman" w:hAnsi="Times New Roman" w:cs="Times New Roman" w:eastAsiaTheme="minorEastAsia"/>
                      <w:color w:val="auto"/>
                      <w:sz w:val="21"/>
                      <w:szCs w:val="21"/>
                      <w:lang w:val="en-US" w:eastAsia="zh-CN"/>
                    </w:rPr>
                    <w:t>它</w:t>
                  </w:r>
                  <w:r>
                    <w:rPr>
                      <w:rFonts w:hint="default" w:ascii="Times New Roman" w:hAnsi="Times New Roman" w:cs="Times New Roman" w:eastAsiaTheme="minorEastAsia"/>
                      <w:color w:val="auto"/>
                      <w:sz w:val="21"/>
                      <w:szCs w:val="21"/>
                    </w:rPr>
                    <w:t>生活污水一起进入化粪池</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经化粪池（</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）预处理后，</w:t>
                  </w:r>
                  <w:r>
                    <w:rPr>
                      <w:rFonts w:hint="eastAsia" w:cs="Times New Roman" w:eastAsiaTheme="minorEastAsia"/>
                      <w:color w:val="auto"/>
                      <w:sz w:val="21"/>
                      <w:szCs w:val="21"/>
                      <w:lang w:val="en-US" w:eastAsia="zh-CN"/>
                    </w:rPr>
                    <w:t>通过泵输送至项目新建的2m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/d的一体化污水处理设施，经处理达标后，晴天回用于厂区绿化或道路清扫，不外排，雨天暂存于中水池，待晴天后，回用于厂区绿化或道路清扫，不外排</w:t>
                  </w:r>
                  <w:r>
                    <w:rPr>
                      <w:rFonts w:hint="default" w:ascii="Times New Roman" w:hAnsi="Times New Roman" w:cs="Times New Roman" w:eastAsiaTheme="minorEastAsia"/>
                      <w:b w:val="0"/>
                      <w:bCs/>
                      <w:color w:val="auto"/>
                      <w:kern w:val="2"/>
                      <w:sz w:val="21"/>
                      <w:szCs w:val="21"/>
                      <w:lang w:val="en-US" w:eastAsia="zh-CN" w:bidi="ar-SA"/>
                    </w:rPr>
                    <w:t>，项目产生的固废合理处置，不会对玉溪大河造成影响。</w:t>
                  </w:r>
                </w:p>
                <w:p w14:paraId="1CC2E90A">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4.本项目不涉及。</w:t>
                  </w:r>
                </w:p>
              </w:tc>
              <w:tc>
                <w:tcPr>
                  <w:tcW w:w="747" w:type="dxa"/>
                  <w:vAlign w:val="center"/>
                </w:tcPr>
                <w:p w14:paraId="59F75FC9">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tc>
            </w:tr>
            <w:tr w14:paraId="6762D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30" w:type="dxa"/>
                  <w:vAlign w:val="center"/>
                </w:tcPr>
                <w:p w14:paraId="0D7F9BF1">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3</w:t>
                  </w:r>
                </w:p>
              </w:tc>
              <w:tc>
                <w:tcPr>
                  <w:tcW w:w="1064" w:type="dxa"/>
                  <w:vMerge w:val="continue"/>
                  <w:vAlign w:val="center"/>
                </w:tcPr>
                <w:p w14:paraId="2058B0D2">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tc>
              <w:tc>
                <w:tcPr>
                  <w:tcW w:w="2475" w:type="dxa"/>
                  <w:shd w:val="clear" w:color="auto" w:fill="auto"/>
                  <w:vAlign w:val="center"/>
                </w:tcPr>
                <w:p w14:paraId="30664591">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lang w:val="en-US" w:eastAsia="zh-CN" w:bidi="ar-SA"/>
                    </w:rPr>
                  </w:pPr>
                  <w:r>
                    <w:rPr>
                      <w:rFonts w:hint="default" w:ascii="Times New Roman" w:hAnsi="Times New Roman" w:cs="Times New Roman" w:eastAsiaTheme="minorEastAsia"/>
                      <w:b/>
                      <w:color w:val="auto"/>
                      <w:sz w:val="21"/>
                      <w:szCs w:val="21"/>
                    </w:rPr>
                    <w:t>（</w:t>
                  </w:r>
                  <w:r>
                    <w:rPr>
                      <w:rFonts w:hint="eastAsia" w:cs="Times New Roman" w:eastAsiaTheme="minorEastAsia"/>
                      <w:b/>
                      <w:color w:val="auto"/>
                      <w:sz w:val="21"/>
                      <w:szCs w:val="21"/>
                      <w:lang w:val="en-US" w:eastAsia="zh-CN"/>
                    </w:rPr>
                    <w:t>三</w:t>
                  </w:r>
                  <w:r>
                    <w:rPr>
                      <w:rFonts w:hint="default" w:ascii="Times New Roman" w:hAnsi="Times New Roman" w:cs="Times New Roman" w:eastAsiaTheme="minorEastAsia"/>
                      <w:b/>
                      <w:color w:val="auto"/>
                      <w:sz w:val="21"/>
                      <w:szCs w:val="21"/>
                    </w:rPr>
                    <w:t>）资源开发效率要求</w:t>
                  </w:r>
                  <w:r>
                    <w:rPr>
                      <w:rFonts w:hint="default" w:ascii="Times New Roman" w:hAnsi="Times New Roman" w:cs="Times New Roman" w:eastAsiaTheme="minorEastAsia"/>
                      <w:b/>
                      <w:color w:val="auto"/>
                      <w:sz w:val="21"/>
                      <w:szCs w:val="21"/>
                    </w:rPr>
                    <w:br w:type="textWrapping"/>
                  </w:r>
                  <w:r>
                    <w:rPr>
                      <w:rFonts w:hint="default" w:ascii="Times New Roman" w:hAnsi="Times New Roman" w:cs="Times New Roman" w:eastAsiaTheme="minorEastAsia"/>
                      <w:color w:val="auto"/>
                      <w:sz w:val="21"/>
                      <w:szCs w:val="21"/>
                    </w:rPr>
                    <w:t>1.发展节水农业，加强节水灌溉工程建设和节水改造。</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2.畜禽粪污综合利用率达到90%以上，畜禽规模养殖场粪污处理设施装备配套率达到100%</w:t>
                  </w:r>
                  <w:r>
                    <w:rPr>
                      <w:rFonts w:hint="default" w:ascii="Times New Roman" w:hAnsi="Times New Roman" w:cs="Times New Roman" w:eastAsiaTheme="minorEastAsia"/>
                      <w:bCs/>
                      <w:color w:val="auto"/>
                      <w:sz w:val="21"/>
                      <w:szCs w:val="21"/>
                    </w:rPr>
                    <w:t>。</w:t>
                  </w:r>
                </w:p>
              </w:tc>
              <w:tc>
                <w:tcPr>
                  <w:tcW w:w="2100" w:type="dxa"/>
                  <w:shd w:val="clear" w:color="auto" w:fill="auto"/>
                  <w:vAlign w:val="center"/>
                </w:tcPr>
                <w:p w14:paraId="5B79AC38">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1.本项目不涉及</w:t>
                  </w:r>
                  <w:r>
                    <w:rPr>
                      <w:rFonts w:hint="default" w:ascii="Times New Roman" w:hAnsi="Times New Roman" w:cs="Times New Roman" w:eastAsiaTheme="minorEastAsia"/>
                      <w:color w:val="auto"/>
                      <w:kern w:val="0"/>
                      <w:sz w:val="21"/>
                      <w:szCs w:val="21"/>
                      <w:lang w:val="en-US" w:eastAsia="zh-CN" w:bidi="ar-SA"/>
                    </w:rPr>
                    <w:t>。</w:t>
                  </w:r>
                </w:p>
                <w:p w14:paraId="33F6826F">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2.本项目不涉及</w:t>
                  </w:r>
                </w:p>
              </w:tc>
              <w:tc>
                <w:tcPr>
                  <w:tcW w:w="747" w:type="dxa"/>
                  <w:vAlign w:val="center"/>
                </w:tcPr>
                <w:p w14:paraId="76698276">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tc>
            </w:tr>
            <w:tr w14:paraId="3524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trPr>
              <w:tc>
                <w:tcPr>
                  <w:tcW w:w="430" w:type="dxa"/>
                  <w:vAlign w:val="center"/>
                </w:tcPr>
                <w:p w14:paraId="64D322A1">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4</w:t>
                  </w:r>
                </w:p>
              </w:tc>
              <w:tc>
                <w:tcPr>
                  <w:tcW w:w="1064" w:type="dxa"/>
                  <w:vMerge w:val="continue"/>
                  <w:vAlign w:val="center"/>
                </w:tcPr>
                <w:p w14:paraId="65251DD4">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tc>
              <w:tc>
                <w:tcPr>
                  <w:tcW w:w="2475" w:type="dxa"/>
                  <w:shd w:val="clear" w:color="auto" w:fill="auto"/>
                  <w:vAlign w:val="center"/>
                </w:tcPr>
                <w:p w14:paraId="330DC284">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lang w:val="en-US" w:eastAsia="zh-CN" w:bidi="ar-SA"/>
                    </w:rPr>
                  </w:pPr>
                  <w:r>
                    <w:rPr>
                      <w:rFonts w:hint="default" w:ascii="Times New Roman" w:hAnsi="Times New Roman" w:cs="Times New Roman" w:eastAsiaTheme="minorEastAsia"/>
                      <w:b/>
                      <w:color w:val="auto"/>
                      <w:sz w:val="21"/>
                      <w:szCs w:val="21"/>
                    </w:rPr>
                    <w:t>（</w:t>
                  </w:r>
                  <w:r>
                    <w:rPr>
                      <w:rFonts w:hint="eastAsia" w:cs="Times New Roman" w:eastAsiaTheme="minorEastAsia"/>
                      <w:b/>
                      <w:color w:val="auto"/>
                      <w:sz w:val="21"/>
                      <w:szCs w:val="21"/>
                      <w:lang w:val="en-US" w:eastAsia="zh-CN"/>
                    </w:rPr>
                    <w:t>四</w:t>
                  </w:r>
                  <w:r>
                    <w:rPr>
                      <w:rFonts w:hint="default" w:ascii="Times New Roman" w:hAnsi="Times New Roman" w:cs="Times New Roman" w:eastAsiaTheme="minorEastAsia"/>
                      <w:b/>
                      <w:color w:val="auto"/>
                      <w:sz w:val="21"/>
                      <w:szCs w:val="21"/>
                    </w:rPr>
                    <w:t>）环境风险防控</w:t>
                  </w:r>
                  <w:r>
                    <w:rPr>
                      <w:rFonts w:hint="default" w:ascii="Times New Roman" w:hAnsi="Times New Roman" w:cs="Times New Roman" w:eastAsiaTheme="minorEastAsia"/>
                      <w:b/>
                      <w:color w:val="auto"/>
                      <w:sz w:val="21"/>
                      <w:szCs w:val="21"/>
                    </w:rPr>
                    <w:br w:type="textWrapping"/>
                  </w:r>
                  <w:r>
                    <w:rPr>
                      <w:rFonts w:hint="default" w:ascii="Times New Roman" w:hAnsi="Times New Roman" w:cs="Times New Roman" w:eastAsiaTheme="minorEastAsia"/>
                      <w:color w:val="auto"/>
                      <w:sz w:val="21"/>
                      <w:szCs w:val="21"/>
                    </w:rPr>
                    <w:t>1.禁止向农田灌溉渠道排放工业废水或者医疗污水。</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2.农田灌溉用水应当符合相应的水质标准，防止土壤、地下水和农产品污染。</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3.实施农作物秸秆资源化利用，严防因秸秆露天焚烧造成区域性重污染天气。</w:t>
                  </w:r>
                  <w:r>
                    <w:rPr>
                      <w:rFonts w:hint="default" w:ascii="Times New Roman" w:hAnsi="Times New Roman" w:cs="Times New Roman" w:eastAsiaTheme="minorEastAsia"/>
                      <w:color w:val="auto"/>
                      <w:sz w:val="21"/>
                      <w:szCs w:val="21"/>
                    </w:rPr>
                    <w:br w:type="textWrapping"/>
                  </w:r>
                  <w:r>
                    <w:rPr>
                      <w:rFonts w:hint="default" w:ascii="Times New Roman" w:hAnsi="Times New Roman" w:cs="Times New Roman" w:eastAsiaTheme="minorEastAsia"/>
                      <w:color w:val="auto"/>
                      <w:sz w:val="21"/>
                      <w:szCs w:val="21"/>
                    </w:rPr>
                    <w:t>4.禁止生产、销售、使用国家明令禁止的农业投入品，开展农用地土壤污染防治宣传和技术培训活动，扶持农业生产专业化服务，指导农业生产者合理使用农药、兽药、肥料、饲料、农用薄膜等农业投入品，控制农药、兽药、化肥等的使用量</w:t>
                  </w:r>
                  <w:r>
                    <w:rPr>
                      <w:rFonts w:hint="default" w:ascii="Times New Roman" w:hAnsi="Times New Roman" w:cs="Times New Roman" w:eastAsiaTheme="minorEastAsia"/>
                      <w:bCs/>
                      <w:color w:val="auto"/>
                      <w:sz w:val="21"/>
                      <w:szCs w:val="21"/>
                    </w:rPr>
                    <w:t>。</w:t>
                  </w:r>
                </w:p>
              </w:tc>
              <w:tc>
                <w:tcPr>
                  <w:tcW w:w="2100" w:type="dxa"/>
                  <w:shd w:val="clear" w:color="auto" w:fill="auto"/>
                  <w:vAlign w:val="center"/>
                </w:tcPr>
                <w:p w14:paraId="215E143E">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1.本项目不涉及。</w:t>
                  </w:r>
                </w:p>
                <w:p w14:paraId="12EF7908">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2.本项目不涉及。</w:t>
                  </w:r>
                </w:p>
                <w:p w14:paraId="482B1880">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3.本项目不涉及</w:t>
                  </w:r>
                  <w:r>
                    <w:rPr>
                      <w:rFonts w:hint="default" w:ascii="Times New Roman" w:hAnsi="Times New Roman" w:cs="Times New Roman" w:eastAsiaTheme="minorEastAsia"/>
                      <w:color w:val="auto"/>
                      <w:sz w:val="21"/>
                      <w:szCs w:val="21"/>
                      <w:lang w:val="en-US" w:eastAsia="zh-CN"/>
                    </w:rPr>
                    <w:t>。</w:t>
                  </w:r>
                </w:p>
                <w:p w14:paraId="4454FB41">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both"/>
                    <w:textAlignment w:val="auto"/>
                    <w:outlineLvl w:val="9"/>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4.本项目不涉及。</w:t>
                  </w:r>
                </w:p>
              </w:tc>
              <w:tc>
                <w:tcPr>
                  <w:tcW w:w="747" w:type="dxa"/>
                  <w:vAlign w:val="center"/>
                </w:tcPr>
                <w:p w14:paraId="720D5FAC">
                  <w:pPr>
                    <w:pStyle w:val="103"/>
                    <w:keepNext w:val="0"/>
                    <w:keepLines w:val="0"/>
                    <w:pageBreakBefore w:val="0"/>
                    <w:widowControl/>
                    <w:kinsoku/>
                    <w:wordWrap/>
                    <w:overflowPunct/>
                    <w:topLinePunct w:val="0"/>
                    <w:autoSpaceDE/>
                    <w:autoSpaceDN/>
                    <w:bidi w:val="0"/>
                    <w:adjustRightInd w:val="0"/>
                    <w:snapToGrid w:val="0"/>
                    <w:spacing w:beforeLines="0" w:afterLines="0" w:line="240" w:lineRule="auto"/>
                    <w:ind w:firstLine="0" w:firstLineChars="0"/>
                    <w:jc w:val="center"/>
                    <w:textAlignment w:val="auto"/>
                    <w:outlineLvl w:val="9"/>
                    <w:rPr>
                      <w:rFonts w:hint="default" w:ascii="Times New Roman" w:hAnsi="Times New Roman" w:cs="Times New Roman" w:eastAsiaTheme="minorEastAsia"/>
                      <w:bCs/>
                      <w:color w:val="auto"/>
                      <w:sz w:val="21"/>
                      <w:szCs w:val="21"/>
                    </w:rPr>
                  </w:pPr>
                </w:p>
              </w:tc>
            </w:tr>
          </w:tbl>
          <w:p w14:paraId="422EC9AD">
            <w:pPr>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480" w:firstLineChars="200"/>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kern w:val="2"/>
                <w:sz w:val="24"/>
                <w:szCs w:val="24"/>
                <w:lang w:val="en-US" w:eastAsia="zh-CN" w:bidi="ar-SA"/>
              </w:rPr>
              <w:t>综上所述，项目与</w:t>
            </w:r>
            <w:r>
              <w:rPr>
                <w:rFonts w:hint="default" w:ascii="Times New Roman" w:hAnsi="Times New Roman" w:cs="Times New Roman" w:eastAsiaTheme="minorEastAsia"/>
                <w:b w:val="0"/>
                <w:bCs w:val="0"/>
                <w:color w:val="auto"/>
                <w:sz w:val="24"/>
                <w:szCs w:val="24"/>
                <w:lang w:val="en-US" w:eastAsia="zh-CN"/>
              </w:rPr>
              <w:t>《玉溪市生态环境局关于印发玉溪市生态环境分区管控动态更新调整方案（2023年）的通知》相符。</w:t>
            </w:r>
          </w:p>
          <w:p w14:paraId="64243821">
            <w:pPr>
              <w:pStyle w:val="2"/>
              <w:jc w:val="both"/>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eastAsia="宋体" w:cs="Times New Roman"/>
                <w:color w:val="auto"/>
                <w:lang w:val="en-US" w:eastAsia="zh-CN"/>
              </w:rPr>
              <w:t>根据查询云南省生态环境分区管控公共服务查询平台，网址为“http://183.224.17.39:19272/sxydyn”</w:t>
            </w:r>
            <w:r>
              <w:rPr>
                <w:rFonts w:hint="default" w:ascii="Times New Roman" w:hAnsi="Times New Roman" w:eastAsia="宋体" w:cs="Times New Roman"/>
                <w:color w:val="auto"/>
                <w:lang w:val="en-US" w:eastAsia="zh-CN"/>
              </w:rPr>
              <w:t>，项目位于</w:t>
            </w:r>
            <w:r>
              <w:rPr>
                <w:rFonts w:hint="default" w:ascii="Times New Roman" w:hAnsi="Times New Roman" w:eastAsia="宋体" w:cs="Times New Roman"/>
                <w:color w:val="auto"/>
              </w:rPr>
              <w:t>红塔区农业农村面源污染重点管控单元</w:t>
            </w:r>
            <w:r>
              <w:rPr>
                <w:rFonts w:hint="default" w:ascii="Times New Roman" w:hAnsi="Times New Roman" w:eastAsia="宋体" w:cs="Times New Roman"/>
                <w:color w:val="auto"/>
                <w:lang w:val="en-US" w:eastAsia="zh-CN"/>
              </w:rPr>
              <w:t>，管控单元编码为</w:t>
            </w:r>
            <w:r>
              <w:rPr>
                <w:rFonts w:hint="default" w:ascii="Times New Roman" w:hAnsi="Times New Roman" w:eastAsia="宋体" w:cs="Times New Roman"/>
                <w:color w:val="auto"/>
              </w:rPr>
              <w:t>ZH53040220003</w:t>
            </w:r>
            <w:r>
              <w:rPr>
                <w:rFonts w:hint="eastAsia" w:ascii="Times New Roman" w:hAnsi="Times New Roman" w:eastAsia="宋体" w:cs="Times New Roman"/>
                <w:color w:val="auto"/>
                <w:lang w:val="en-US" w:eastAsia="zh-CN"/>
              </w:rPr>
              <w:t>，查询结果如下图。</w:t>
            </w:r>
          </w:p>
          <w:p w14:paraId="69B7F91B">
            <w:pPr>
              <w:pStyle w:val="117"/>
              <w:ind w:left="0" w:leftChars="0" w:firstLine="0" w:firstLineChars="0"/>
              <w:rPr>
                <w:rFonts w:hint="default"/>
                <w:color w:val="auto"/>
                <w:lang w:val="en-US" w:eastAsia="zh-CN"/>
              </w:rPr>
            </w:pPr>
            <w:r>
              <w:rPr>
                <w:color w:val="auto"/>
              </w:rPr>
              <w:drawing>
                <wp:inline distT="0" distB="0" distL="114300" distR="114300">
                  <wp:extent cx="4354195" cy="4667885"/>
                  <wp:effectExtent l="0" t="0" r="8255" b="18415"/>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pic:cNvPicPr>
                            <a:picLocks noChangeAspect="1"/>
                          </pic:cNvPicPr>
                        </pic:nvPicPr>
                        <pic:blipFill>
                          <a:blip r:embed="rId17"/>
                          <a:stretch>
                            <a:fillRect/>
                          </a:stretch>
                        </pic:blipFill>
                        <pic:spPr>
                          <a:xfrm>
                            <a:off x="0" y="0"/>
                            <a:ext cx="4354195" cy="4667885"/>
                          </a:xfrm>
                          <a:prstGeom prst="rect">
                            <a:avLst/>
                          </a:prstGeom>
                          <a:noFill/>
                          <a:ln>
                            <a:noFill/>
                          </a:ln>
                        </pic:spPr>
                      </pic:pic>
                    </a:graphicData>
                  </a:graphic>
                </wp:inline>
              </w:drawing>
            </w: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1485900</wp:posOffset>
                      </wp:positionH>
                      <wp:positionV relativeFrom="paragraph">
                        <wp:posOffset>1553845</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48D1F">
                                  <w:pPr>
                                    <w:rPr>
                                      <w:rFonts w:hint="default" w:eastAsia="宋体"/>
                                      <w:b/>
                                      <w:bCs/>
                                      <w:color w:val="0000FF"/>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0000FF"/>
                                      <w:sz w:val="24"/>
                                      <w:szCs w:val="24"/>
                                      <w:lang w:val="en-US" w:eastAsia="zh-CN"/>
                                      <w14:shadow w14:blurRad="38100" w14:dist="19050" w14:dir="2700000" w14:sx="100000" w14:sy="100000" w14:kx="0" w14:ky="0" w14:algn="tl">
                                        <w14:schemeClr w14:val="dk1">
                                          <w14:alpha w14:val="60000"/>
                                        </w14:schemeClr>
                                      </w14:shadow>
                                    </w:rPr>
                                    <w:t>项目所在地</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17pt;margin-top:122.35pt;height:144pt;width:144pt;mso-wrap-style:none;z-index:251661312;mso-width-relative:page;mso-height-relative:page;" filled="f" stroked="f" coordsize="21600,21600" o:gfxdata="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qPTSzZAAAACwEAAA8AAAAAAAAAAQAgAAAAIgAAAGRycy9kb3du&#10;cmV2LnhtbFBLAQIUABQAAAAIAIdO4kCWbio7NwIAAGcEAAAOAAAAAAAAAAEAIAAAACgBAABkcnMv&#10;ZTJvRG9jLnhtbFBLBQYAAAAABgAGAFkBAADRBQAAAAA=&#10;">
                      <v:fill on="f" focussize="0,0"/>
                      <v:stroke on="f" weight="0.5pt"/>
                      <v:imagedata o:title=""/>
                      <o:lock v:ext="edit" aspectratio="f"/>
                      <v:textbox style="mso-fit-shape-to-text:t;">
                        <w:txbxContent>
                          <w:p w14:paraId="63248D1F">
                            <w:pPr>
                              <w:rPr>
                                <w:rFonts w:hint="default" w:eastAsia="宋体"/>
                                <w:b/>
                                <w:bCs/>
                                <w:color w:val="0000FF"/>
                                <w:sz w:val="24"/>
                                <w:szCs w:val="24"/>
                                <w:lang w:val="en-US" w:eastAsia="zh-CN"/>
                                <w14:shadow w14:blurRad="38100" w14:dist="19050" w14:dir="2700000" w14:sx="100000" w14:sy="100000" w14:kx="0" w14:ky="0" w14:algn="tl">
                                  <w14:schemeClr w14:val="dk1">
                                    <w14:alpha w14:val="60000"/>
                                  </w14:schemeClr>
                                </w14:shadow>
                              </w:rPr>
                            </w:pPr>
                            <w:r>
                              <w:rPr>
                                <w:rFonts w:hint="eastAsia"/>
                                <w:b/>
                                <w:bCs/>
                                <w:color w:val="0000FF"/>
                                <w:sz w:val="24"/>
                                <w:szCs w:val="24"/>
                                <w:lang w:val="en-US" w:eastAsia="zh-CN"/>
                                <w14:shadow w14:blurRad="38100" w14:dist="19050" w14:dir="2700000" w14:sx="100000" w14:sy="100000" w14:kx="0" w14:ky="0" w14:algn="tl">
                                  <w14:schemeClr w14:val="dk1">
                                    <w14:alpha w14:val="60000"/>
                                  </w14:schemeClr>
                                </w14:shadow>
                              </w:rPr>
                              <w:t>项目所在地</w:t>
                            </w:r>
                          </w:p>
                        </w:txbxContent>
                      </v:textbox>
                    </v:shape>
                  </w:pict>
                </mc:Fallback>
              </mc:AlternateContent>
            </w:r>
          </w:p>
          <w:p w14:paraId="4E5D0C3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s="Times New Roman"/>
                <w:b/>
                <w:bCs/>
                <w:color w:val="auto"/>
                <w:lang w:val="en-US" w:eastAsia="zh-CN"/>
              </w:rPr>
            </w:pPr>
            <w:r>
              <w:rPr>
                <w:rFonts w:hint="eastAsia" w:cs="Times New Roman"/>
                <w:b/>
                <w:bCs/>
                <w:color w:val="auto"/>
                <w:sz w:val="24"/>
                <w:szCs w:val="24"/>
                <w:lang w:val="en-US" w:eastAsia="zh-CN"/>
              </w:rPr>
              <w:t>图2 项目所在地与分区管控图相对位置</w:t>
            </w:r>
          </w:p>
          <w:p w14:paraId="14F0449C">
            <w:pPr>
              <w:keepNext w:val="0"/>
              <w:keepLines/>
              <w:pageBreakBefore w:val="0"/>
              <w:widowControl w:val="0"/>
              <w:kinsoku/>
              <w:wordWrap w:val="0"/>
              <w:overflowPunct/>
              <w:topLinePunct/>
              <w:autoSpaceDE/>
              <w:autoSpaceDN/>
              <w:bidi w:val="0"/>
              <w:adjustRightInd/>
              <w:snapToGrid/>
              <w:ind w:firstLine="0" w:firstLineChars="0"/>
              <w:textAlignment w:val="auto"/>
              <w:rPr>
                <w:rFonts w:hint="default" w:ascii="Times New Roman" w:hAnsi="Times New Roman" w:cs="Times New Roman"/>
                <w:b/>
                <w:bCs/>
                <w:color w:val="auto"/>
                <w:lang w:val="en-US" w:eastAsia="zh-CN"/>
              </w:rPr>
            </w:pPr>
            <w:r>
              <w:rPr>
                <w:rFonts w:hint="eastAsia" w:cs="Times New Roman"/>
                <w:b/>
                <w:bCs/>
                <w:color w:val="auto"/>
                <w:lang w:val="en-US" w:eastAsia="zh-CN"/>
              </w:rPr>
              <w:t>10</w:t>
            </w:r>
            <w:r>
              <w:rPr>
                <w:rFonts w:hint="default" w:ascii="Times New Roman" w:hAnsi="Times New Roman" w:cs="Times New Roman"/>
                <w:b/>
                <w:bCs/>
                <w:color w:val="auto"/>
                <w:lang w:val="en-US" w:eastAsia="zh-CN"/>
              </w:rPr>
              <w:t>、</w:t>
            </w:r>
            <w:r>
              <w:rPr>
                <w:rFonts w:hint="eastAsia" w:cs="Times New Roman"/>
                <w:b/>
                <w:bCs/>
                <w:color w:val="auto"/>
                <w:lang w:val="en-US" w:eastAsia="zh-CN"/>
              </w:rPr>
              <w:t>项目</w:t>
            </w:r>
            <w:r>
              <w:rPr>
                <w:rFonts w:hint="default" w:ascii="Times New Roman" w:hAnsi="Times New Roman" w:cs="Times New Roman"/>
                <w:b/>
                <w:bCs/>
                <w:color w:val="auto"/>
                <w:lang w:val="en-US" w:eastAsia="zh-CN"/>
              </w:rPr>
              <w:t>与《云南省进一步加强塑料污染治理的实施方案》的符合性分析</w:t>
            </w:r>
          </w:p>
          <w:p w14:paraId="1D5BF0A1">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2020年</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8月26日，云南省发展和改革委员会、云南省生态环境厅关于印发《云南省进一步加强塑料污染治理的实施方案》通知（云发改资环〔2020〕863 号），本项目与该方案的符合性分析</w:t>
            </w:r>
            <w:r>
              <w:rPr>
                <w:rFonts w:hint="eastAsia" w:ascii="Times New Roman" w:hAnsi="Times New Roman" w:eastAsia="宋体" w:cs="Times New Roman"/>
                <w:color w:val="auto"/>
                <w:sz w:val="24"/>
                <w:szCs w:val="24"/>
                <w:lang w:val="en-US" w:eastAsia="zh-CN"/>
              </w:rPr>
              <w:t>详见下表。</w:t>
            </w:r>
          </w:p>
          <w:p w14:paraId="3427E741">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sz w:val="24"/>
                <w:szCs w:val="24"/>
                <w:lang w:val="en-US" w:eastAsia="zh-CN"/>
              </w:rPr>
              <w:t>表</w:t>
            </w: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项目与</w:t>
            </w:r>
            <w:r>
              <w:rPr>
                <w:rFonts w:hint="default" w:ascii="Times New Roman" w:hAnsi="Times New Roman" w:eastAsia="宋体" w:cs="Times New Roman"/>
                <w:b/>
                <w:bCs/>
                <w:color w:val="auto"/>
                <w:lang w:val="en-US" w:eastAsia="zh-CN"/>
              </w:rPr>
              <w:t>《云南省进一步加强塑料污染治理的实施方案》</w:t>
            </w:r>
          </w:p>
          <w:p w14:paraId="12B95E5E">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的符合性分析</w:t>
            </w:r>
          </w:p>
          <w:tbl>
            <w:tblPr>
              <w:tblStyle w:val="34"/>
              <w:tblW w:w="6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99"/>
              <w:gridCol w:w="2841"/>
              <w:gridCol w:w="858"/>
            </w:tblGrid>
            <w:tr w14:paraId="39852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3099" w:type="dxa"/>
                  <w:vAlign w:val="center"/>
                </w:tcPr>
                <w:p w14:paraId="67D86348">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方案要求</w:t>
                  </w:r>
                </w:p>
              </w:tc>
              <w:tc>
                <w:tcPr>
                  <w:tcW w:w="2841" w:type="dxa"/>
                  <w:vAlign w:val="center"/>
                </w:tcPr>
                <w:p w14:paraId="26F69E87">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本项目情况</w:t>
                  </w:r>
                </w:p>
              </w:tc>
              <w:tc>
                <w:tcPr>
                  <w:tcW w:w="858" w:type="dxa"/>
                  <w:vAlign w:val="center"/>
                </w:tcPr>
                <w:p w14:paraId="3802B803">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14:paraId="24FB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2" w:hRule="atLeast"/>
              </w:trPr>
              <w:tc>
                <w:tcPr>
                  <w:tcW w:w="3099" w:type="dxa"/>
                  <w:vAlign w:val="center"/>
                </w:tcPr>
                <w:p w14:paraId="19245AEA">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1"/>
                      <w:szCs w:val="21"/>
                      <w:lang w:eastAsia="zh-CN"/>
                    </w:rPr>
                    <w:t>禁止生产、销售的塑料制品。全省范围内禁止生产和销售厚度小于0.025毫米的超薄塑料购物袋、厚度小于0.01毫米的聚乙烯农用地膜。禁止以医疗废物为原料制造塑料制品。全面禁止废塑料进口。到2020年底，禁止生产和销售一次性发泡塑料餐具、一次性塑料棉签；禁止生产含塑料微珠的日化产品。到2022年底，禁止销售含塑料微珠的日化产品</w:t>
                  </w:r>
                </w:p>
              </w:tc>
              <w:tc>
                <w:tcPr>
                  <w:tcW w:w="2841" w:type="dxa"/>
                  <w:vAlign w:val="center"/>
                </w:tcPr>
                <w:p w14:paraId="3AE99C62">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color w:val="auto"/>
                      <w:sz w:val="21"/>
                      <w:szCs w:val="21"/>
                      <w:lang w:eastAsia="zh-CN"/>
                    </w:rPr>
                    <w:t>本项目生产的塑料</w:t>
                  </w:r>
                  <w:r>
                    <w:rPr>
                      <w:rFonts w:hint="eastAsia" w:cs="Times New Roman"/>
                      <w:color w:val="auto"/>
                      <w:sz w:val="21"/>
                      <w:szCs w:val="21"/>
                      <w:lang w:val="en-US" w:eastAsia="zh-CN"/>
                    </w:rPr>
                    <w:t>颗粒</w:t>
                  </w:r>
                  <w:r>
                    <w:rPr>
                      <w:rFonts w:hint="default" w:ascii="Times New Roman" w:hAnsi="Times New Roman" w:eastAsia="宋体" w:cs="Times New Roman"/>
                      <w:color w:val="auto"/>
                      <w:sz w:val="21"/>
                      <w:szCs w:val="21"/>
                      <w:lang w:val="en-US" w:eastAsia="zh-CN"/>
                    </w:rPr>
                    <w:t>不属于</w:t>
                  </w:r>
                  <w:r>
                    <w:rPr>
                      <w:rFonts w:hint="default" w:ascii="Times New Roman" w:hAnsi="Times New Roman" w:eastAsia="宋体" w:cs="Times New Roman"/>
                      <w:color w:val="auto"/>
                      <w:sz w:val="21"/>
                      <w:szCs w:val="21"/>
                      <w:lang w:eastAsia="zh-CN"/>
                    </w:rPr>
                    <w:t>超薄塑料购物袋</w:t>
                  </w:r>
                  <w:r>
                    <w:rPr>
                      <w:rFonts w:hint="default" w:ascii="Times New Roman" w:hAnsi="Times New Roman" w:eastAsia="宋体" w:cs="Times New Roman"/>
                      <w:color w:val="auto"/>
                      <w:sz w:val="21"/>
                      <w:szCs w:val="21"/>
                      <w:lang w:val="en-US" w:eastAsia="zh-CN"/>
                    </w:rPr>
                    <w:t>和</w:t>
                  </w:r>
                  <w:r>
                    <w:rPr>
                      <w:rFonts w:hint="default" w:ascii="Times New Roman" w:hAnsi="Times New Roman" w:eastAsia="宋体" w:cs="Times New Roman"/>
                      <w:color w:val="auto"/>
                      <w:sz w:val="21"/>
                      <w:szCs w:val="21"/>
                      <w:lang w:eastAsia="zh-CN"/>
                    </w:rPr>
                    <w:t>聚乙烯农用地膜；本项目使用的原料为新购聚</w:t>
                  </w:r>
                  <w:r>
                    <w:rPr>
                      <w:rFonts w:hint="eastAsia" w:cs="Times New Roman"/>
                      <w:color w:val="auto"/>
                      <w:sz w:val="21"/>
                      <w:szCs w:val="21"/>
                      <w:lang w:val="en-US" w:eastAsia="zh-CN"/>
                    </w:rPr>
                    <w:t>苯乙烯</w:t>
                  </w:r>
                  <w:r>
                    <w:rPr>
                      <w:rFonts w:hint="default" w:ascii="Times New Roman" w:hAnsi="Times New Roman" w:eastAsia="宋体" w:cs="Times New Roman"/>
                      <w:color w:val="auto"/>
                      <w:sz w:val="21"/>
                      <w:szCs w:val="21"/>
                      <w:lang w:eastAsia="zh-CN"/>
                    </w:rPr>
                    <w:t>，不属于医疗废物制造的塑料制品，</w:t>
                  </w: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lang w:eastAsia="zh-CN"/>
                    </w:rPr>
                    <w:t>不属于进口废塑料；项目不生产一次性发泡塑料餐具、一次性塑料棉签；项目不生产含塑料微珠的日化产品</w:t>
                  </w:r>
                </w:p>
              </w:tc>
              <w:tc>
                <w:tcPr>
                  <w:tcW w:w="858" w:type="dxa"/>
                  <w:vAlign w:val="center"/>
                </w:tcPr>
                <w:p w14:paraId="226C61B4">
                  <w:pPr>
                    <w:keepNext w:val="0"/>
                    <w:keepLines/>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w:t>
                  </w:r>
                </w:p>
              </w:tc>
            </w:tr>
          </w:tbl>
          <w:p w14:paraId="31919CB4">
            <w:pPr>
              <w:keepNext w:val="0"/>
              <w:keepLines w:val="0"/>
              <w:pageBreakBefore w:val="0"/>
              <w:widowControl w:val="0"/>
              <w:kinsoku/>
              <w:wordWrap/>
              <w:overflowPunct/>
              <w:topLinePunct w:val="0"/>
              <w:autoSpaceDE/>
              <w:autoSpaceDN/>
              <w:bidi w:val="0"/>
              <w:adjustRightInd/>
              <w:snapToGrid/>
              <w:spacing w:before="0" w:beforeLines="0" w:after="0" w:line="360" w:lineRule="auto"/>
              <w:ind w:left="0" w:leftChars="0" w:right="0" w:rightChars="0" w:firstLine="480" w:firstLineChars="200"/>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cs="Times New Roman" w:eastAsiaTheme="minorEastAsia"/>
                <w:b w:val="0"/>
                <w:bCs w:val="0"/>
                <w:color w:val="auto"/>
                <w:kern w:val="2"/>
                <w:sz w:val="24"/>
                <w:szCs w:val="24"/>
                <w:lang w:val="en-US" w:eastAsia="zh-CN" w:bidi="ar-SA"/>
              </w:rPr>
              <w:t>综上所述，项目与</w:t>
            </w:r>
            <w:r>
              <w:rPr>
                <w:rFonts w:hint="default" w:ascii="Times New Roman" w:hAnsi="Times New Roman" w:cs="Times New Roman" w:eastAsiaTheme="minorEastAsia"/>
                <w:b w:val="0"/>
                <w:bCs w:val="0"/>
                <w:color w:val="auto"/>
                <w:sz w:val="24"/>
                <w:szCs w:val="24"/>
                <w:lang w:val="en-US" w:eastAsia="zh-CN"/>
              </w:rPr>
              <w:t>《</w:t>
            </w:r>
            <w:r>
              <w:rPr>
                <w:rFonts w:hint="default" w:ascii="Times New Roman" w:hAnsi="Times New Roman" w:eastAsia="宋体" w:cs="Times New Roman"/>
                <w:color w:val="auto"/>
                <w:sz w:val="24"/>
                <w:szCs w:val="24"/>
                <w:lang w:eastAsia="zh-CN"/>
              </w:rPr>
              <w:t>云南省进一步加强塑料污染治理的实施方案</w:t>
            </w:r>
            <w:r>
              <w:rPr>
                <w:rFonts w:hint="default" w:ascii="Times New Roman" w:hAnsi="Times New Roman" w:cs="Times New Roman" w:eastAsiaTheme="minorEastAsia"/>
                <w:b w:val="0"/>
                <w:bCs w:val="0"/>
                <w:color w:val="auto"/>
                <w:sz w:val="24"/>
                <w:szCs w:val="24"/>
                <w:lang w:val="en-US" w:eastAsia="zh-CN"/>
              </w:rPr>
              <w:t>》相符。</w:t>
            </w:r>
          </w:p>
          <w:p w14:paraId="3EE6B113">
            <w:pPr>
              <w:keepNext w:val="0"/>
              <w:keepLines w:val="0"/>
              <w:pageBreakBefore w:val="0"/>
              <w:widowControl w:val="0"/>
              <w:tabs>
                <w:tab w:val="left" w:pos="4830"/>
              </w:tabs>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b/>
                <w:bCs/>
                <w:color w:val="auto"/>
                <w:kern w:val="0"/>
                <w:sz w:val="24"/>
              </w:rPr>
            </w:pPr>
            <w:r>
              <w:rPr>
                <w:rFonts w:hint="eastAsia" w:cs="Times New Roman"/>
                <w:b/>
                <w:bCs/>
                <w:color w:val="auto"/>
                <w:kern w:val="0"/>
                <w:sz w:val="24"/>
                <w:lang w:val="en-US" w:eastAsia="zh-CN"/>
              </w:rPr>
              <w:t>11</w:t>
            </w:r>
            <w:r>
              <w:rPr>
                <w:rFonts w:hint="default" w:ascii="Times New Roman" w:hAnsi="Times New Roman" w:cs="Times New Roman"/>
                <w:b/>
                <w:bCs/>
                <w:color w:val="auto"/>
                <w:kern w:val="0"/>
                <w:sz w:val="24"/>
              </w:rPr>
              <w:t>、与《挥发性有机物无组织排放控制标准》（GB37822-2019）相符性分析</w:t>
            </w:r>
          </w:p>
          <w:p w14:paraId="6E66AFED">
            <w:pPr>
              <w:keepNext w:val="0"/>
              <w:pageBreakBefore w:val="0"/>
              <w:tabs>
                <w:tab w:val="left" w:pos="4830"/>
              </w:tabs>
              <w:kinsoku/>
              <w:overflowPunct/>
              <w:bidi w:val="0"/>
              <w:spacing w:line="360" w:lineRule="auto"/>
              <w:ind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 w:val="24"/>
              </w:rPr>
              <w:t>本项目与《挥发性有机物无组织排放控制标准》相符性分析详见下表：</w:t>
            </w:r>
          </w:p>
          <w:p w14:paraId="6E443A3C">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表</w:t>
            </w:r>
            <w:r>
              <w:rPr>
                <w:rFonts w:hint="eastAsia" w:cs="Times New Roman"/>
                <w:b/>
                <w:bCs/>
                <w:color w:val="auto"/>
                <w:kern w:val="0"/>
                <w:sz w:val="24"/>
                <w:szCs w:val="24"/>
                <w:lang w:val="en-US" w:eastAsia="zh-CN"/>
              </w:rPr>
              <w:t>8</w:t>
            </w:r>
            <w:r>
              <w:rPr>
                <w:rFonts w:hint="default" w:ascii="Times New Roman" w:hAnsi="Times New Roman" w:cs="Times New Roman"/>
                <w:b/>
                <w:bCs/>
                <w:color w:val="auto"/>
                <w:kern w:val="0"/>
                <w:sz w:val="24"/>
                <w:szCs w:val="24"/>
                <w:lang w:val="en-US" w:eastAsia="zh-CN"/>
              </w:rPr>
              <w:t xml:space="preserve"> </w:t>
            </w:r>
            <w:r>
              <w:rPr>
                <w:rFonts w:hint="default" w:ascii="Times New Roman" w:hAnsi="Times New Roman" w:cs="Times New Roman"/>
                <w:b/>
                <w:bCs/>
                <w:color w:val="auto"/>
                <w:kern w:val="0"/>
                <w:sz w:val="24"/>
                <w:szCs w:val="24"/>
              </w:rPr>
              <w:t>《挥发性有机物无组织排放控制标准》相符性对照表</w:t>
            </w:r>
          </w:p>
          <w:tbl>
            <w:tblPr>
              <w:tblStyle w:val="3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9"/>
              <w:gridCol w:w="2659"/>
              <w:gridCol w:w="677"/>
            </w:tblGrid>
            <w:tr w14:paraId="2D72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2" w:hRule="atLeast"/>
              </w:trPr>
              <w:tc>
                <w:tcPr>
                  <w:tcW w:w="2531" w:type="pct"/>
                  <w:vAlign w:val="center"/>
                </w:tcPr>
                <w:p w14:paraId="1DD0A755">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b/>
                      <w:bCs/>
                      <w:color w:val="auto"/>
                      <w:sz w:val="21"/>
                      <w:szCs w:val="21"/>
                    </w:rPr>
                    <w:t>《挥发性有机物无组织排放控制标准》</w:t>
                  </w:r>
                </w:p>
              </w:tc>
              <w:tc>
                <w:tcPr>
                  <w:tcW w:w="1968" w:type="pct"/>
                  <w:vAlign w:val="center"/>
                </w:tcPr>
                <w:p w14:paraId="641587FC">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b/>
                      <w:bCs/>
                      <w:color w:val="auto"/>
                      <w:sz w:val="21"/>
                      <w:szCs w:val="21"/>
                    </w:rPr>
                    <w:t>本项目实施后的情况</w:t>
                  </w:r>
                </w:p>
              </w:tc>
              <w:tc>
                <w:tcPr>
                  <w:tcW w:w="499" w:type="pct"/>
                  <w:vAlign w:val="center"/>
                </w:tcPr>
                <w:p w14:paraId="0832D758">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b/>
                      <w:bCs/>
                      <w:color w:val="auto"/>
                      <w:sz w:val="21"/>
                      <w:szCs w:val="21"/>
                    </w:rPr>
                    <w:t>符合情况</w:t>
                  </w:r>
                </w:p>
              </w:tc>
            </w:tr>
            <w:tr w14:paraId="063CE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0" w:type="pct"/>
                  <w:gridSpan w:val="3"/>
                  <w:vAlign w:val="center"/>
                </w:tcPr>
                <w:p w14:paraId="613B773E">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b/>
                      <w:bCs/>
                      <w:color w:val="auto"/>
                      <w:kern w:val="0"/>
                      <w:sz w:val="21"/>
                      <w:szCs w:val="21"/>
                    </w:rPr>
                    <w:t>VOCs物料储存无组织排放控制要求</w:t>
                  </w:r>
                </w:p>
              </w:tc>
            </w:tr>
            <w:tr w14:paraId="0599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518CC692">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VOCs物料应储存于密闭的容器、包装袋、储罐、储库、料仓中。</w:t>
                  </w:r>
                </w:p>
              </w:tc>
              <w:tc>
                <w:tcPr>
                  <w:tcW w:w="1968" w:type="pct"/>
                  <w:vAlign w:val="center"/>
                </w:tcPr>
                <w:p w14:paraId="0E881256">
                  <w:pPr>
                    <w:keepNext w:val="0"/>
                    <w:keepLines w:val="0"/>
                    <w:pageBreakBefore w:val="0"/>
                    <w:widowControl/>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生产原料聚苯乙烯</w:t>
                  </w:r>
                  <w:r>
                    <w:rPr>
                      <w:rFonts w:hint="default" w:ascii="Times New Roman" w:hAnsi="Times New Roman" w:cs="Times New Roman" w:eastAsiaTheme="minorEastAsia"/>
                      <w:color w:val="auto"/>
                      <w:sz w:val="21"/>
                      <w:szCs w:val="21"/>
                    </w:rPr>
                    <w:t>颗粒</w:t>
                  </w:r>
                  <w:r>
                    <w:rPr>
                      <w:rFonts w:hint="default" w:ascii="Times New Roman" w:hAnsi="Times New Roman" w:cs="Times New Roman" w:eastAsiaTheme="minorEastAsia"/>
                      <w:color w:val="auto"/>
                      <w:sz w:val="21"/>
                      <w:szCs w:val="21"/>
                      <w:lang w:val="en-US" w:eastAsia="zh-CN"/>
                    </w:rPr>
                    <w:t>使用密闭的</w:t>
                  </w:r>
                  <w:r>
                    <w:rPr>
                      <w:rFonts w:hint="default" w:ascii="Times New Roman" w:hAnsi="Times New Roman" w:cs="Times New Roman" w:eastAsiaTheme="minorEastAsia"/>
                      <w:color w:val="auto"/>
                      <w:sz w:val="21"/>
                      <w:szCs w:val="21"/>
                    </w:rPr>
                    <w:t>包装袋</w:t>
                  </w:r>
                  <w:r>
                    <w:rPr>
                      <w:rFonts w:hint="default" w:ascii="Times New Roman" w:hAnsi="Times New Roman" w:cs="Times New Roman" w:eastAsiaTheme="minorEastAsia"/>
                      <w:color w:val="auto"/>
                      <w:sz w:val="21"/>
                      <w:szCs w:val="21"/>
                      <w:lang w:val="en-US" w:eastAsia="zh-CN"/>
                    </w:rPr>
                    <w:t>进行储存，外购后暂存于原料堆存区</w:t>
                  </w:r>
                </w:p>
              </w:tc>
              <w:tc>
                <w:tcPr>
                  <w:tcW w:w="499" w:type="pct"/>
                  <w:vAlign w:val="center"/>
                </w:tcPr>
                <w:p w14:paraId="22C13F76">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5BBB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7602E5AF">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盛装VOCs物料的容器或包装袋应存放于室内，或存于设置有雨棚、遮阳和防渗设施的专用场地。盛装VOCs物料的容器或包装袋在非取用状态时应加盖、封口，保持密闭。</w:t>
                  </w:r>
                </w:p>
              </w:tc>
              <w:tc>
                <w:tcPr>
                  <w:tcW w:w="1968" w:type="pct"/>
                  <w:vAlign w:val="center"/>
                </w:tcPr>
                <w:p w14:paraId="2F61D0BA">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rPr>
                  </w:pPr>
                  <w:r>
                    <w:rPr>
                      <w:rFonts w:hint="default" w:ascii="Times New Roman" w:hAnsi="Times New Roman" w:cs="Times New Roman" w:eastAsiaTheme="minorEastAsia"/>
                      <w:color w:val="auto"/>
                      <w:sz w:val="21"/>
                      <w:szCs w:val="21"/>
                      <w:lang w:val="en-US" w:eastAsia="zh-CN"/>
                    </w:rPr>
                    <w:t>本项目整个生产工序布设于封闭的生产车间内，原料堆存区布设于生产车间内，同时，生产原料聚苯乙烯</w:t>
                  </w:r>
                  <w:r>
                    <w:rPr>
                      <w:rFonts w:hint="default" w:ascii="Times New Roman" w:hAnsi="Times New Roman" w:cs="Times New Roman" w:eastAsiaTheme="minorEastAsia"/>
                      <w:color w:val="auto"/>
                      <w:sz w:val="21"/>
                      <w:szCs w:val="21"/>
                    </w:rPr>
                    <w:t>颗粒</w:t>
                  </w:r>
                  <w:r>
                    <w:rPr>
                      <w:rFonts w:hint="default" w:ascii="Times New Roman" w:hAnsi="Times New Roman" w:cs="Times New Roman" w:eastAsiaTheme="minorEastAsia"/>
                      <w:color w:val="auto"/>
                      <w:sz w:val="21"/>
                      <w:szCs w:val="21"/>
                      <w:lang w:val="en-US" w:eastAsia="zh-CN"/>
                    </w:rPr>
                    <w:t>使用密闭的</w:t>
                  </w:r>
                  <w:r>
                    <w:rPr>
                      <w:rFonts w:hint="default" w:ascii="Times New Roman" w:hAnsi="Times New Roman" w:cs="Times New Roman" w:eastAsiaTheme="minorEastAsia"/>
                      <w:color w:val="auto"/>
                      <w:sz w:val="21"/>
                      <w:szCs w:val="21"/>
                    </w:rPr>
                    <w:t>包装袋</w:t>
                  </w:r>
                  <w:r>
                    <w:rPr>
                      <w:rFonts w:hint="default" w:ascii="Times New Roman" w:hAnsi="Times New Roman" w:cs="Times New Roman" w:eastAsiaTheme="minorEastAsia"/>
                      <w:color w:val="auto"/>
                      <w:sz w:val="21"/>
                      <w:szCs w:val="21"/>
                      <w:lang w:val="en-US" w:eastAsia="zh-CN"/>
                    </w:rPr>
                    <w:t>进行储存</w:t>
                  </w:r>
                </w:p>
              </w:tc>
              <w:tc>
                <w:tcPr>
                  <w:tcW w:w="499" w:type="pct"/>
                  <w:vAlign w:val="center"/>
                </w:tcPr>
                <w:p w14:paraId="5F88CED3">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49BA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000" w:type="pct"/>
                  <w:gridSpan w:val="3"/>
                  <w:vAlign w:val="center"/>
                </w:tcPr>
                <w:p w14:paraId="2FA5C2F2">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b/>
                      <w:bCs/>
                      <w:color w:val="auto"/>
                      <w:kern w:val="0"/>
                      <w:sz w:val="21"/>
                      <w:szCs w:val="21"/>
                    </w:rPr>
                    <w:t>VOCs物料转移和输送无组织排放控制要求</w:t>
                  </w:r>
                </w:p>
              </w:tc>
            </w:tr>
            <w:tr w14:paraId="1C7D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05159D1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液态VOCs物料应采用密闭管道输送。采用非管道输送方式转移液态VOCs 物料时，应采用密闭容器、罐车。</w:t>
                  </w:r>
                </w:p>
              </w:tc>
              <w:tc>
                <w:tcPr>
                  <w:tcW w:w="1968" w:type="pct"/>
                  <w:vAlign w:val="center"/>
                </w:tcPr>
                <w:p w14:paraId="7C83EEE3">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本项目不涉及载有气态、液态VOCs物料的设备与管线组件</w:t>
                  </w:r>
                </w:p>
              </w:tc>
              <w:tc>
                <w:tcPr>
                  <w:tcW w:w="499" w:type="pct"/>
                  <w:vAlign w:val="center"/>
                </w:tcPr>
                <w:p w14:paraId="0B9BC845">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61C9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000" w:type="pct"/>
                  <w:gridSpan w:val="3"/>
                  <w:vAlign w:val="center"/>
                </w:tcPr>
                <w:p w14:paraId="44F9B951">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b/>
                      <w:bCs/>
                      <w:color w:val="auto"/>
                      <w:kern w:val="0"/>
                      <w:sz w:val="21"/>
                      <w:szCs w:val="21"/>
                    </w:rPr>
                    <w:t>工艺过程 VOCs 无组织排放控制要求</w:t>
                  </w:r>
                </w:p>
              </w:tc>
            </w:tr>
            <w:tr w14:paraId="29C20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5CC2E2AC">
                  <w:pPr>
                    <w:keepNext w:val="0"/>
                    <w:keepLines w:val="0"/>
                    <w:pageBreakBefore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VOCs 质量占比大于等于 10%的含VOCs 产品，其使用过程应采用密闭设备或在密闭空间内操作，废气应排至 VOCs 废气收集处理系统；无法密闭的，应采取局部气体收集措施，废气应排至 VOCs废气收集处理系统。含 VOCs 产品的使用过程包括但不限于以下作业：a）调配（混合、搅拌等）；b）涂装（喷涂、浸涂、淋涂、辊涂、刷涂、涂布等）；c）印刷（平版、凸版、凹版、孔版等）；d）粘结（涂胶、热压、复合、贴合等）；e）印染（染色、印花、定型等）；f）干燥（烘干、风干、晾干等）；g）清洗（浸洗、喷洗、淋洗、冲洗、擦洗等）。</w:t>
                  </w:r>
                </w:p>
              </w:tc>
              <w:tc>
                <w:tcPr>
                  <w:tcW w:w="1968" w:type="pct"/>
                  <w:vAlign w:val="center"/>
                </w:tcPr>
                <w:p w14:paraId="1E6265AB">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rPr>
                  </w:pPr>
                  <w:r>
                    <w:rPr>
                      <w:rFonts w:hint="default" w:ascii="Times New Roman" w:hAnsi="Times New Roman" w:cs="Times New Roman" w:eastAsiaTheme="minorEastAsia"/>
                      <w:color w:val="auto"/>
                      <w:sz w:val="21"/>
                      <w:szCs w:val="21"/>
                      <w:lang w:val="en-US" w:eastAsia="zh-CN"/>
                    </w:rPr>
                    <w:t>项目使用原料主要为聚苯乙烯，根据其化学品安全技术说明书，该原料为白色固体珠粒，挥发性不强，</w:t>
                  </w:r>
                  <w:r>
                    <w:rPr>
                      <w:rFonts w:hint="default" w:ascii="Times New Roman" w:hAnsi="Times New Roman" w:cs="Times New Roman" w:eastAsiaTheme="minorEastAsia"/>
                      <w:color w:val="auto"/>
                      <w:sz w:val="21"/>
                      <w:szCs w:val="21"/>
                    </w:rPr>
                    <w:t>本项目有机废气</w:t>
                  </w:r>
                  <w:r>
                    <w:rPr>
                      <w:rFonts w:hint="default" w:ascii="Times New Roman" w:hAnsi="Times New Roman" w:cs="Times New Roman" w:eastAsiaTheme="minorEastAsia"/>
                      <w:color w:val="auto"/>
                      <w:sz w:val="21"/>
                      <w:szCs w:val="21"/>
                      <w:lang w:eastAsia="zh-CN"/>
                    </w:rPr>
                    <w:t>经</w:t>
                  </w:r>
                  <w:r>
                    <w:rPr>
                      <w:rFonts w:hint="default" w:ascii="Times New Roman" w:hAnsi="Times New Roman" w:cs="Times New Roman" w:eastAsiaTheme="minorEastAsia"/>
                      <w:color w:val="auto"/>
                      <w:sz w:val="21"/>
                      <w:szCs w:val="21"/>
                    </w:rPr>
                    <w:t>集气罩收集后，通过</w:t>
                  </w:r>
                  <w:r>
                    <w:rPr>
                      <w:rFonts w:hint="default" w:ascii="Times New Roman" w:hAnsi="Times New Roman" w:cs="Times New Roman" w:eastAsiaTheme="minorEastAsia"/>
                      <w:color w:val="auto"/>
                      <w:sz w:val="21"/>
                      <w:szCs w:val="21"/>
                      <w:lang w:eastAsia="zh-CN"/>
                    </w:rPr>
                    <w:t>两级活性炭吸附装置</w:t>
                  </w:r>
                  <w:r>
                    <w:rPr>
                      <w:rFonts w:hint="default" w:ascii="Times New Roman" w:hAnsi="Times New Roman" w:cs="Times New Roman" w:eastAsiaTheme="minorEastAsia"/>
                      <w:color w:val="auto"/>
                      <w:sz w:val="21"/>
                      <w:szCs w:val="21"/>
                    </w:rPr>
                    <w:t>吸附处理后</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通过1根</w:t>
                  </w:r>
                  <w:r>
                    <w:rPr>
                      <w:rFonts w:hint="default" w:ascii="Times New Roman" w:hAnsi="Times New Roman" w:cs="Times New Roman" w:eastAsiaTheme="minorEastAsia"/>
                      <w:color w:val="auto"/>
                      <w:sz w:val="21"/>
                      <w:szCs w:val="21"/>
                    </w:rPr>
                    <w:t>15m排气筒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DA001</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外排</w:t>
                  </w:r>
                </w:p>
              </w:tc>
              <w:tc>
                <w:tcPr>
                  <w:tcW w:w="499" w:type="pct"/>
                  <w:vAlign w:val="center"/>
                </w:tcPr>
                <w:p w14:paraId="164A4CDF">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4A64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539CAD23">
                  <w:pPr>
                    <w:keepNext w:val="0"/>
                    <w:keepLines w:val="0"/>
                    <w:pageBreakBefore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有机聚合物产品用于制品生产的过程，在混合/混炼、塑炼/塑化/熔化、加工成型（挤出、注射、压制、压延、发泡、纺丝等）等作业中应采用密闭设备或在密闭空间内操作，废气应排至 VOCs 废气收集处理系统；无法密闭的，应采取局部气体收集措施，废气应排至 VOCs 废气收集处理系统。</w:t>
                  </w:r>
                </w:p>
              </w:tc>
              <w:tc>
                <w:tcPr>
                  <w:tcW w:w="1968" w:type="pct"/>
                  <w:vAlign w:val="center"/>
                </w:tcPr>
                <w:p w14:paraId="469DB7D4">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sz w:val="21"/>
                      <w:szCs w:val="21"/>
                    </w:rPr>
                    <w:t>本项目有机废气</w:t>
                  </w:r>
                  <w:r>
                    <w:rPr>
                      <w:rFonts w:hint="default" w:ascii="Times New Roman" w:hAnsi="Times New Roman" w:cs="Times New Roman" w:eastAsiaTheme="minorEastAsia"/>
                      <w:color w:val="auto"/>
                      <w:sz w:val="21"/>
                      <w:szCs w:val="21"/>
                      <w:lang w:val="en-US" w:eastAsia="zh-CN"/>
                    </w:rPr>
                    <w:t>主要产生于发泡工段，项目通过在发泡机上方布设集气罩收集发泡废气，收集的废气</w:t>
                  </w:r>
                  <w:r>
                    <w:rPr>
                      <w:rFonts w:hint="default" w:ascii="Times New Roman" w:hAnsi="Times New Roman" w:cs="Times New Roman" w:eastAsiaTheme="minorEastAsia"/>
                      <w:color w:val="auto"/>
                      <w:sz w:val="21"/>
                      <w:szCs w:val="21"/>
                    </w:rPr>
                    <w:t>通过</w:t>
                  </w:r>
                  <w:r>
                    <w:rPr>
                      <w:rFonts w:hint="default" w:ascii="Times New Roman" w:hAnsi="Times New Roman" w:cs="Times New Roman" w:eastAsiaTheme="minorEastAsia"/>
                      <w:color w:val="auto"/>
                      <w:sz w:val="21"/>
                      <w:szCs w:val="21"/>
                      <w:lang w:eastAsia="zh-CN"/>
                    </w:rPr>
                    <w:t>两级活性炭吸附装置</w:t>
                  </w:r>
                  <w:r>
                    <w:rPr>
                      <w:rFonts w:hint="default" w:ascii="Times New Roman" w:hAnsi="Times New Roman" w:cs="Times New Roman" w:eastAsiaTheme="minorEastAsia"/>
                      <w:color w:val="auto"/>
                      <w:sz w:val="21"/>
                      <w:szCs w:val="21"/>
                    </w:rPr>
                    <w:t>吸附处理后</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通过1根</w:t>
                  </w:r>
                  <w:r>
                    <w:rPr>
                      <w:rFonts w:hint="default" w:ascii="Times New Roman" w:hAnsi="Times New Roman" w:cs="Times New Roman" w:eastAsiaTheme="minorEastAsia"/>
                      <w:color w:val="auto"/>
                      <w:sz w:val="21"/>
                      <w:szCs w:val="21"/>
                    </w:rPr>
                    <w:t>15m排气筒</w:t>
                  </w:r>
                  <w:r>
                    <w:rPr>
                      <w:rFonts w:hint="default" w:ascii="Times New Roman" w:hAnsi="Times New Roman" w:cs="Times New Roman" w:eastAsiaTheme="minorEastAsia"/>
                      <w:color w:val="auto"/>
                      <w:sz w:val="21"/>
                      <w:szCs w:val="21"/>
                      <w:lang w:val="en-US" w:eastAsia="zh-CN"/>
                    </w:rPr>
                    <w:t>DA001外排</w:t>
                  </w:r>
                </w:p>
              </w:tc>
              <w:tc>
                <w:tcPr>
                  <w:tcW w:w="499" w:type="pct"/>
                  <w:vAlign w:val="center"/>
                </w:tcPr>
                <w:p w14:paraId="64B44408">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7E448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69128461">
                  <w:pPr>
                    <w:keepNext w:val="0"/>
                    <w:keepLines w:val="0"/>
                    <w:pageBreakBefore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企业应建立台账，记录含 VOCs 原辅材料和含VOCs产品的名称、使用量、回收量、废弃量、去向以及VOCs 含量等信息。台账保存期限不少于</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年。</w:t>
                  </w:r>
                </w:p>
              </w:tc>
              <w:tc>
                <w:tcPr>
                  <w:tcW w:w="1968" w:type="pct"/>
                  <w:vAlign w:val="center"/>
                </w:tcPr>
                <w:p w14:paraId="45A91844">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企业将建立台账</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val="en-US" w:eastAsia="zh-CN"/>
                    </w:rPr>
                    <w:t>记录内容包括</w:t>
                  </w:r>
                  <w:r>
                    <w:rPr>
                      <w:rFonts w:hint="default" w:ascii="Times New Roman" w:hAnsi="Times New Roman" w:cs="Times New Roman" w:eastAsiaTheme="minorEastAsia"/>
                      <w:color w:val="auto"/>
                      <w:sz w:val="21"/>
                      <w:szCs w:val="21"/>
                    </w:rPr>
                    <w:t>VOCs原辅材料和含 VOCs产品的名称、使用量、回收量、废弃量、去向以及 VOCs 含量等信息</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sz w:val="21"/>
                      <w:szCs w:val="21"/>
                    </w:rPr>
                    <w:t>台账保存期限不少于</w:t>
                  </w: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年。</w:t>
                  </w:r>
                </w:p>
              </w:tc>
              <w:tc>
                <w:tcPr>
                  <w:tcW w:w="499" w:type="pct"/>
                  <w:vAlign w:val="center"/>
                </w:tcPr>
                <w:p w14:paraId="1B345534">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0CECD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5000" w:type="pct"/>
                  <w:gridSpan w:val="3"/>
                  <w:vAlign w:val="center"/>
                </w:tcPr>
                <w:p w14:paraId="479DC120">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b/>
                      <w:bCs/>
                      <w:color w:val="auto"/>
                      <w:kern w:val="0"/>
                      <w:sz w:val="21"/>
                      <w:szCs w:val="21"/>
                    </w:rPr>
                    <w:t>VOCs 无组织排放废气收集处理系统要求</w:t>
                  </w:r>
                </w:p>
              </w:tc>
            </w:tr>
            <w:tr w14:paraId="4064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1D0E28E3">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VOCs 废气收集处理系统应与生产工艺设备同步运行。</w:t>
                  </w:r>
                </w:p>
              </w:tc>
              <w:tc>
                <w:tcPr>
                  <w:tcW w:w="1968" w:type="pct"/>
                  <w:vAlign w:val="center"/>
                </w:tcPr>
                <w:p w14:paraId="12A3874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highlight w:val="none"/>
                      <w:lang w:val="en-US" w:eastAsia="zh-CN"/>
                    </w:rPr>
                    <w:t>根据</w:t>
                  </w:r>
                  <w:r>
                    <w:rPr>
                      <w:rFonts w:hint="eastAsia" w:cs="Times New Roman" w:eastAsiaTheme="minorEastAsia"/>
                      <w:color w:val="auto"/>
                      <w:kern w:val="0"/>
                      <w:sz w:val="21"/>
                      <w:szCs w:val="21"/>
                      <w:highlight w:val="none"/>
                      <w:lang w:val="en-US" w:eastAsia="zh-CN"/>
                    </w:rPr>
                    <w:t>“</w:t>
                  </w:r>
                  <w:r>
                    <w:rPr>
                      <w:rFonts w:hint="default" w:ascii="Times New Roman" w:hAnsi="Times New Roman" w:cs="Times New Roman" w:eastAsiaTheme="minorEastAsia"/>
                      <w:color w:val="auto"/>
                      <w:kern w:val="0"/>
                      <w:sz w:val="21"/>
                      <w:szCs w:val="21"/>
                      <w:highlight w:val="none"/>
                      <w:lang w:val="en-US" w:eastAsia="zh-CN"/>
                    </w:rPr>
                    <w:t>三同时</w:t>
                  </w:r>
                  <w:r>
                    <w:rPr>
                      <w:rFonts w:hint="eastAsia" w:cs="Times New Roman" w:eastAsiaTheme="minorEastAsia"/>
                      <w:color w:val="auto"/>
                      <w:kern w:val="0"/>
                      <w:sz w:val="21"/>
                      <w:szCs w:val="21"/>
                      <w:highlight w:val="none"/>
                      <w:lang w:val="en-US" w:eastAsia="zh-CN"/>
                    </w:rPr>
                    <w:t>”</w:t>
                  </w:r>
                  <w:r>
                    <w:rPr>
                      <w:rFonts w:hint="default" w:ascii="Times New Roman" w:hAnsi="Times New Roman" w:cs="Times New Roman" w:eastAsiaTheme="minorEastAsia"/>
                      <w:color w:val="auto"/>
                      <w:kern w:val="0"/>
                      <w:sz w:val="21"/>
                      <w:szCs w:val="21"/>
                      <w:highlight w:val="none"/>
                      <w:lang w:val="en-US" w:eastAsia="zh-CN"/>
                    </w:rPr>
                    <w:t>，本项目</w:t>
                  </w:r>
                  <w:r>
                    <w:rPr>
                      <w:rFonts w:hint="default" w:ascii="Times New Roman" w:hAnsi="Times New Roman" w:cs="Times New Roman" w:eastAsiaTheme="minorEastAsia"/>
                      <w:color w:val="auto"/>
                      <w:kern w:val="0"/>
                      <w:sz w:val="21"/>
                      <w:szCs w:val="21"/>
                      <w:highlight w:val="none"/>
                    </w:rPr>
                    <w:t>环保设施与</w:t>
                  </w:r>
                  <w:r>
                    <w:rPr>
                      <w:rFonts w:hint="default" w:ascii="Times New Roman" w:hAnsi="Times New Roman" w:cs="Times New Roman" w:eastAsiaTheme="minorEastAsia"/>
                      <w:color w:val="auto"/>
                      <w:kern w:val="0"/>
                      <w:sz w:val="21"/>
                      <w:szCs w:val="21"/>
                      <w:highlight w:val="none"/>
                      <w:lang w:eastAsia="zh-CN"/>
                    </w:rPr>
                    <w:t>建设</w:t>
                  </w:r>
                  <w:r>
                    <w:rPr>
                      <w:rFonts w:hint="default" w:ascii="Times New Roman" w:hAnsi="Times New Roman" w:cs="Times New Roman" w:eastAsiaTheme="minorEastAsia"/>
                      <w:color w:val="auto"/>
                      <w:kern w:val="0"/>
                      <w:sz w:val="21"/>
                      <w:szCs w:val="21"/>
                      <w:highlight w:val="none"/>
                    </w:rPr>
                    <w:t>内容同时设计、同时建设、同时投入运营；项目生产运行时废气治理设施需建设完成并正常运行</w:t>
                  </w:r>
                  <w:r>
                    <w:rPr>
                      <w:rFonts w:hint="default" w:ascii="Times New Roman" w:hAnsi="Times New Roman" w:cs="Times New Roman" w:eastAsiaTheme="minorEastAsia"/>
                      <w:color w:val="auto"/>
                      <w:kern w:val="0"/>
                      <w:sz w:val="21"/>
                      <w:szCs w:val="21"/>
                      <w:highlight w:val="none"/>
                      <w:lang w:eastAsia="zh-CN"/>
                    </w:rPr>
                    <w:t>。</w:t>
                  </w:r>
                </w:p>
              </w:tc>
              <w:tc>
                <w:tcPr>
                  <w:tcW w:w="499" w:type="pct"/>
                  <w:vAlign w:val="center"/>
                </w:tcPr>
                <w:p w14:paraId="140A9F60">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59304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0FD969B3">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VOCs 废气收集处理系统发生故障或检修时，对应的生产工艺设备应停止运行，待检修完毕后同步投入使用；生产工艺设备不能停止运行或不能及时停止运行的，应设置废气应急处理设施或采取其他替代措施。</w:t>
                  </w:r>
                </w:p>
              </w:tc>
              <w:tc>
                <w:tcPr>
                  <w:tcW w:w="1968" w:type="pct"/>
                  <w:vAlign w:val="center"/>
                </w:tcPr>
                <w:p w14:paraId="6BA255E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项目建成并投入运营后，公司建立和完善的相关检维修制度，针对 VOCs 废气收集处理系统发生故障或检修时，明确对应的生产工艺设备应停止运行，待检修完毕后同步投入使用；生产工艺设备不能停止运行或不能及时停止运行的，应设置废气应急处理设施或采取其他替代措施。</w:t>
                  </w:r>
                </w:p>
              </w:tc>
              <w:tc>
                <w:tcPr>
                  <w:tcW w:w="499" w:type="pct"/>
                  <w:vAlign w:val="center"/>
                </w:tcPr>
                <w:p w14:paraId="3D4DDFF9">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46A3A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3D088BF5">
                  <w:pPr>
                    <w:keepNext w:val="0"/>
                    <w:keepLines w:val="0"/>
                    <w:pageBreakBefore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企业应考虑生产工艺、操作方式、废气性质、处理方法等因素，对VOCs废气进行分类收集。</w:t>
                  </w:r>
                </w:p>
              </w:tc>
              <w:tc>
                <w:tcPr>
                  <w:tcW w:w="1968" w:type="pct"/>
                  <w:vAlign w:val="center"/>
                </w:tcPr>
                <w:p w14:paraId="4BA51CEA">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color w:val="auto"/>
                      <w:kern w:val="0"/>
                      <w:sz w:val="21"/>
                      <w:szCs w:val="21"/>
                      <w:lang w:eastAsia="zh-CN"/>
                    </w:rPr>
                  </w:pPr>
                  <w:r>
                    <w:rPr>
                      <w:rFonts w:hint="default" w:ascii="Times New Roman" w:hAnsi="Times New Roman" w:cs="Times New Roman" w:eastAsiaTheme="minorEastAsia"/>
                      <w:color w:val="auto"/>
                      <w:kern w:val="0"/>
                      <w:sz w:val="21"/>
                      <w:szCs w:val="21"/>
                    </w:rPr>
                    <w:t>本项目有机废气均为</w:t>
                  </w:r>
                  <w:r>
                    <w:rPr>
                      <w:rFonts w:hint="default" w:ascii="Times New Roman" w:hAnsi="Times New Roman" w:cs="Times New Roman" w:eastAsiaTheme="minorEastAsia"/>
                      <w:color w:val="auto"/>
                      <w:kern w:val="0"/>
                      <w:sz w:val="21"/>
                      <w:szCs w:val="21"/>
                      <w:lang w:eastAsia="zh-CN"/>
                    </w:rPr>
                    <w:t>发泡</w:t>
                  </w:r>
                  <w:r>
                    <w:rPr>
                      <w:rFonts w:hint="default" w:ascii="Times New Roman" w:hAnsi="Times New Roman" w:cs="Times New Roman" w:eastAsiaTheme="minorEastAsia"/>
                      <w:color w:val="auto"/>
                      <w:kern w:val="0"/>
                      <w:sz w:val="21"/>
                      <w:szCs w:val="21"/>
                    </w:rPr>
                    <w:t>过程中产生，</w:t>
                  </w:r>
                  <w:r>
                    <w:rPr>
                      <w:rFonts w:hint="default" w:ascii="Times New Roman" w:hAnsi="Times New Roman" w:cs="Times New Roman" w:eastAsiaTheme="minorEastAsia"/>
                      <w:color w:val="auto"/>
                      <w:kern w:val="0"/>
                      <w:sz w:val="21"/>
                      <w:szCs w:val="21"/>
                      <w:highlight w:val="none"/>
                    </w:rPr>
                    <w:t>本次将在</w:t>
                  </w:r>
                  <w:r>
                    <w:rPr>
                      <w:rFonts w:hint="default" w:ascii="Times New Roman" w:hAnsi="Times New Roman" w:cs="Times New Roman" w:eastAsiaTheme="minorEastAsia"/>
                      <w:color w:val="auto"/>
                      <w:kern w:val="0"/>
                      <w:sz w:val="21"/>
                      <w:szCs w:val="21"/>
                      <w:highlight w:val="none"/>
                      <w:lang w:eastAsia="zh-CN"/>
                    </w:rPr>
                    <w:t>发泡机</w:t>
                  </w:r>
                  <w:r>
                    <w:rPr>
                      <w:rFonts w:hint="default" w:ascii="Times New Roman" w:hAnsi="Times New Roman" w:cs="Times New Roman" w:eastAsiaTheme="minorEastAsia"/>
                      <w:color w:val="auto"/>
                      <w:kern w:val="0"/>
                      <w:sz w:val="21"/>
                      <w:szCs w:val="21"/>
                      <w:highlight w:val="none"/>
                    </w:rPr>
                    <w:t>上方设置集气罩，有机废气经集气罩收集后</w:t>
                  </w:r>
                  <w:r>
                    <w:rPr>
                      <w:rFonts w:hint="default" w:ascii="Times New Roman" w:hAnsi="Times New Roman" w:cs="Times New Roman" w:eastAsiaTheme="minorEastAsia"/>
                      <w:color w:val="auto"/>
                      <w:sz w:val="21"/>
                      <w:szCs w:val="21"/>
                      <w:highlight w:val="none"/>
                    </w:rPr>
                    <w:t>通过</w:t>
                  </w:r>
                  <w:r>
                    <w:rPr>
                      <w:rFonts w:hint="default" w:ascii="Times New Roman" w:hAnsi="Times New Roman" w:cs="Times New Roman" w:eastAsiaTheme="minorEastAsia"/>
                      <w:color w:val="auto"/>
                      <w:sz w:val="21"/>
                      <w:szCs w:val="21"/>
                      <w:highlight w:val="none"/>
                      <w:lang w:eastAsia="zh-CN"/>
                    </w:rPr>
                    <w:t>两级活性炭吸附装置</w:t>
                  </w:r>
                  <w:r>
                    <w:rPr>
                      <w:rFonts w:hint="default" w:ascii="Times New Roman" w:hAnsi="Times New Roman" w:cs="Times New Roman" w:eastAsiaTheme="minorEastAsia"/>
                      <w:color w:val="auto"/>
                      <w:sz w:val="21"/>
                      <w:szCs w:val="21"/>
                      <w:highlight w:val="none"/>
                    </w:rPr>
                    <w:t>吸附处理后由</w:t>
                  </w:r>
                  <w:r>
                    <w:rPr>
                      <w:rFonts w:hint="default" w:ascii="Times New Roman" w:hAnsi="Times New Roman" w:cs="Times New Roman" w:eastAsiaTheme="minorEastAsia"/>
                      <w:color w:val="auto"/>
                      <w:sz w:val="21"/>
                      <w:szCs w:val="21"/>
                      <w:highlight w:val="none"/>
                      <w:lang w:eastAsia="zh-CN"/>
                    </w:rPr>
                    <w:t>15m高排气筒DA001排放</w:t>
                  </w:r>
                </w:p>
              </w:tc>
              <w:tc>
                <w:tcPr>
                  <w:tcW w:w="499" w:type="pct"/>
                  <w:vAlign w:val="center"/>
                </w:tcPr>
                <w:p w14:paraId="242C49B5">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5945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3D0241DD">
                  <w:pPr>
                    <w:keepNext w:val="0"/>
                    <w:keepLines w:val="0"/>
                    <w:pageBreakBefore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VOCs废气收集处理系统污染物排放应符合GB16297或相关行业排放标准的规定。</w:t>
                  </w:r>
                </w:p>
              </w:tc>
              <w:tc>
                <w:tcPr>
                  <w:tcW w:w="1968" w:type="pct"/>
                  <w:vAlign w:val="center"/>
                </w:tcPr>
                <w:p w14:paraId="6A14EE3A">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本项目有机废气</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lang w:val="en-US" w:eastAsia="zh-CN"/>
                    </w:rPr>
                    <w:t>非甲烷总烃、苯乙烯、甲苯、乙苯</w:t>
                  </w:r>
                  <w:r>
                    <w:rPr>
                      <w:rFonts w:hint="default" w:ascii="Times New Roman" w:hAnsi="Times New Roman" w:cs="Times New Roman" w:eastAsiaTheme="minorEastAsia"/>
                      <w:color w:val="auto"/>
                      <w:kern w:val="0"/>
                      <w:sz w:val="21"/>
                      <w:szCs w:val="21"/>
                      <w:lang w:eastAsia="zh-CN"/>
                    </w:rPr>
                    <w:t>）</w:t>
                  </w:r>
                  <w:r>
                    <w:rPr>
                      <w:rFonts w:hint="default" w:ascii="Times New Roman" w:hAnsi="Times New Roman" w:cs="Times New Roman" w:eastAsiaTheme="minorEastAsia"/>
                      <w:color w:val="auto"/>
                      <w:kern w:val="0"/>
                      <w:sz w:val="21"/>
                      <w:szCs w:val="21"/>
                    </w:rPr>
                    <w:t>排放满足</w:t>
                  </w:r>
                  <w:r>
                    <w:rPr>
                      <w:rFonts w:hint="default" w:ascii="Times New Roman" w:hAnsi="Times New Roman" w:cs="Times New Roman" w:eastAsiaTheme="minorEastAsia"/>
                      <w:color w:val="auto"/>
                      <w:sz w:val="21"/>
                      <w:szCs w:val="21"/>
                      <w:highlight w:val="none"/>
                      <w:lang w:eastAsia="zh-CN"/>
                    </w:rPr>
                    <w:t>GB31572-2015《合成树脂工业污染物排放标准》（含2024年修改单）</w:t>
                  </w:r>
                  <w:r>
                    <w:rPr>
                      <w:rFonts w:hint="default" w:ascii="Times New Roman" w:hAnsi="Times New Roman" w:cs="Times New Roman" w:eastAsiaTheme="minorEastAsia"/>
                      <w:color w:val="auto"/>
                      <w:kern w:val="0"/>
                      <w:sz w:val="21"/>
                      <w:szCs w:val="21"/>
                      <w:lang w:val="en-US" w:eastAsia="zh-CN"/>
                    </w:rPr>
                    <w:t>的</w:t>
                  </w:r>
                  <w:r>
                    <w:rPr>
                      <w:rFonts w:hint="default" w:ascii="Times New Roman" w:hAnsi="Times New Roman" w:cs="Times New Roman" w:eastAsiaTheme="minorEastAsia"/>
                      <w:color w:val="auto"/>
                      <w:kern w:val="0"/>
                      <w:sz w:val="21"/>
                      <w:szCs w:val="21"/>
                    </w:rPr>
                    <w:t>标准要求</w:t>
                  </w:r>
                </w:p>
              </w:tc>
              <w:tc>
                <w:tcPr>
                  <w:tcW w:w="499" w:type="pct"/>
                  <w:vAlign w:val="center"/>
                </w:tcPr>
                <w:p w14:paraId="566550D9">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符合</w:t>
                  </w:r>
                </w:p>
              </w:tc>
            </w:tr>
            <w:tr w14:paraId="015D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31" w:type="pct"/>
                  <w:vAlign w:val="center"/>
                </w:tcPr>
                <w:p w14:paraId="78E256DE">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排气筒高度不低于15m（因安全考虑或有特殊工艺要求的除外），具体高度以及与周围建筑物的相对高度关系应根据环境影响评价文件确定。</w:t>
                  </w:r>
                </w:p>
              </w:tc>
              <w:tc>
                <w:tcPr>
                  <w:tcW w:w="1968" w:type="pct"/>
                  <w:vAlign w:val="center"/>
                </w:tcPr>
                <w:p w14:paraId="59A02AD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kern w:val="0"/>
                      <w:sz w:val="21"/>
                      <w:szCs w:val="21"/>
                    </w:rPr>
                    <w:t>本次将在</w:t>
                  </w:r>
                  <w:r>
                    <w:rPr>
                      <w:rFonts w:hint="default" w:ascii="Times New Roman" w:hAnsi="Times New Roman" w:cs="Times New Roman" w:eastAsiaTheme="minorEastAsia"/>
                      <w:color w:val="auto"/>
                      <w:kern w:val="0"/>
                      <w:sz w:val="21"/>
                      <w:szCs w:val="21"/>
                      <w:lang w:eastAsia="zh-CN"/>
                    </w:rPr>
                    <w:t>发泡</w:t>
                  </w:r>
                  <w:r>
                    <w:rPr>
                      <w:rFonts w:hint="default" w:ascii="Times New Roman" w:hAnsi="Times New Roman" w:cs="Times New Roman" w:eastAsiaTheme="minorEastAsia"/>
                      <w:color w:val="auto"/>
                      <w:kern w:val="0"/>
                      <w:sz w:val="21"/>
                      <w:szCs w:val="21"/>
                    </w:rPr>
                    <w:t>机上方设置集气罩，</w:t>
                  </w:r>
                  <w:r>
                    <w:rPr>
                      <w:rFonts w:hint="default" w:ascii="Times New Roman" w:hAnsi="Times New Roman" w:cs="Times New Roman" w:eastAsiaTheme="minorEastAsia"/>
                      <w:color w:val="auto"/>
                      <w:sz w:val="21"/>
                      <w:szCs w:val="21"/>
                    </w:rPr>
                    <w:t>有机废气经集气罩收集后通过</w:t>
                  </w:r>
                  <w:r>
                    <w:rPr>
                      <w:rFonts w:hint="default" w:ascii="Times New Roman" w:hAnsi="Times New Roman" w:cs="Times New Roman" w:eastAsiaTheme="minorEastAsia"/>
                      <w:color w:val="auto"/>
                      <w:sz w:val="21"/>
                      <w:szCs w:val="21"/>
                      <w:lang w:eastAsia="zh-CN"/>
                    </w:rPr>
                    <w:t>两级活性炭吸附装置</w:t>
                  </w:r>
                  <w:r>
                    <w:rPr>
                      <w:rFonts w:hint="default" w:ascii="Times New Roman" w:hAnsi="Times New Roman" w:cs="Times New Roman" w:eastAsiaTheme="minorEastAsia"/>
                      <w:color w:val="auto"/>
                      <w:sz w:val="21"/>
                      <w:szCs w:val="21"/>
                    </w:rPr>
                    <w:t>吸附处理后由</w:t>
                  </w:r>
                  <w:r>
                    <w:rPr>
                      <w:rFonts w:hint="default" w:ascii="Times New Roman" w:hAnsi="Times New Roman" w:cs="Times New Roman" w:eastAsiaTheme="minorEastAsia"/>
                      <w:color w:val="auto"/>
                      <w:sz w:val="21"/>
                      <w:szCs w:val="21"/>
                      <w:lang w:val="en-US" w:eastAsia="zh-CN"/>
                    </w:rPr>
                    <w:t>1根</w:t>
                  </w:r>
                  <w:r>
                    <w:rPr>
                      <w:rFonts w:hint="default" w:ascii="Times New Roman" w:hAnsi="Times New Roman" w:cs="Times New Roman" w:eastAsiaTheme="minorEastAsia"/>
                      <w:color w:val="auto"/>
                      <w:sz w:val="21"/>
                      <w:szCs w:val="21"/>
                      <w:lang w:eastAsia="zh-CN"/>
                    </w:rPr>
                    <w:t>15m高排气筒DA001排放</w:t>
                  </w:r>
                  <w:r>
                    <w:rPr>
                      <w:rFonts w:hint="default" w:ascii="Times New Roman" w:hAnsi="Times New Roman" w:cs="Times New Roman" w:eastAsiaTheme="minorEastAsia"/>
                      <w:color w:val="auto"/>
                      <w:kern w:val="0"/>
                      <w:sz w:val="21"/>
                      <w:szCs w:val="21"/>
                    </w:rPr>
                    <w:t>。</w:t>
                  </w:r>
                </w:p>
              </w:tc>
              <w:tc>
                <w:tcPr>
                  <w:tcW w:w="499" w:type="pct"/>
                  <w:vAlign w:val="center"/>
                </w:tcPr>
                <w:p w14:paraId="1B48BC1A">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符合</w:t>
                  </w:r>
                </w:p>
              </w:tc>
            </w:tr>
            <w:tr w14:paraId="3C19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531" w:type="pct"/>
                  <w:vAlign w:val="center"/>
                </w:tcPr>
                <w:p w14:paraId="61215DAF">
                  <w:pPr>
                    <w:keepNext w:val="0"/>
                    <w:keepLines w:val="0"/>
                    <w:pageBreakBefore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废气收集系统排风罩（集气罩）的设置应符合GB/T16758 的规定。采用外部排风罩的，应按 GB/T16758、AQ/T4274—2016规定的方法测量控制风速，测量点应选取在距排风罩开口面最远处的VOCs无组织排放位置，控制风速不应低于0.3m/s（行业相关规范有具体规定的，按相关规定执行）。</w:t>
                  </w:r>
                </w:p>
              </w:tc>
              <w:tc>
                <w:tcPr>
                  <w:tcW w:w="1968" w:type="pct"/>
                  <w:vAlign w:val="center"/>
                </w:tcPr>
                <w:p w14:paraId="590291FD">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rPr>
                    <w:t>本项目有机废气均为</w:t>
                  </w:r>
                  <w:r>
                    <w:rPr>
                      <w:rFonts w:hint="default" w:ascii="Times New Roman" w:hAnsi="Times New Roman" w:cs="Times New Roman" w:eastAsiaTheme="minorEastAsia"/>
                      <w:color w:val="auto"/>
                      <w:kern w:val="0"/>
                      <w:sz w:val="21"/>
                      <w:szCs w:val="21"/>
                      <w:lang w:eastAsia="zh-CN"/>
                    </w:rPr>
                    <w:t>发泡</w:t>
                  </w:r>
                  <w:r>
                    <w:rPr>
                      <w:rFonts w:hint="default" w:ascii="Times New Roman" w:hAnsi="Times New Roman" w:cs="Times New Roman" w:eastAsiaTheme="minorEastAsia"/>
                      <w:color w:val="auto"/>
                      <w:kern w:val="0"/>
                      <w:sz w:val="21"/>
                      <w:szCs w:val="21"/>
                    </w:rPr>
                    <w:t>机生产过程中产生，本次将在</w:t>
                  </w:r>
                  <w:r>
                    <w:rPr>
                      <w:rFonts w:hint="default" w:ascii="Times New Roman" w:hAnsi="Times New Roman" w:cs="Times New Roman" w:eastAsiaTheme="minorEastAsia"/>
                      <w:color w:val="auto"/>
                      <w:kern w:val="0"/>
                      <w:sz w:val="21"/>
                      <w:szCs w:val="21"/>
                      <w:lang w:eastAsia="zh-CN"/>
                    </w:rPr>
                    <w:t>发泡</w:t>
                  </w:r>
                  <w:r>
                    <w:rPr>
                      <w:rFonts w:hint="default" w:ascii="Times New Roman" w:hAnsi="Times New Roman" w:cs="Times New Roman" w:eastAsiaTheme="minorEastAsia"/>
                      <w:color w:val="auto"/>
                      <w:kern w:val="0"/>
                      <w:sz w:val="21"/>
                      <w:szCs w:val="21"/>
                    </w:rPr>
                    <w:t>机上方设置集气罩，</w:t>
                  </w:r>
                  <w:r>
                    <w:rPr>
                      <w:rFonts w:hint="default" w:ascii="Times New Roman" w:hAnsi="Times New Roman" w:cs="Times New Roman" w:eastAsiaTheme="minorEastAsia"/>
                      <w:color w:val="auto"/>
                      <w:sz w:val="21"/>
                      <w:szCs w:val="21"/>
                    </w:rPr>
                    <w:t>有机废气经集气罩收集后通过</w:t>
                  </w:r>
                  <w:r>
                    <w:rPr>
                      <w:rFonts w:hint="default" w:ascii="Times New Roman" w:hAnsi="Times New Roman" w:cs="Times New Roman" w:eastAsiaTheme="minorEastAsia"/>
                      <w:color w:val="auto"/>
                      <w:sz w:val="21"/>
                      <w:szCs w:val="21"/>
                      <w:lang w:eastAsia="zh-CN"/>
                    </w:rPr>
                    <w:t>两级活性炭吸附装置</w:t>
                  </w:r>
                  <w:r>
                    <w:rPr>
                      <w:rFonts w:hint="default" w:ascii="Times New Roman" w:hAnsi="Times New Roman" w:cs="Times New Roman" w:eastAsiaTheme="minorEastAsia"/>
                      <w:color w:val="auto"/>
                      <w:sz w:val="21"/>
                      <w:szCs w:val="21"/>
                    </w:rPr>
                    <w:t>吸附处理后由</w:t>
                  </w:r>
                  <w:r>
                    <w:rPr>
                      <w:rFonts w:hint="default" w:ascii="Times New Roman" w:hAnsi="Times New Roman" w:cs="Times New Roman" w:eastAsiaTheme="minorEastAsia"/>
                      <w:color w:val="auto"/>
                      <w:sz w:val="21"/>
                      <w:szCs w:val="21"/>
                      <w:lang w:val="en-US" w:eastAsia="zh-CN"/>
                    </w:rPr>
                    <w:t>1根</w:t>
                  </w:r>
                  <w:r>
                    <w:rPr>
                      <w:rFonts w:hint="default" w:ascii="Times New Roman" w:hAnsi="Times New Roman" w:cs="Times New Roman" w:eastAsiaTheme="minorEastAsia"/>
                      <w:color w:val="auto"/>
                      <w:sz w:val="21"/>
                      <w:szCs w:val="21"/>
                      <w:lang w:eastAsia="zh-CN"/>
                    </w:rPr>
                    <w:t>15m高排气筒DA001排放</w:t>
                  </w:r>
                  <w:r>
                    <w:rPr>
                      <w:rFonts w:hint="default" w:ascii="Times New Roman" w:hAnsi="Times New Roman" w:cs="Times New Roman" w:eastAsiaTheme="minorEastAsia"/>
                      <w:color w:val="auto"/>
                      <w:kern w:val="0"/>
                      <w:sz w:val="21"/>
                      <w:szCs w:val="21"/>
                    </w:rPr>
                    <w:t>。</w:t>
                  </w:r>
                  <w:r>
                    <w:rPr>
                      <w:rFonts w:hint="default" w:ascii="Times New Roman" w:hAnsi="Times New Roman" w:cs="Times New Roman" w:eastAsiaTheme="minorEastAsia"/>
                      <w:color w:val="auto"/>
                      <w:kern w:val="0"/>
                      <w:sz w:val="21"/>
                      <w:szCs w:val="21"/>
                      <w:lang w:eastAsia="zh-CN"/>
                    </w:rPr>
                    <w:t>本项目设置风速为</w:t>
                  </w:r>
                  <w:r>
                    <w:rPr>
                      <w:rFonts w:hint="default" w:ascii="Times New Roman" w:hAnsi="Times New Roman" w:cs="Times New Roman" w:eastAsiaTheme="minorEastAsia"/>
                      <w:color w:val="auto"/>
                      <w:kern w:val="0"/>
                      <w:sz w:val="21"/>
                      <w:szCs w:val="21"/>
                      <w:lang w:val="en-US" w:eastAsia="zh-CN"/>
                    </w:rPr>
                    <w:t>0.8m/s，满足相关要求</w:t>
                  </w:r>
                </w:p>
              </w:tc>
              <w:tc>
                <w:tcPr>
                  <w:tcW w:w="499" w:type="pct"/>
                  <w:vAlign w:val="center"/>
                </w:tcPr>
                <w:p w14:paraId="43052E4B">
                  <w:pPr>
                    <w:keepNext w:val="0"/>
                    <w:keepLines w:val="0"/>
                    <w:pageBreakBefore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0"/>
                      <w:sz w:val="21"/>
                      <w:szCs w:val="21"/>
                    </w:rPr>
                  </w:pPr>
                  <w:r>
                    <w:rPr>
                      <w:rFonts w:hint="default" w:ascii="Times New Roman" w:hAnsi="Times New Roman" w:cs="Times New Roman" w:eastAsiaTheme="minorEastAsia"/>
                      <w:color w:val="auto"/>
                      <w:sz w:val="21"/>
                      <w:szCs w:val="21"/>
                    </w:rPr>
                    <w:t>符合</w:t>
                  </w:r>
                </w:p>
              </w:tc>
            </w:tr>
          </w:tbl>
          <w:p w14:paraId="6E225696">
            <w:pPr>
              <w:keepNext w:val="0"/>
              <w:pageBreakBefore w:val="0"/>
              <w:widowControl/>
              <w:tabs>
                <w:tab w:val="left" w:pos="4830"/>
              </w:tabs>
              <w:kinsoku/>
              <w:overflowPunct/>
              <w:bidi w:val="0"/>
              <w:spacing w:line="360" w:lineRule="auto"/>
              <w:ind w:firstLine="480" w:firstLineChars="200"/>
              <w:jc w:val="left"/>
              <w:rPr>
                <w:rFonts w:hint="eastAsia" w:ascii="Times New Roman" w:hAnsi="Times New Roman" w:cs="Times New Roman"/>
                <w:color w:val="auto"/>
                <w:kern w:val="0"/>
                <w:sz w:val="24"/>
                <w:lang w:val="en-US" w:eastAsia="zh-CN" w:bidi="ar"/>
              </w:rPr>
            </w:pPr>
            <w:r>
              <w:rPr>
                <w:rFonts w:hint="eastAsia" w:ascii="Times New Roman" w:hAnsi="Times New Roman" w:cs="Times New Roman"/>
                <w:color w:val="auto"/>
                <w:kern w:val="0"/>
                <w:sz w:val="24"/>
                <w:lang w:val="en-US" w:eastAsia="zh-CN" w:bidi="ar"/>
              </w:rPr>
              <w:t>综上所述，项目与《挥发性有机物无组织排放控制标准》（GB37822-2019）相符。</w:t>
            </w:r>
          </w:p>
          <w:p w14:paraId="6F76BF4F">
            <w:pPr>
              <w:keepNext w:val="0"/>
              <w:pageBreakBefore w:val="0"/>
              <w:widowControl/>
              <w:tabs>
                <w:tab w:val="left" w:pos="4830"/>
              </w:tabs>
              <w:kinsoku/>
              <w:overflowPunct/>
              <w:bidi w:val="0"/>
              <w:spacing w:line="360" w:lineRule="auto"/>
              <w:ind w:left="0" w:leftChars="0" w:firstLine="0" w:firstLineChars="0"/>
              <w:rPr>
                <w:rFonts w:hint="default" w:ascii="Times New Roman" w:hAnsi="Times New Roman" w:cs="Times New Roman"/>
                <w:b/>
                <w:bCs/>
                <w:color w:val="auto"/>
                <w:sz w:val="24"/>
              </w:rPr>
            </w:pPr>
            <w:r>
              <w:rPr>
                <w:rFonts w:hint="eastAsia" w:cs="Times New Roman"/>
                <w:b/>
                <w:bCs/>
                <w:color w:val="auto"/>
                <w:sz w:val="24"/>
                <w:lang w:val="en-US" w:eastAsia="zh-CN"/>
              </w:rPr>
              <w:t>12</w:t>
            </w:r>
            <w:r>
              <w:rPr>
                <w:rFonts w:hint="default" w:ascii="Times New Roman" w:hAnsi="Times New Roman" w:cs="Times New Roman"/>
                <w:b/>
                <w:bCs/>
                <w:color w:val="auto"/>
                <w:sz w:val="24"/>
              </w:rPr>
              <w:t>、与《云南省重点行业挥发性有机物综合治理实施方案》</w:t>
            </w:r>
            <w:r>
              <w:rPr>
                <w:rFonts w:hint="default" w:ascii="Times New Roman" w:hAnsi="Times New Roman" w:cs="Times New Roman"/>
                <w:b/>
                <w:bCs/>
                <w:color w:val="auto"/>
                <w:kern w:val="0"/>
                <w:sz w:val="24"/>
                <w:lang w:bidi="ar"/>
              </w:rPr>
              <w:t>（云环通〔2019〕125号）</w:t>
            </w:r>
            <w:r>
              <w:rPr>
                <w:rFonts w:hint="default" w:ascii="Times New Roman" w:hAnsi="Times New Roman" w:cs="Times New Roman"/>
                <w:b/>
                <w:bCs/>
                <w:color w:val="auto"/>
                <w:sz w:val="24"/>
              </w:rPr>
              <w:t>的符合性分析</w:t>
            </w:r>
          </w:p>
          <w:p w14:paraId="41B526DD">
            <w:pPr>
              <w:keepNext w:val="0"/>
              <w:pageBreakBefore w:val="0"/>
              <w:widowControl/>
              <w:tabs>
                <w:tab w:val="left" w:pos="4830"/>
              </w:tabs>
              <w:kinsoku/>
              <w:overflowPunct/>
              <w:bidi w:val="0"/>
              <w:spacing w:line="360" w:lineRule="auto"/>
              <w:ind w:firstLine="480" w:firstLineChars="200"/>
              <w:jc w:val="left"/>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根据《云南省重点行业挥发性有机物综合治理实施方案》（云环通〔2019〕125号）中相关要求，项目符合性分析见下表。</w:t>
            </w:r>
          </w:p>
          <w:p w14:paraId="62259312">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eastAsia" w:cs="Times New Roman"/>
                <w:b/>
                <w:bCs/>
                <w:color w:val="auto"/>
                <w:sz w:val="24"/>
                <w:szCs w:val="24"/>
                <w:lang w:val="en-US" w:eastAsia="zh-CN"/>
              </w:rPr>
              <w:t>9 项目</w:t>
            </w:r>
            <w:r>
              <w:rPr>
                <w:rFonts w:hint="default" w:ascii="Times New Roman" w:hAnsi="Times New Roman" w:eastAsia="宋体" w:cs="Times New Roman"/>
                <w:b/>
                <w:bCs/>
                <w:color w:val="auto"/>
                <w:sz w:val="24"/>
                <w:szCs w:val="24"/>
              </w:rPr>
              <w:t>与《云南省重点行业挥发性有机物综合</w:t>
            </w:r>
          </w:p>
          <w:p w14:paraId="28F5D06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治理实施方案》的符合性分析</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6"/>
              <w:gridCol w:w="2600"/>
              <w:gridCol w:w="669"/>
            </w:tblGrid>
            <w:tr w14:paraId="00EB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579" w:type="pct"/>
                  <w:vAlign w:val="center"/>
                </w:tcPr>
                <w:p w14:paraId="2A369440">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《云南省重点行业挥发性有机物综合治理实施方案》</w:t>
                  </w:r>
                  <w:r>
                    <w:rPr>
                      <w:rFonts w:hint="default" w:ascii="Times New Roman" w:hAnsi="Times New Roman" w:cs="Times New Roman" w:eastAsiaTheme="minorEastAsia"/>
                      <w:b/>
                      <w:bCs/>
                      <w:color w:val="auto"/>
                      <w:sz w:val="21"/>
                      <w:szCs w:val="21"/>
                      <w:lang w:val="en-US" w:eastAsia="zh-CN"/>
                    </w:rPr>
                    <w:t>的相关内容</w:t>
                  </w:r>
                </w:p>
              </w:tc>
              <w:tc>
                <w:tcPr>
                  <w:tcW w:w="1924" w:type="pct"/>
                  <w:vAlign w:val="center"/>
                </w:tcPr>
                <w:p w14:paraId="631BDA74">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相符性分析</w:t>
                  </w:r>
                </w:p>
              </w:tc>
              <w:tc>
                <w:tcPr>
                  <w:tcW w:w="495" w:type="pct"/>
                  <w:vAlign w:val="center"/>
                </w:tcPr>
                <w:p w14:paraId="2EA8F007">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符合性</w:t>
                  </w:r>
                </w:p>
              </w:tc>
            </w:tr>
            <w:tr w14:paraId="0A79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8" w:hRule="atLeast"/>
                <w:jc w:val="center"/>
              </w:trPr>
              <w:tc>
                <w:tcPr>
                  <w:tcW w:w="2579" w:type="pct"/>
                  <w:vAlign w:val="center"/>
                </w:tcPr>
                <w:p w14:paraId="30D1E2A7">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一）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924" w:type="pct"/>
                  <w:vAlign w:val="center"/>
                </w:tcPr>
                <w:p w14:paraId="535C8962">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本项目使用的原料是</w:t>
                  </w:r>
                  <w:r>
                    <w:rPr>
                      <w:rFonts w:hint="default" w:ascii="Times New Roman" w:hAnsi="Times New Roman" w:cs="Times New Roman" w:eastAsiaTheme="minorEastAsia"/>
                      <w:color w:val="auto"/>
                      <w:sz w:val="21"/>
                      <w:szCs w:val="21"/>
                      <w:lang w:val="en-US" w:eastAsia="zh-CN"/>
                    </w:rPr>
                    <w:t>聚苯乙烯（属于低</w:t>
                  </w:r>
                  <w:r>
                    <w:rPr>
                      <w:rFonts w:hint="default" w:ascii="Times New Roman" w:hAnsi="Times New Roman" w:cs="Times New Roman" w:eastAsiaTheme="minorEastAsia"/>
                      <w:color w:val="auto"/>
                      <w:sz w:val="21"/>
                      <w:szCs w:val="21"/>
                    </w:rPr>
                    <w:t>VOCs含量的</w:t>
                  </w:r>
                  <w:r>
                    <w:rPr>
                      <w:rFonts w:hint="default" w:ascii="Times New Roman" w:hAnsi="Times New Roman" w:cs="Times New Roman" w:eastAsiaTheme="minorEastAsia"/>
                      <w:color w:val="auto"/>
                      <w:sz w:val="21"/>
                      <w:szCs w:val="21"/>
                      <w:lang w:val="en-US" w:eastAsia="zh-CN"/>
                    </w:rPr>
                    <w:t>物料，成分检测报告详见附件10）</w:t>
                  </w:r>
                  <w:r>
                    <w:rPr>
                      <w:rFonts w:hint="default" w:ascii="Times New Roman" w:hAnsi="Times New Roman" w:cs="Times New Roman" w:eastAsiaTheme="minorEastAsia"/>
                      <w:color w:val="auto"/>
                      <w:sz w:val="21"/>
                      <w:szCs w:val="21"/>
                    </w:rPr>
                    <w:t>，不</w:t>
                  </w:r>
                  <w:r>
                    <w:rPr>
                      <w:rFonts w:hint="default" w:ascii="Times New Roman" w:hAnsi="Times New Roman" w:cs="Times New Roman" w:eastAsiaTheme="minorEastAsia"/>
                      <w:color w:val="auto"/>
                      <w:sz w:val="21"/>
                      <w:szCs w:val="21"/>
                      <w:lang w:val="en-US" w:eastAsia="zh-CN"/>
                    </w:rPr>
                    <w:t>涉及使用</w:t>
                  </w:r>
                  <w:r>
                    <w:rPr>
                      <w:rFonts w:hint="default" w:ascii="Times New Roman" w:hAnsi="Times New Roman" w:cs="Times New Roman" w:eastAsiaTheme="minorEastAsia"/>
                      <w:color w:val="auto"/>
                      <w:sz w:val="21"/>
                      <w:szCs w:val="21"/>
                    </w:rPr>
                    <w:t>水性、粉末、无溶剂、辐射固化等低VOCs含量的涂料，水性、辐射固化、植物基等低VOCs含量的油墨，水基、热熔、无溶剂、辐射固化、改性、生物降解等低VOCs含量的胶粘剂，以及低VOCs含量、低反应活性的清洗剂等</w:t>
                  </w:r>
                  <w:r>
                    <w:rPr>
                      <w:rFonts w:hint="default" w:ascii="Times New Roman" w:hAnsi="Times New Roman" w:cs="Times New Roman" w:eastAsiaTheme="minorEastAsia"/>
                      <w:color w:val="auto"/>
                      <w:sz w:val="21"/>
                      <w:szCs w:val="21"/>
                      <w:lang w:val="en-US" w:eastAsia="zh-CN"/>
                    </w:rPr>
                    <w:t>替代</w:t>
                  </w:r>
                  <w:r>
                    <w:rPr>
                      <w:rFonts w:hint="default" w:ascii="Times New Roman" w:hAnsi="Times New Roman" w:cs="Times New Roman" w:eastAsiaTheme="minorEastAsia"/>
                      <w:color w:val="auto"/>
                      <w:sz w:val="21"/>
                      <w:szCs w:val="21"/>
                    </w:rPr>
                    <w:t>溶剂型涂料、油墨、胶粘剂、清洗剂</w:t>
                  </w:r>
                  <w:r>
                    <w:rPr>
                      <w:rFonts w:hint="default" w:ascii="Times New Roman" w:hAnsi="Times New Roman" w:cs="Times New Roman" w:eastAsiaTheme="minorEastAsia"/>
                      <w:color w:val="auto"/>
                      <w:sz w:val="21"/>
                      <w:szCs w:val="21"/>
                      <w:lang w:val="en-US" w:eastAsia="zh-CN"/>
                    </w:rPr>
                    <w:t>等</w:t>
                  </w:r>
                  <w:r>
                    <w:rPr>
                      <w:rFonts w:hint="default" w:ascii="Times New Roman" w:hAnsi="Times New Roman" w:cs="Times New Roman" w:eastAsiaTheme="minorEastAsia"/>
                      <w:color w:val="auto"/>
                      <w:sz w:val="21"/>
                      <w:szCs w:val="21"/>
                    </w:rPr>
                    <w:t>。</w:t>
                  </w:r>
                </w:p>
              </w:tc>
              <w:tc>
                <w:tcPr>
                  <w:tcW w:w="495" w:type="pct"/>
                  <w:vAlign w:val="center"/>
                </w:tcPr>
                <w:p w14:paraId="05E11B2F">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符合</w:t>
                  </w:r>
                </w:p>
              </w:tc>
            </w:tr>
            <w:tr w14:paraId="6F3C7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2579" w:type="pct"/>
                  <w:vAlign w:val="center"/>
                </w:tcPr>
                <w:p w14:paraId="45ED16AE">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1924" w:type="pct"/>
                  <w:vAlign w:val="center"/>
                </w:tcPr>
                <w:p w14:paraId="58F81405">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本项目对含</w:t>
                  </w:r>
                  <w:r>
                    <w:rPr>
                      <w:rFonts w:hint="default" w:ascii="Times New Roman" w:hAnsi="Times New Roman" w:cs="Times New Roman" w:eastAsiaTheme="minorEastAsia"/>
                      <w:color w:val="auto"/>
                      <w:sz w:val="21"/>
                      <w:szCs w:val="21"/>
                    </w:rPr>
                    <w:t>VOCs物料</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聚苯乙烯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进行袋装收集，不涉及</w:t>
                  </w:r>
                  <w:r>
                    <w:rPr>
                      <w:rFonts w:hint="default" w:ascii="Times New Roman" w:hAnsi="Times New Roman" w:cs="Times New Roman" w:eastAsiaTheme="minorEastAsia"/>
                      <w:color w:val="auto"/>
                      <w:sz w:val="21"/>
                      <w:szCs w:val="21"/>
                    </w:rPr>
                    <w:t>敞开液面逸散</w:t>
                  </w:r>
                  <w:r>
                    <w:rPr>
                      <w:rFonts w:hint="default" w:ascii="Times New Roman" w:hAnsi="Times New Roman" w:cs="Times New Roman" w:eastAsiaTheme="minorEastAsia"/>
                      <w:color w:val="auto"/>
                      <w:sz w:val="21"/>
                      <w:szCs w:val="21"/>
                      <w:lang w:eastAsia="zh-CN"/>
                    </w:rPr>
                    <w:t>；</w:t>
                  </w:r>
                </w:p>
                <w:p w14:paraId="6B8D634B">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本项目</w:t>
                  </w:r>
                  <w:r>
                    <w:rPr>
                      <w:rFonts w:hint="default" w:ascii="Times New Roman" w:hAnsi="Times New Roman" w:cs="Times New Roman" w:eastAsiaTheme="minorEastAsia"/>
                      <w:color w:val="auto"/>
                      <w:sz w:val="21"/>
                      <w:szCs w:val="21"/>
                      <w:lang w:val="en-US" w:eastAsia="zh-CN"/>
                    </w:rPr>
                    <w:t>采取局部收集有机废气的措施，通过</w:t>
                  </w:r>
                  <w:r>
                    <w:rPr>
                      <w:rFonts w:hint="default" w:ascii="Times New Roman" w:hAnsi="Times New Roman" w:cs="Times New Roman" w:eastAsiaTheme="minorEastAsia"/>
                      <w:color w:val="auto"/>
                      <w:sz w:val="21"/>
                      <w:szCs w:val="21"/>
                    </w:rPr>
                    <w:t>在</w:t>
                  </w:r>
                  <w:r>
                    <w:rPr>
                      <w:rFonts w:hint="default" w:ascii="Times New Roman" w:hAnsi="Times New Roman" w:cs="Times New Roman" w:eastAsiaTheme="minorEastAsia"/>
                      <w:color w:val="auto"/>
                      <w:sz w:val="21"/>
                      <w:szCs w:val="21"/>
                      <w:lang w:eastAsia="zh-CN"/>
                    </w:rPr>
                    <w:t>发泡</w:t>
                  </w:r>
                  <w:r>
                    <w:rPr>
                      <w:rFonts w:hint="default" w:ascii="Times New Roman" w:hAnsi="Times New Roman" w:cs="Times New Roman" w:eastAsiaTheme="minorEastAsia"/>
                      <w:color w:val="auto"/>
                      <w:sz w:val="21"/>
                      <w:szCs w:val="21"/>
                    </w:rPr>
                    <w:t>机上方设置集气罩</w:t>
                  </w:r>
                  <w:r>
                    <w:rPr>
                      <w:rFonts w:hint="default" w:ascii="Times New Roman" w:hAnsi="Times New Roman" w:cs="Times New Roman" w:eastAsiaTheme="minorEastAsia"/>
                      <w:color w:val="auto"/>
                      <w:sz w:val="21"/>
                      <w:szCs w:val="21"/>
                      <w:lang w:val="en-US" w:eastAsia="zh-CN"/>
                    </w:rPr>
                    <w:t>进行收集有机废气</w:t>
                  </w:r>
                  <w:r>
                    <w:rPr>
                      <w:rFonts w:hint="default" w:ascii="Times New Roman" w:hAnsi="Times New Roman" w:cs="Times New Roman" w:eastAsiaTheme="minorEastAsia"/>
                      <w:color w:val="auto"/>
                      <w:sz w:val="21"/>
                      <w:szCs w:val="21"/>
                    </w:rPr>
                    <w:t>，收集</w:t>
                  </w:r>
                  <w:r>
                    <w:rPr>
                      <w:rFonts w:hint="default" w:ascii="Times New Roman" w:hAnsi="Times New Roman" w:cs="Times New Roman" w:eastAsiaTheme="minorEastAsia"/>
                      <w:color w:val="auto"/>
                      <w:sz w:val="21"/>
                      <w:szCs w:val="21"/>
                      <w:lang w:val="en-US" w:eastAsia="zh-CN"/>
                    </w:rPr>
                    <w:t>的</w:t>
                  </w:r>
                  <w:r>
                    <w:rPr>
                      <w:rFonts w:hint="default" w:ascii="Times New Roman" w:hAnsi="Times New Roman" w:cs="Times New Roman" w:eastAsiaTheme="minorEastAsia"/>
                      <w:color w:val="auto"/>
                      <w:sz w:val="21"/>
                      <w:szCs w:val="21"/>
                    </w:rPr>
                    <w:t>有机废气经</w:t>
                  </w:r>
                  <w:r>
                    <w:rPr>
                      <w:rFonts w:hint="default" w:ascii="Times New Roman" w:hAnsi="Times New Roman" w:cs="Times New Roman" w:eastAsiaTheme="minorEastAsia"/>
                      <w:color w:val="auto"/>
                      <w:sz w:val="21"/>
                      <w:szCs w:val="21"/>
                      <w:lang w:eastAsia="zh-CN"/>
                    </w:rPr>
                    <w:t>两级活性炭吸附装置</w:t>
                  </w:r>
                  <w:r>
                    <w:rPr>
                      <w:rFonts w:hint="default" w:ascii="Times New Roman" w:hAnsi="Times New Roman" w:cs="Times New Roman" w:eastAsiaTheme="minorEastAsia"/>
                      <w:color w:val="auto"/>
                      <w:sz w:val="21"/>
                      <w:szCs w:val="21"/>
                    </w:rPr>
                    <w:t>吸附处理后由</w:t>
                  </w:r>
                  <w:r>
                    <w:rPr>
                      <w:rFonts w:hint="default" w:ascii="Times New Roman" w:hAnsi="Times New Roman" w:cs="Times New Roman" w:eastAsiaTheme="minorEastAsia"/>
                      <w:color w:val="auto"/>
                      <w:sz w:val="21"/>
                      <w:szCs w:val="21"/>
                      <w:lang w:val="en-US" w:eastAsia="zh-CN"/>
                    </w:rPr>
                    <w:t>1根</w:t>
                  </w:r>
                  <w:r>
                    <w:rPr>
                      <w:rFonts w:hint="default" w:ascii="Times New Roman" w:hAnsi="Times New Roman" w:cs="Times New Roman" w:eastAsiaTheme="minorEastAsia"/>
                      <w:color w:val="auto"/>
                      <w:sz w:val="21"/>
                      <w:szCs w:val="21"/>
                      <w:lang w:eastAsia="zh-CN"/>
                    </w:rPr>
                    <w:t>15m</w:t>
                  </w:r>
                  <w:r>
                    <w:rPr>
                      <w:rFonts w:hint="default" w:ascii="Times New Roman" w:hAnsi="Times New Roman" w:cs="Times New Roman" w:eastAsiaTheme="minorEastAsia"/>
                      <w:color w:val="auto"/>
                      <w:sz w:val="21"/>
                      <w:szCs w:val="21"/>
                      <w:lang w:val="en-US" w:eastAsia="zh-CN"/>
                    </w:rPr>
                    <w:t>排气筒</w:t>
                  </w:r>
                  <w:r>
                    <w:rPr>
                      <w:rFonts w:hint="default" w:ascii="Times New Roman" w:hAnsi="Times New Roman" w:cs="Times New Roman" w:eastAsiaTheme="minorEastAsia"/>
                      <w:color w:val="auto"/>
                      <w:sz w:val="21"/>
                      <w:szCs w:val="21"/>
                      <w:lang w:eastAsia="zh-CN"/>
                    </w:rPr>
                    <w:t>（DA001）</w:t>
                  </w:r>
                  <w:r>
                    <w:rPr>
                      <w:rFonts w:hint="default" w:ascii="Times New Roman" w:hAnsi="Times New Roman" w:cs="Times New Roman" w:eastAsiaTheme="minorEastAsia"/>
                      <w:color w:val="auto"/>
                      <w:sz w:val="21"/>
                      <w:szCs w:val="21"/>
                      <w:lang w:val="en-US" w:eastAsia="zh-CN"/>
                    </w:rPr>
                    <w:t>外排</w:t>
                  </w:r>
                </w:p>
              </w:tc>
              <w:tc>
                <w:tcPr>
                  <w:tcW w:w="495" w:type="pct"/>
                  <w:vAlign w:val="center"/>
                </w:tcPr>
                <w:p w14:paraId="0488D0A4">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6775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8" w:hRule="atLeast"/>
                <w:jc w:val="center"/>
              </w:trPr>
              <w:tc>
                <w:tcPr>
                  <w:tcW w:w="2579" w:type="pct"/>
                  <w:vAlign w:val="center"/>
                </w:tcPr>
                <w:p w14:paraId="120D65C1">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w:t>
                  </w:r>
                </w:p>
              </w:tc>
              <w:tc>
                <w:tcPr>
                  <w:tcW w:w="1924" w:type="pct"/>
                  <w:vAlign w:val="center"/>
                </w:tcPr>
                <w:p w14:paraId="690BFC1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本项目使用</w:t>
                  </w:r>
                  <w:r>
                    <w:rPr>
                      <w:rFonts w:hint="default" w:ascii="Times New Roman" w:hAnsi="Times New Roman" w:cs="Times New Roman" w:eastAsiaTheme="minorEastAsia"/>
                      <w:color w:val="auto"/>
                      <w:sz w:val="21"/>
                      <w:szCs w:val="21"/>
                      <w:lang w:eastAsia="zh-CN"/>
                    </w:rPr>
                    <w:t>发泡</w:t>
                  </w:r>
                  <w:r>
                    <w:rPr>
                      <w:rFonts w:hint="default" w:ascii="Times New Roman" w:hAnsi="Times New Roman" w:cs="Times New Roman" w:eastAsiaTheme="minorEastAsia"/>
                      <w:color w:val="auto"/>
                      <w:sz w:val="21"/>
                      <w:szCs w:val="21"/>
                    </w:rPr>
                    <w:t>机</w:t>
                  </w:r>
                  <w:r>
                    <w:rPr>
                      <w:rFonts w:hint="default" w:ascii="Times New Roman" w:hAnsi="Times New Roman" w:cs="Times New Roman" w:eastAsiaTheme="minorEastAsia"/>
                      <w:color w:val="auto"/>
                      <w:sz w:val="21"/>
                      <w:szCs w:val="21"/>
                      <w:lang w:val="en-US" w:eastAsia="zh-CN"/>
                    </w:rPr>
                    <w:t>进行塑料颗粒的生产加工</w:t>
                  </w:r>
                  <w:r>
                    <w:rPr>
                      <w:rFonts w:hint="default" w:ascii="Times New Roman" w:hAnsi="Times New Roman" w:cs="Times New Roman" w:eastAsiaTheme="minorEastAsia"/>
                      <w:color w:val="auto"/>
                      <w:sz w:val="21"/>
                      <w:szCs w:val="21"/>
                    </w:rPr>
                    <w:t>，使用</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产生的水蒸气进行</w:t>
                  </w:r>
                  <w:r>
                    <w:rPr>
                      <w:rFonts w:hint="default" w:ascii="Times New Roman" w:hAnsi="Times New Roman" w:cs="Times New Roman" w:eastAsiaTheme="minorEastAsia"/>
                      <w:color w:val="auto"/>
                      <w:sz w:val="21"/>
                      <w:szCs w:val="21"/>
                    </w:rPr>
                    <w:t>加热，</w:t>
                  </w:r>
                  <w:r>
                    <w:rPr>
                      <w:rFonts w:hint="default" w:ascii="Times New Roman" w:hAnsi="Times New Roman" w:cs="Times New Roman" w:eastAsiaTheme="minorEastAsia"/>
                      <w:color w:val="auto"/>
                      <w:sz w:val="21"/>
                      <w:szCs w:val="21"/>
                      <w:lang w:val="en-US" w:eastAsia="zh-CN"/>
                    </w:rPr>
                    <w:t>发泡工段</w:t>
                  </w:r>
                  <w:r>
                    <w:rPr>
                      <w:rFonts w:hint="default" w:ascii="Times New Roman" w:hAnsi="Times New Roman" w:cs="Times New Roman" w:eastAsiaTheme="minorEastAsia"/>
                      <w:color w:val="auto"/>
                      <w:sz w:val="21"/>
                      <w:szCs w:val="21"/>
                    </w:rPr>
                    <w:t>产生的有机气体经集气罩收集后通过</w:t>
                  </w:r>
                  <w:r>
                    <w:rPr>
                      <w:rFonts w:hint="default" w:ascii="Times New Roman" w:hAnsi="Times New Roman" w:cs="Times New Roman" w:eastAsiaTheme="minorEastAsia"/>
                      <w:color w:val="auto"/>
                      <w:sz w:val="21"/>
                      <w:szCs w:val="21"/>
                      <w:lang w:eastAsia="zh-CN"/>
                    </w:rPr>
                    <w:t>两级活性炭吸附装置</w:t>
                  </w:r>
                  <w:r>
                    <w:rPr>
                      <w:rFonts w:hint="default" w:ascii="Times New Roman" w:hAnsi="Times New Roman" w:cs="Times New Roman" w:eastAsiaTheme="minorEastAsia"/>
                      <w:color w:val="auto"/>
                      <w:sz w:val="21"/>
                      <w:szCs w:val="21"/>
                    </w:rPr>
                    <w:t>处理后，通过</w:t>
                  </w:r>
                  <w:r>
                    <w:rPr>
                      <w:rFonts w:hint="default" w:ascii="Times New Roman" w:hAnsi="Times New Roman" w:cs="Times New Roman" w:eastAsiaTheme="minorEastAsia"/>
                      <w:color w:val="auto"/>
                      <w:sz w:val="21"/>
                      <w:szCs w:val="21"/>
                      <w:lang w:val="en-US" w:eastAsia="zh-CN"/>
                    </w:rPr>
                    <w:t>1根</w:t>
                  </w:r>
                  <w:r>
                    <w:rPr>
                      <w:rFonts w:hint="default" w:ascii="Times New Roman" w:hAnsi="Times New Roman" w:cs="Times New Roman" w:eastAsiaTheme="minorEastAsia"/>
                      <w:color w:val="auto"/>
                      <w:sz w:val="21"/>
                      <w:szCs w:val="21"/>
                      <w:lang w:eastAsia="zh-CN"/>
                    </w:rPr>
                    <w:t>15m排气筒（DA001）</w:t>
                  </w:r>
                  <w:r>
                    <w:rPr>
                      <w:rFonts w:hint="default" w:ascii="Times New Roman" w:hAnsi="Times New Roman" w:cs="Times New Roman" w:eastAsiaTheme="minorEastAsia"/>
                      <w:color w:val="auto"/>
                      <w:sz w:val="21"/>
                      <w:szCs w:val="21"/>
                      <w:lang w:val="en-US" w:eastAsia="zh-CN"/>
                    </w:rPr>
                    <w:t>外排</w:t>
                  </w:r>
                </w:p>
              </w:tc>
              <w:tc>
                <w:tcPr>
                  <w:tcW w:w="495" w:type="pct"/>
                  <w:vAlign w:val="center"/>
                </w:tcPr>
                <w:p w14:paraId="2E8B87C3">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符合</w:t>
                  </w:r>
                </w:p>
              </w:tc>
            </w:tr>
            <w:tr w14:paraId="6391D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579" w:type="pct"/>
                  <w:vAlign w:val="center"/>
                </w:tcPr>
                <w:p w14:paraId="36A18BBC">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（四）</w:t>
                  </w:r>
                  <w:r>
                    <w:rPr>
                      <w:rFonts w:hint="default" w:ascii="Times New Roman" w:hAnsi="Times New Roman" w:cs="Times New Roman" w:eastAsiaTheme="minorEastAsia"/>
                      <w:color w:val="auto"/>
                      <w:sz w:val="21"/>
                      <w:szCs w:val="21"/>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924" w:type="pct"/>
                  <w:vAlign w:val="center"/>
                </w:tcPr>
                <w:p w14:paraId="3A9E064A">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rPr>
                    <w:t>本项目有机废气均为</w:t>
                  </w:r>
                  <w:r>
                    <w:rPr>
                      <w:rFonts w:hint="default" w:ascii="Times New Roman" w:hAnsi="Times New Roman" w:cs="Times New Roman" w:eastAsiaTheme="minorEastAsia"/>
                      <w:color w:val="auto"/>
                      <w:sz w:val="21"/>
                      <w:szCs w:val="21"/>
                      <w:lang w:eastAsia="zh-CN"/>
                    </w:rPr>
                    <w:t>发泡</w:t>
                  </w:r>
                  <w:r>
                    <w:rPr>
                      <w:rFonts w:hint="default" w:ascii="Times New Roman" w:hAnsi="Times New Roman" w:cs="Times New Roman" w:eastAsiaTheme="minorEastAsia"/>
                      <w:color w:val="auto"/>
                      <w:sz w:val="21"/>
                      <w:szCs w:val="21"/>
                    </w:rPr>
                    <w:t>机生产过程中产生，本次将在</w:t>
                  </w:r>
                  <w:r>
                    <w:rPr>
                      <w:rFonts w:hint="default" w:ascii="Times New Roman" w:hAnsi="Times New Roman" w:cs="Times New Roman" w:eastAsiaTheme="minorEastAsia"/>
                      <w:color w:val="auto"/>
                      <w:sz w:val="21"/>
                      <w:szCs w:val="21"/>
                      <w:lang w:eastAsia="zh-CN"/>
                    </w:rPr>
                    <w:t>发泡</w:t>
                  </w:r>
                  <w:r>
                    <w:rPr>
                      <w:rFonts w:hint="default" w:ascii="Times New Roman" w:hAnsi="Times New Roman" w:cs="Times New Roman" w:eastAsiaTheme="minorEastAsia"/>
                      <w:color w:val="auto"/>
                      <w:sz w:val="21"/>
                      <w:szCs w:val="21"/>
                    </w:rPr>
                    <w:t>机上方设置集气罩，有机废气经集气罩收集后通过</w:t>
                  </w:r>
                  <w:r>
                    <w:rPr>
                      <w:rFonts w:hint="default" w:ascii="Times New Roman" w:hAnsi="Times New Roman" w:cs="Times New Roman" w:eastAsiaTheme="minorEastAsia"/>
                      <w:color w:val="auto"/>
                      <w:sz w:val="21"/>
                      <w:szCs w:val="21"/>
                      <w:lang w:eastAsia="zh-CN"/>
                    </w:rPr>
                    <w:t>两级活性炭吸附装置</w:t>
                  </w:r>
                  <w:r>
                    <w:rPr>
                      <w:rFonts w:hint="default" w:ascii="Times New Roman" w:hAnsi="Times New Roman" w:cs="Times New Roman" w:eastAsiaTheme="minorEastAsia"/>
                      <w:color w:val="auto"/>
                      <w:sz w:val="21"/>
                      <w:szCs w:val="21"/>
                    </w:rPr>
                    <w:t>吸附处理后由</w:t>
                  </w:r>
                  <w:r>
                    <w:rPr>
                      <w:rFonts w:hint="default" w:ascii="Times New Roman" w:hAnsi="Times New Roman" w:cs="Times New Roman" w:eastAsiaTheme="minorEastAsia"/>
                      <w:color w:val="auto"/>
                      <w:sz w:val="21"/>
                      <w:szCs w:val="21"/>
                      <w:lang w:val="en-US" w:eastAsia="zh-CN"/>
                    </w:rPr>
                    <w:t>1根</w:t>
                  </w:r>
                  <w:r>
                    <w:rPr>
                      <w:rFonts w:hint="default" w:ascii="Times New Roman" w:hAnsi="Times New Roman" w:cs="Times New Roman" w:eastAsiaTheme="minorEastAsia"/>
                      <w:color w:val="auto"/>
                      <w:sz w:val="21"/>
                      <w:szCs w:val="21"/>
                      <w:lang w:eastAsia="zh-CN"/>
                    </w:rPr>
                    <w:t>15m排气筒（DA001）</w:t>
                  </w:r>
                  <w:r>
                    <w:rPr>
                      <w:rFonts w:hint="default" w:ascii="Times New Roman" w:hAnsi="Times New Roman" w:cs="Times New Roman" w:eastAsiaTheme="minorEastAsia"/>
                      <w:color w:val="auto"/>
                      <w:sz w:val="21"/>
                      <w:szCs w:val="21"/>
                      <w:lang w:val="en-US" w:eastAsia="zh-CN"/>
                    </w:rPr>
                    <w:t>外排，</w:t>
                  </w:r>
                  <w:r>
                    <w:rPr>
                      <w:rFonts w:hint="eastAsia" w:cs="Times New Roman" w:eastAsiaTheme="minorEastAsia"/>
                      <w:color w:val="auto"/>
                      <w:sz w:val="21"/>
                      <w:szCs w:val="21"/>
                      <w:lang w:val="en-US" w:eastAsia="zh-CN"/>
                    </w:rPr>
                    <w:t>排</w:t>
                  </w:r>
                  <w:r>
                    <w:rPr>
                      <w:rFonts w:hint="default" w:ascii="Times New Roman" w:hAnsi="Times New Roman" w:cs="Times New Roman" w:eastAsiaTheme="minorEastAsia"/>
                      <w:color w:val="auto"/>
                      <w:sz w:val="21"/>
                      <w:szCs w:val="21"/>
                      <w:lang w:val="en-US" w:eastAsia="zh-CN"/>
                    </w:rPr>
                    <w:t>放速率为0.0125kg/h小于3kg/h，</w:t>
                  </w:r>
                  <w:r>
                    <w:rPr>
                      <w:rFonts w:hint="default" w:ascii="Times New Roman" w:hAnsi="Times New Roman" w:cs="Times New Roman" w:eastAsiaTheme="minorEastAsia"/>
                      <w:color w:val="auto"/>
                      <w:sz w:val="21"/>
                      <w:szCs w:val="21"/>
                    </w:rPr>
                    <w:t>采用</w:t>
                  </w:r>
                  <w:r>
                    <w:rPr>
                      <w:rFonts w:hint="default" w:ascii="Times New Roman" w:hAnsi="Times New Roman" w:cs="Times New Roman" w:eastAsiaTheme="minorEastAsia"/>
                      <w:color w:val="auto"/>
                      <w:sz w:val="21"/>
                      <w:szCs w:val="21"/>
                      <w:lang w:val="en-US" w:eastAsia="zh-CN"/>
                    </w:rPr>
                    <w:t>的</w:t>
                  </w:r>
                  <w:r>
                    <w:rPr>
                      <w:rFonts w:hint="default" w:ascii="Times New Roman" w:hAnsi="Times New Roman" w:cs="Times New Roman" w:eastAsiaTheme="minorEastAsia"/>
                      <w:color w:val="auto"/>
                      <w:sz w:val="21"/>
                      <w:szCs w:val="21"/>
                    </w:rPr>
                    <w:t>原辅材料</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聚苯乙烯</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为</w:t>
                  </w:r>
                  <w:r>
                    <w:rPr>
                      <w:rFonts w:hint="default" w:ascii="Times New Roman" w:hAnsi="Times New Roman" w:cs="Times New Roman" w:eastAsiaTheme="minorEastAsia"/>
                      <w:color w:val="auto"/>
                      <w:sz w:val="21"/>
                      <w:szCs w:val="21"/>
                    </w:rPr>
                    <w:t>符合国家有关低VOCs含量</w:t>
                  </w:r>
                  <w:r>
                    <w:rPr>
                      <w:rFonts w:hint="default" w:ascii="Times New Roman" w:hAnsi="Times New Roman" w:cs="Times New Roman" w:eastAsiaTheme="minorEastAsia"/>
                      <w:color w:val="auto"/>
                      <w:sz w:val="21"/>
                      <w:szCs w:val="21"/>
                      <w:lang w:val="en-US" w:eastAsia="zh-CN"/>
                    </w:rPr>
                    <w:t>的</w:t>
                  </w:r>
                  <w:r>
                    <w:rPr>
                      <w:rFonts w:hint="default" w:ascii="Times New Roman" w:hAnsi="Times New Roman" w:cs="Times New Roman" w:eastAsiaTheme="minorEastAsia"/>
                      <w:color w:val="auto"/>
                      <w:sz w:val="21"/>
                      <w:szCs w:val="21"/>
                    </w:rPr>
                    <w:t>产品</w:t>
                  </w:r>
                </w:p>
              </w:tc>
              <w:tc>
                <w:tcPr>
                  <w:tcW w:w="495" w:type="pct"/>
                  <w:vAlign w:val="center"/>
                </w:tcPr>
                <w:p w14:paraId="49770785">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符合</w:t>
                  </w:r>
                </w:p>
              </w:tc>
            </w:tr>
          </w:tbl>
          <w:p w14:paraId="5CAF5741">
            <w:pPr>
              <w:keepNext w:val="0"/>
              <w:pageBreakBefore w:val="0"/>
              <w:tabs>
                <w:tab w:val="left" w:pos="4830"/>
              </w:tabs>
              <w:kinsoku/>
              <w:overflowPunct/>
              <w:bidi w:val="0"/>
              <w:spacing w:line="360" w:lineRule="auto"/>
              <w:ind w:firstLine="480" w:firstLineChars="20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综上所述，项目与</w:t>
            </w:r>
            <w:r>
              <w:rPr>
                <w:rFonts w:hint="eastAsia"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云南省重点行业挥发性有机物综合治理实施方案》（云环通〔2019〕125号的相关内容相符。</w:t>
            </w:r>
          </w:p>
          <w:p w14:paraId="1A821863">
            <w:pPr>
              <w:pStyle w:val="19"/>
              <w:keepNext w:val="0"/>
              <w:pageBreakBefore w:val="0"/>
              <w:tabs>
                <w:tab w:val="left" w:pos="4830"/>
              </w:tabs>
              <w:kinsoku/>
              <w:overflowPunct/>
              <w:bidi w:val="0"/>
              <w:spacing w:after="0" w:line="360" w:lineRule="auto"/>
              <w:ind w:left="0" w:leftChars="0" w:firstLine="0" w:firstLineChars="0"/>
              <w:rPr>
                <w:rFonts w:hint="default" w:ascii="Times New Roman" w:hAnsi="Times New Roman" w:cs="Times New Roman"/>
                <w:b/>
                <w:bCs/>
                <w:color w:val="auto"/>
                <w:sz w:val="24"/>
              </w:rPr>
            </w:pPr>
            <w:r>
              <w:rPr>
                <w:rFonts w:hint="eastAsia" w:cs="Times New Roman"/>
                <w:b/>
                <w:bCs/>
                <w:color w:val="auto"/>
                <w:sz w:val="24"/>
                <w:lang w:val="en-US" w:eastAsia="zh-CN"/>
              </w:rPr>
              <w:t>13</w:t>
            </w:r>
            <w:r>
              <w:rPr>
                <w:rFonts w:hint="default" w:ascii="Times New Roman" w:hAnsi="Times New Roman" w:cs="Times New Roman"/>
                <w:b/>
                <w:bCs/>
                <w:color w:val="auto"/>
                <w:sz w:val="24"/>
              </w:rPr>
              <w:t>、项目与《关于印发＜2020年挥发性有机物治理攻坚方案＞的通知》符合性分析</w:t>
            </w:r>
          </w:p>
          <w:p w14:paraId="0ECE387A">
            <w:pPr>
              <w:keepNext w:val="0"/>
              <w:pageBreakBefore w:val="0"/>
              <w:tabs>
                <w:tab w:val="left" w:pos="4830"/>
              </w:tabs>
              <w:kinsoku/>
              <w:overflowPunct/>
              <w:bidi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本项目与《2020年挥发性有机物治理攻坚方案》相符性分析详见下表：</w:t>
            </w:r>
          </w:p>
          <w:p w14:paraId="6A05318A">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4"/>
                <w:szCs w:val="21"/>
              </w:rPr>
            </w:pPr>
            <w:r>
              <w:rPr>
                <w:rFonts w:hint="default" w:ascii="Times New Roman" w:hAnsi="Times New Roman" w:cs="Times New Roman"/>
                <w:b/>
                <w:bCs/>
                <w:color w:val="auto"/>
                <w:sz w:val="24"/>
                <w:szCs w:val="21"/>
              </w:rPr>
              <w:t>表</w:t>
            </w:r>
            <w:r>
              <w:rPr>
                <w:rFonts w:hint="eastAsia" w:cs="Times New Roman"/>
                <w:b/>
                <w:bCs/>
                <w:color w:val="auto"/>
                <w:sz w:val="24"/>
                <w:szCs w:val="21"/>
                <w:lang w:val="en-US" w:eastAsia="zh-CN"/>
              </w:rPr>
              <w:t xml:space="preserve">10  </w:t>
            </w:r>
            <w:r>
              <w:rPr>
                <w:rFonts w:hint="default" w:ascii="Times New Roman" w:hAnsi="Times New Roman" w:cs="Times New Roman"/>
                <w:b/>
                <w:bCs/>
                <w:color w:val="auto"/>
                <w:sz w:val="24"/>
                <w:szCs w:val="21"/>
              </w:rPr>
              <w:t>与《2020年挥发性有机物治理攻坚方案》符合性分析表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2"/>
              <w:gridCol w:w="2312"/>
              <w:gridCol w:w="828"/>
            </w:tblGrid>
            <w:tr w14:paraId="6FA30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674" w:type="pct"/>
                  <w:vAlign w:val="center"/>
                </w:tcPr>
                <w:p w14:paraId="09BB0546">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2020年挥发性有机物治理攻坚方案</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lang w:val="en-US" w:eastAsia="zh-CN"/>
                    </w:rPr>
                    <w:t>相关内容</w:t>
                  </w:r>
                </w:p>
              </w:tc>
              <w:tc>
                <w:tcPr>
                  <w:tcW w:w="1712" w:type="pct"/>
                  <w:vAlign w:val="center"/>
                </w:tcPr>
                <w:p w14:paraId="130057E4">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相符性分析</w:t>
                  </w:r>
                </w:p>
              </w:tc>
              <w:tc>
                <w:tcPr>
                  <w:tcW w:w="613" w:type="pct"/>
                  <w:vAlign w:val="center"/>
                </w:tcPr>
                <w:p w14:paraId="47C66A94">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4691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528C1CA3">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w:t>
                  </w:r>
                </w:p>
              </w:tc>
              <w:tc>
                <w:tcPr>
                  <w:tcW w:w="1712" w:type="pct"/>
                  <w:vAlign w:val="center"/>
                </w:tcPr>
                <w:p w14:paraId="45548FF7">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本项目使用的原料是</w:t>
                  </w:r>
                  <w:r>
                    <w:rPr>
                      <w:rFonts w:hint="eastAsia" w:cs="Times New Roman"/>
                      <w:color w:val="auto"/>
                      <w:sz w:val="21"/>
                      <w:szCs w:val="21"/>
                      <w:lang w:val="en-US" w:eastAsia="zh-CN"/>
                    </w:rPr>
                    <w:t>聚苯乙烯（成分检测报告详见附件10）</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属于低</w:t>
                  </w:r>
                  <w:r>
                    <w:rPr>
                      <w:rFonts w:hint="default" w:ascii="Times New Roman" w:hAnsi="Times New Roman" w:eastAsia="宋体" w:cs="Times New Roman"/>
                      <w:color w:val="auto"/>
                      <w:sz w:val="21"/>
                      <w:szCs w:val="21"/>
                    </w:rPr>
                    <w:t>VOCs含量</w:t>
                  </w:r>
                  <w:r>
                    <w:rPr>
                      <w:rFonts w:hint="default"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rPr>
                    <w:t>原辅材料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建设单位应</w:t>
                  </w:r>
                  <w:r>
                    <w:rPr>
                      <w:rFonts w:hint="default" w:ascii="Times New Roman" w:hAnsi="Times New Roman" w:eastAsia="宋体" w:cs="Times New Roman"/>
                      <w:color w:val="auto"/>
                      <w:sz w:val="21"/>
                      <w:szCs w:val="21"/>
                    </w:rPr>
                    <w:t>建立原辅材料台账，记录VOCs原辅材料名称、成分、VOCs含量、采购量、使用量、库存量、回收方式、回收量等信息，并保存相关证明材料</w:t>
                  </w:r>
                  <w:r>
                    <w:rPr>
                      <w:rFonts w:hint="default" w:ascii="Times New Roman" w:hAnsi="Times New Roman" w:eastAsia="宋体" w:cs="Times New Roman"/>
                      <w:color w:val="auto"/>
                      <w:sz w:val="21"/>
                      <w:szCs w:val="21"/>
                      <w:lang w:eastAsia="zh-CN"/>
                    </w:rPr>
                    <w:t>；</w:t>
                  </w:r>
                </w:p>
                <w:p w14:paraId="7681DAC4">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本项目使用的原辅材料</w:t>
                  </w:r>
                  <w:r>
                    <w:rPr>
                      <w:rFonts w:hint="default" w:ascii="Times New Roman" w:hAnsi="Times New Roman" w:eastAsia="宋体" w:cs="Times New Roman"/>
                      <w:color w:val="auto"/>
                      <w:sz w:val="21"/>
                      <w:szCs w:val="21"/>
                    </w:rPr>
                    <w:t>不属于各种涂料、油墨、胶粘剂</w:t>
                  </w:r>
                  <w:r>
                    <w:rPr>
                      <w:rFonts w:hint="default"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rPr>
                    <w:t>。</w:t>
                  </w:r>
                </w:p>
              </w:tc>
              <w:tc>
                <w:tcPr>
                  <w:tcW w:w="613" w:type="pct"/>
                  <w:vAlign w:val="center"/>
                </w:tcPr>
                <w:p w14:paraId="6D57CB85">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5E0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1F36E9DF">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交有资质的单位处置。</w:t>
                  </w:r>
                </w:p>
              </w:tc>
              <w:tc>
                <w:tcPr>
                  <w:tcW w:w="1712" w:type="pct"/>
                  <w:vAlign w:val="center"/>
                </w:tcPr>
                <w:p w14:paraId="51AA584A">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本项目原料堆放</w:t>
                  </w:r>
                  <w:r>
                    <w:rPr>
                      <w:rFonts w:hint="default" w:ascii="Times New Roman" w:hAnsi="Times New Roman" w:eastAsia="宋体" w:cs="Times New Roman"/>
                      <w:color w:val="auto"/>
                      <w:sz w:val="21"/>
                      <w:szCs w:val="21"/>
                      <w:lang w:eastAsia="zh-CN"/>
                    </w:rPr>
                    <w:t>于生产车间内，</w:t>
                  </w:r>
                  <w:r>
                    <w:rPr>
                      <w:rFonts w:hint="default" w:ascii="Times New Roman" w:hAnsi="Times New Roman" w:eastAsia="宋体" w:cs="Times New Roman"/>
                      <w:color w:val="auto"/>
                      <w:sz w:val="21"/>
                      <w:szCs w:val="21"/>
                    </w:rPr>
                    <w:t>生产线均布设于生产车间中，</w:t>
                  </w:r>
                  <w:r>
                    <w:rPr>
                      <w:rFonts w:hint="default" w:ascii="Times New Roman" w:hAnsi="Times New Roman" w:eastAsia="宋体" w:cs="Times New Roman"/>
                      <w:color w:val="auto"/>
                      <w:sz w:val="21"/>
                      <w:szCs w:val="21"/>
                      <w:lang w:val="en-US" w:eastAsia="zh-CN"/>
                    </w:rPr>
                    <w:t>原料（</w:t>
                  </w:r>
                  <w:r>
                    <w:rPr>
                      <w:rFonts w:hint="eastAsia" w:cs="Times New Roman"/>
                      <w:color w:val="auto"/>
                      <w:sz w:val="21"/>
                      <w:szCs w:val="21"/>
                      <w:lang w:val="en-US" w:eastAsia="zh-CN"/>
                    </w:rPr>
                    <w:t>聚苯乙烯</w:t>
                  </w:r>
                  <w:r>
                    <w:rPr>
                      <w:rFonts w:hint="default" w:ascii="Times New Roman" w:hAnsi="Times New Roman" w:eastAsia="宋体" w:cs="Times New Roman"/>
                      <w:color w:val="auto"/>
                      <w:sz w:val="21"/>
                      <w:szCs w:val="21"/>
                      <w:lang w:val="en-US" w:eastAsia="zh-CN"/>
                    </w:rPr>
                    <w:t>）采用袋装储存，</w:t>
                  </w:r>
                  <w:r>
                    <w:rPr>
                      <w:rFonts w:hint="default" w:ascii="Times New Roman" w:hAnsi="Times New Roman" w:eastAsia="宋体" w:cs="Times New Roman"/>
                      <w:color w:val="auto"/>
                      <w:sz w:val="21"/>
                      <w:szCs w:val="21"/>
                    </w:rPr>
                    <w:t>生产环节产生的有机废气</w:t>
                  </w:r>
                  <w:r>
                    <w:rPr>
                      <w:rFonts w:hint="default" w:ascii="Times New Roman" w:hAnsi="Times New Roman" w:eastAsia="宋体" w:cs="Times New Roman"/>
                      <w:color w:val="auto"/>
                      <w:sz w:val="21"/>
                      <w:szCs w:val="21"/>
                      <w:lang w:val="en-US" w:eastAsia="zh-CN"/>
                    </w:rPr>
                    <w:t>进行局部收集处理，具体为：有机废气</w:t>
                  </w:r>
                  <w:r>
                    <w:rPr>
                      <w:rFonts w:hint="default" w:ascii="Times New Roman" w:hAnsi="Times New Roman" w:eastAsia="宋体" w:cs="Times New Roman"/>
                      <w:color w:val="auto"/>
                      <w:sz w:val="21"/>
                      <w:szCs w:val="21"/>
                    </w:rPr>
                    <w:t>经集气罩收集后通过</w:t>
                  </w:r>
                  <w:r>
                    <w:rPr>
                      <w:rFonts w:hint="eastAsia" w:cs="Times New Roman"/>
                      <w:color w:val="auto"/>
                      <w:sz w:val="21"/>
                      <w:szCs w:val="21"/>
                      <w:lang w:eastAsia="zh-CN"/>
                    </w:rPr>
                    <w:t>两级活性炭</w:t>
                  </w:r>
                  <w:r>
                    <w:rPr>
                      <w:rFonts w:hint="default" w:ascii="Times New Roman" w:hAnsi="Times New Roman" w:eastAsia="宋体" w:cs="Times New Roman"/>
                      <w:color w:val="auto"/>
                      <w:sz w:val="21"/>
                      <w:szCs w:val="21"/>
                      <w:lang w:eastAsia="zh-CN"/>
                    </w:rPr>
                    <w:t>吸附装置</w:t>
                  </w:r>
                  <w:r>
                    <w:rPr>
                      <w:rFonts w:hint="default" w:ascii="Times New Roman" w:hAnsi="Times New Roman" w:eastAsia="宋体" w:cs="Times New Roman"/>
                      <w:color w:val="auto"/>
                      <w:sz w:val="21"/>
                      <w:szCs w:val="21"/>
                    </w:rPr>
                    <w:t>吸附处理后由</w:t>
                  </w:r>
                  <w:r>
                    <w:rPr>
                      <w:rFonts w:hint="default" w:ascii="Times New Roman" w:hAnsi="Times New Roman" w:eastAsia="宋体" w:cs="Times New Roman"/>
                      <w:color w:val="auto"/>
                      <w:sz w:val="21"/>
                      <w:szCs w:val="21"/>
                      <w:lang w:val="en-US" w:eastAsia="zh-CN"/>
                    </w:rPr>
                    <w:t>1根</w:t>
                  </w:r>
                  <w:r>
                    <w:rPr>
                      <w:rFonts w:hint="default" w:ascii="Times New Roman" w:hAnsi="Times New Roman" w:eastAsia="宋体" w:cs="Times New Roman"/>
                      <w:color w:val="auto"/>
                      <w:sz w:val="21"/>
                      <w:szCs w:val="21"/>
                      <w:lang w:eastAsia="zh-CN"/>
                    </w:rPr>
                    <w:t>15m排气筒（DA001）</w:t>
                  </w:r>
                  <w:r>
                    <w:rPr>
                      <w:rFonts w:hint="default" w:ascii="Times New Roman" w:hAnsi="Times New Roman" w:eastAsia="宋体" w:cs="Times New Roman"/>
                      <w:color w:val="auto"/>
                      <w:sz w:val="21"/>
                      <w:szCs w:val="21"/>
                      <w:lang w:val="en-US" w:eastAsia="zh-CN"/>
                    </w:rPr>
                    <w:t>外排</w:t>
                  </w:r>
                  <w:r>
                    <w:rPr>
                      <w:rFonts w:hint="eastAsia"/>
                      <w:color w:val="auto"/>
                      <w:lang w:eastAsia="zh-CN"/>
                    </w:rPr>
                    <w:t>，</w:t>
                  </w:r>
                  <w:r>
                    <w:rPr>
                      <w:rFonts w:hint="eastAsia"/>
                      <w:color w:val="auto"/>
                      <w:sz w:val="21"/>
                      <w:szCs w:val="21"/>
                      <w:lang w:val="en-US" w:eastAsia="zh-CN"/>
                    </w:rPr>
                    <w:t>项目产生的废活性炭经收集后，暂存于危废暂存间，委托有资质的单位进行处置</w:t>
                  </w:r>
                  <w:r>
                    <w:rPr>
                      <w:rFonts w:hint="default" w:ascii="Times New Roman" w:hAnsi="Times New Roman" w:eastAsia="宋体" w:cs="Times New Roman"/>
                      <w:color w:val="auto"/>
                      <w:sz w:val="21"/>
                      <w:szCs w:val="21"/>
                    </w:rPr>
                    <w:t>。</w:t>
                  </w:r>
                </w:p>
              </w:tc>
              <w:tc>
                <w:tcPr>
                  <w:tcW w:w="613" w:type="pct"/>
                  <w:vAlign w:val="center"/>
                </w:tcPr>
                <w:p w14:paraId="08894B63">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7B6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1456AB6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应收尽收</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的原则提升废气收集率。推动取消废气排放系统旁路，因安全生产等原因必须保留的，应将保留旁路清单报当地生态环境部门，旁路在非紧急情况下保持关闭，并通过铅封、安装自动监控设施、流量计等方式加强监管，开启后应及时向当地生态环境部门报告，做好台账记录。将无组织排放转变为有组织排放进行控制，优先采用密闭设备、在密闭空间中操作或采用全密闭集气罩收集方式；对于采用局部集气罩的，应根据废气排放特点合理选择收集点位，距集气罩开口面最远处的VOCs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w:t>
                  </w:r>
                </w:p>
              </w:tc>
              <w:tc>
                <w:tcPr>
                  <w:tcW w:w="1712" w:type="pct"/>
                  <w:vAlign w:val="center"/>
                </w:tcPr>
                <w:p w14:paraId="43032AA8">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rPr>
                    <w:t>本项目有机废气均为</w:t>
                  </w:r>
                  <w:r>
                    <w:rPr>
                      <w:rFonts w:hint="eastAsia" w:cs="Times New Roman"/>
                      <w:color w:val="auto"/>
                      <w:kern w:val="0"/>
                      <w:sz w:val="21"/>
                      <w:szCs w:val="21"/>
                      <w:lang w:eastAsia="zh-CN"/>
                    </w:rPr>
                    <w:t>发泡</w:t>
                  </w:r>
                  <w:r>
                    <w:rPr>
                      <w:rFonts w:hint="default" w:ascii="Times New Roman" w:hAnsi="Times New Roman" w:eastAsia="宋体" w:cs="Times New Roman"/>
                      <w:color w:val="auto"/>
                      <w:kern w:val="0"/>
                      <w:sz w:val="21"/>
                      <w:szCs w:val="21"/>
                    </w:rPr>
                    <w:t>机生产过程中产生，本次将在</w:t>
                  </w:r>
                  <w:r>
                    <w:rPr>
                      <w:rFonts w:hint="eastAsia" w:cs="Times New Roman"/>
                      <w:color w:val="auto"/>
                      <w:kern w:val="0"/>
                      <w:sz w:val="21"/>
                      <w:szCs w:val="21"/>
                      <w:lang w:eastAsia="zh-CN"/>
                    </w:rPr>
                    <w:t>发泡</w:t>
                  </w:r>
                  <w:r>
                    <w:rPr>
                      <w:rFonts w:hint="default" w:ascii="Times New Roman" w:hAnsi="Times New Roman" w:eastAsia="宋体" w:cs="Times New Roman"/>
                      <w:color w:val="auto"/>
                      <w:kern w:val="0"/>
                      <w:sz w:val="21"/>
                      <w:szCs w:val="21"/>
                    </w:rPr>
                    <w:t>机上方设置集气罩，</w:t>
                  </w:r>
                  <w:r>
                    <w:rPr>
                      <w:rFonts w:hint="default" w:ascii="Times New Roman" w:hAnsi="Times New Roman" w:eastAsia="宋体" w:cs="Times New Roman"/>
                      <w:color w:val="auto"/>
                      <w:sz w:val="21"/>
                      <w:szCs w:val="21"/>
                    </w:rPr>
                    <w:t>有机废气经集气罩收集后通过</w:t>
                  </w:r>
                  <w:r>
                    <w:rPr>
                      <w:rFonts w:hint="eastAsia" w:cs="Times New Roman"/>
                      <w:color w:val="auto"/>
                      <w:sz w:val="21"/>
                      <w:szCs w:val="21"/>
                      <w:lang w:eastAsia="zh-CN"/>
                    </w:rPr>
                    <w:t>两级活性炭</w:t>
                  </w:r>
                  <w:r>
                    <w:rPr>
                      <w:rFonts w:hint="default" w:ascii="Times New Roman" w:hAnsi="Times New Roman" w:eastAsia="宋体" w:cs="Times New Roman"/>
                      <w:color w:val="auto"/>
                      <w:sz w:val="21"/>
                      <w:szCs w:val="21"/>
                      <w:lang w:eastAsia="zh-CN"/>
                    </w:rPr>
                    <w:t>吸附装置</w:t>
                  </w:r>
                  <w:r>
                    <w:rPr>
                      <w:rFonts w:hint="default" w:ascii="Times New Roman" w:hAnsi="Times New Roman" w:eastAsia="宋体" w:cs="Times New Roman"/>
                      <w:color w:val="auto"/>
                      <w:sz w:val="21"/>
                      <w:szCs w:val="21"/>
                    </w:rPr>
                    <w:t>吸附处理后由</w:t>
                  </w:r>
                  <w:r>
                    <w:rPr>
                      <w:rFonts w:hint="default" w:ascii="Times New Roman" w:hAnsi="Times New Roman" w:eastAsia="宋体" w:cs="Times New Roman"/>
                      <w:color w:val="auto"/>
                      <w:sz w:val="21"/>
                      <w:szCs w:val="21"/>
                      <w:lang w:val="en-US" w:eastAsia="zh-CN"/>
                    </w:rPr>
                    <w:t>1根</w:t>
                  </w:r>
                  <w:r>
                    <w:rPr>
                      <w:rFonts w:hint="default" w:ascii="Times New Roman" w:hAnsi="Times New Roman" w:eastAsia="宋体" w:cs="Times New Roman"/>
                      <w:color w:val="auto"/>
                      <w:sz w:val="21"/>
                      <w:szCs w:val="21"/>
                      <w:lang w:eastAsia="zh-CN"/>
                    </w:rPr>
                    <w:t>15m排气筒（DA001）</w:t>
                  </w:r>
                  <w:r>
                    <w:rPr>
                      <w:rFonts w:hint="default" w:ascii="Times New Roman" w:hAnsi="Times New Roman" w:eastAsia="宋体" w:cs="Times New Roman"/>
                      <w:color w:val="auto"/>
                      <w:sz w:val="21"/>
                      <w:szCs w:val="21"/>
                      <w:lang w:val="en-US" w:eastAsia="zh-CN"/>
                    </w:rPr>
                    <w:t>外排</w:t>
                  </w: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eastAsia="zh-CN"/>
                    </w:rPr>
                    <w:t>本项目设置风速为</w:t>
                  </w:r>
                  <w:r>
                    <w:rPr>
                      <w:rFonts w:hint="eastAsia" w:cs="Times New Roman"/>
                      <w:color w:val="auto"/>
                      <w:kern w:val="0"/>
                      <w:sz w:val="21"/>
                      <w:szCs w:val="21"/>
                      <w:lang w:val="en-US" w:eastAsia="zh-CN"/>
                    </w:rPr>
                    <w:t>0.8</w:t>
                  </w:r>
                  <w:r>
                    <w:rPr>
                      <w:rFonts w:hint="default" w:ascii="Times New Roman" w:hAnsi="Times New Roman" w:eastAsia="宋体" w:cs="Times New Roman"/>
                      <w:color w:val="auto"/>
                      <w:kern w:val="0"/>
                      <w:sz w:val="21"/>
                      <w:szCs w:val="21"/>
                      <w:lang w:val="en-US" w:eastAsia="zh-CN"/>
                    </w:rPr>
                    <w:t>m/s，满足相关要求，项目生产工序布设于封闭的车间内，车间门窗等</w:t>
                  </w:r>
                  <w:r>
                    <w:rPr>
                      <w:rFonts w:hint="default" w:ascii="Times New Roman" w:hAnsi="Times New Roman" w:eastAsia="宋体" w:cs="Times New Roman"/>
                      <w:color w:val="auto"/>
                      <w:sz w:val="21"/>
                      <w:szCs w:val="21"/>
                    </w:rPr>
                    <w:t>在非必要时保持关闭</w:t>
                  </w:r>
                  <w:r>
                    <w:rPr>
                      <w:rFonts w:hint="default" w:ascii="Times New Roman" w:hAnsi="Times New Roman" w:eastAsia="宋体" w:cs="Times New Roman"/>
                      <w:color w:val="auto"/>
                      <w:sz w:val="21"/>
                      <w:szCs w:val="21"/>
                      <w:lang w:eastAsia="zh-CN"/>
                    </w:rPr>
                    <w:t>。</w:t>
                  </w:r>
                </w:p>
              </w:tc>
              <w:tc>
                <w:tcPr>
                  <w:tcW w:w="613" w:type="pct"/>
                  <w:vAlign w:val="center"/>
                </w:tcPr>
                <w:p w14:paraId="73821E3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C7C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5602F2B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按照与生产设备</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同启同停</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原则提升治理设施运行率。根据处理工艺要求，在处理设施达到正常运行条件后方可启动生产设备，在生产设备停止、残留VOCs废气收集处理完毕后，方可停运处理设施。VOCs废气处理系统发生故障或检修时，对应生产工艺设备应停止运行，待检修完毕后同步投入使用；因安全等因素生产工艺设备不能停止或不能及时停止运行的，应设置废气应急处理设施或采取其他替代措施。</w:t>
                  </w:r>
                </w:p>
              </w:tc>
              <w:tc>
                <w:tcPr>
                  <w:tcW w:w="1712" w:type="pct"/>
                  <w:vAlign w:val="center"/>
                </w:tcPr>
                <w:p w14:paraId="59700EEE">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highlight w:val="none"/>
                      <w:lang w:val="en-US" w:eastAsia="zh-CN"/>
                    </w:rPr>
                    <w:t>本项目治理设施与生产设备</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同启同停</w:t>
                  </w:r>
                  <w:r>
                    <w:rPr>
                      <w:rFonts w:hint="eastAsia" w:cs="Times New Roman"/>
                      <w:color w:val="auto"/>
                      <w:sz w:val="21"/>
                      <w:szCs w:val="21"/>
                      <w:lang w:eastAsia="zh-CN"/>
                    </w:rPr>
                    <w:t>”</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根据处理工艺要求，在处理设施达到正常运行条件后方可启动生产设备，在生产设备停止、残留VOCs废气收集处理完毕后，方可停运处理设施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治理设施发生故障时，应立即停产生产</w:t>
                  </w:r>
                  <w:r>
                    <w:rPr>
                      <w:rFonts w:hint="default" w:ascii="Times New Roman" w:hAnsi="Times New Roman" w:eastAsia="宋体" w:cs="Times New Roman"/>
                      <w:color w:val="auto"/>
                      <w:sz w:val="21"/>
                      <w:szCs w:val="21"/>
                    </w:rPr>
                    <w:t>待检修完毕后同步投入使用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建设单位</w:t>
                  </w:r>
                  <w:r>
                    <w:rPr>
                      <w:rFonts w:hint="default" w:ascii="Times New Roman" w:hAnsi="Times New Roman" w:eastAsia="宋体" w:cs="Times New Roman"/>
                      <w:color w:val="auto"/>
                      <w:sz w:val="21"/>
                      <w:szCs w:val="21"/>
                    </w:rPr>
                    <w:t>因安全等因素生产工艺设备不能停止或不能及时停止运行的，应设置废气应急处理设施或采取其他替代措施。</w:t>
                  </w:r>
                </w:p>
              </w:tc>
              <w:tc>
                <w:tcPr>
                  <w:tcW w:w="613" w:type="pct"/>
                  <w:vAlign w:val="center"/>
                </w:tcPr>
                <w:p w14:paraId="45CE827C">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8F59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674" w:type="pct"/>
                  <w:vAlign w:val="center"/>
                </w:tcPr>
                <w:p w14:paraId="28FC36D2">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适宜高效</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的原则提高治理设施去除率，不得稀释排放。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p>
              </w:tc>
              <w:tc>
                <w:tcPr>
                  <w:tcW w:w="1712" w:type="pct"/>
                  <w:vAlign w:val="center"/>
                </w:tcPr>
                <w:p w14:paraId="02110B51">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本项目</w:t>
                  </w:r>
                  <w:r>
                    <w:rPr>
                      <w:rFonts w:hint="default" w:ascii="Times New Roman" w:hAnsi="Times New Roman" w:eastAsia="宋体" w:cs="Times New Roman"/>
                      <w:color w:val="auto"/>
                      <w:kern w:val="0"/>
                      <w:sz w:val="21"/>
                      <w:szCs w:val="21"/>
                      <w:lang w:val="en-US" w:eastAsia="zh-CN"/>
                    </w:rPr>
                    <w:t>废气治理设施为</w:t>
                  </w:r>
                  <w:r>
                    <w:rPr>
                      <w:rFonts w:hint="eastAsia" w:cs="Times New Roman"/>
                      <w:color w:val="auto"/>
                      <w:kern w:val="0"/>
                      <w:sz w:val="21"/>
                      <w:szCs w:val="21"/>
                      <w:lang w:val="en-US" w:eastAsia="zh-CN"/>
                    </w:rPr>
                    <w:t>两级活性炭</w:t>
                  </w:r>
                  <w:r>
                    <w:rPr>
                      <w:rFonts w:hint="default" w:ascii="Times New Roman" w:hAnsi="Times New Roman" w:eastAsia="宋体" w:cs="Times New Roman"/>
                      <w:color w:val="auto"/>
                      <w:sz w:val="21"/>
                      <w:szCs w:val="21"/>
                      <w:lang w:eastAsia="zh-CN"/>
                    </w:rPr>
                    <w:t>吸附装置，</w:t>
                  </w:r>
                  <w:r>
                    <w:rPr>
                      <w:rFonts w:hint="default" w:ascii="Times New Roman" w:hAnsi="Times New Roman" w:eastAsia="宋体" w:cs="Times New Roman"/>
                      <w:color w:val="auto"/>
                      <w:sz w:val="21"/>
                      <w:szCs w:val="21"/>
                      <w:lang w:val="en-US" w:eastAsia="zh-CN"/>
                    </w:rPr>
                    <w:t>建设单位</w:t>
                  </w:r>
                  <w:r>
                    <w:rPr>
                      <w:rFonts w:hint="default" w:ascii="Times New Roman" w:hAnsi="Times New Roman" w:eastAsia="宋体" w:cs="Times New Roman"/>
                      <w:color w:val="auto"/>
                      <w:sz w:val="21"/>
                      <w:szCs w:val="21"/>
                    </w:rPr>
                    <w:t>应选择碘值不低于800毫克/克的活性炭</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同时应及时更换活性炭，保证去除效率</w:t>
                  </w:r>
                </w:p>
              </w:tc>
              <w:tc>
                <w:tcPr>
                  <w:tcW w:w="613" w:type="pct"/>
                  <w:vAlign w:val="center"/>
                </w:tcPr>
                <w:p w14:paraId="71CD2639">
                  <w:pPr>
                    <w:keepNext w:val="0"/>
                    <w:keepLines w:val="0"/>
                    <w:pageBreakBefore w:val="0"/>
                    <w:widowControl w:val="0"/>
                    <w:tabs>
                      <w:tab w:val="left" w:pos="4830"/>
                    </w:tabs>
                    <w:kinsoku/>
                    <w:wordWrap/>
                    <w:overflowPunct/>
                    <w:topLinePunct w:val="0"/>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4824BFDC">
            <w:pPr>
              <w:keepNext w:val="0"/>
              <w:keepLines w:val="0"/>
              <w:pageBreakBefore w:val="0"/>
              <w:widowControl w:val="0"/>
              <w:numPr>
                <w:ilvl w:val="0"/>
                <w:numId w:val="0"/>
              </w:numPr>
              <w:tabs>
                <w:tab w:val="left" w:pos="4830"/>
              </w:tabs>
              <w:kinsoku/>
              <w:wordWrap/>
              <w:overflowPunct/>
              <w:topLinePunct w:val="0"/>
              <w:autoSpaceDE w:val="0"/>
              <w:autoSpaceDN w:val="0"/>
              <w:bidi w:val="0"/>
              <w:adjustRightInd/>
              <w:snapToGrid/>
              <w:spacing w:line="360" w:lineRule="auto"/>
              <w:ind w:leftChars="0" w:firstLine="480" w:firstLineChars="200"/>
              <w:textAlignment w:val="auto"/>
              <w:rPr>
                <w:rFonts w:hint="eastAsia" w:ascii="Times New Roman" w:hAnsi="Times New Roman" w:cs="Times New Roman"/>
                <w:color w:val="auto"/>
                <w:kern w:val="0"/>
                <w:sz w:val="24"/>
                <w:lang w:val="en-US" w:eastAsia="zh-CN"/>
              </w:rPr>
            </w:pPr>
            <w:r>
              <w:rPr>
                <w:rFonts w:hint="eastAsia" w:ascii="Times New Roman" w:hAnsi="Times New Roman" w:cs="Times New Roman"/>
                <w:color w:val="auto"/>
                <w:kern w:val="0"/>
                <w:sz w:val="24"/>
                <w:lang w:val="en-US" w:eastAsia="zh-CN"/>
              </w:rPr>
              <w:t>综上所述，项目与《2020年挥发性有机物治理攻坚方案》的相关内容相符。</w:t>
            </w:r>
          </w:p>
          <w:p w14:paraId="55EB2F47">
            <w:pPr>
              <w:keepNext w:val="0"/>
              <w:keepLines w:val="0"/>
              <w:pageBreakBefore w:val="0"/>
              <w:widowControl w:val="0"/>
              <w:numPr>
                <w:ilvl w:val="0"/>
                <w:numId w:val="0"/>
              </w:numPr>
              <w:tabs>
                <w:tab w:val="left" w:pos="4830"/>
              </w:tabs>
              <w:kinsoku/>
              <w:wordWrap/>
              <w:overflowPunct/>
              <w:topLinePunct w:val="0"/>
              <w:autoSpaceDE w:val="0"/>
              <w:autoSpaceDN w:val="0"/>
              <w:bidi w:val="0"/>
              <w:adjustRightInd/>
              <w:snapToGrid/>
              <w:spacing w:before="157" w:beforeLines="50" w:line="360" w:lineRule="auto"/>
              <w:ind w:leftChars="0"/>
              <w:textAlignment w:val="auto"/>
              <w:rPr>
                <w:rFonts w:hint="eastAsia" w:ascii="Times New Roman" w:hAnsi="Times New Roman" w:cs="Times New Roman"/>
                <w:b/>
                <w:bCs/>
                <w:color w:val="auto"/>
                <w:kern w:val="0"/>
                <w:sz w:val="24"/>
                <w:lang w:val="en-US" w:eastAsia="zh-CN"/>
              </w:rPr>
            </w:pPr>
            <w:r>
              <w:rPr>
                <w:rFonts w:hint="eastAsia" w:cs="Times New Roman"/>
                <w:b/>
                <w:bCs/>
                <w:color w:val="auto"/>
                <w:kern w:val="0"/>
                <w:sz w:val="24"/>
                <w:lang w:val="en-US" w:eastAsia="zh-CN"/>
              </w:rPr>
              <w:t>14、</w:t>
            </w:r>
            <w:r>
              <w:rPr>
                <w:rFonts w:hint="eastAsia" w:ascii="Times New Roman" w:hAnsi="Times New Roman" w:cs="Times New Roman"/>
                <w:b/>
                <w:bCs/>
                <w:color w:val="auto"/>
                <w:kern w:val="0"/>
                <w:sz w:val="24"/>
                <w:lang w:val="en-US" w:eastAsia="zh-CN"/>
              </w:rPr>
              <w:t>项目与</w:t>
            </w:r>
            <w:r>
              <w:rPr>
                <w:rFonts w:hint="eastAsia" w:ascii="Times New Roman" w:hAnsi="Times New Roman" w:cs="Times New Roman"/>
                <w:b/>
                <w:bCs/>
                <w:color w:val="auto"/>
                <w:kern w:val="0"/>
                <w:sz w:val="24"/>
                <w:lang w:eastAsia="zh-CN"/>
              </w:rPr>
              <w:t>《空气质量持续改善行动计划》（</w:t>
            </w:r>
            <w:r>
              <w:rPr>
                <w:rFonts w:hint="default" w:ascii="Times New Roman" w:hAnsi="Times New Roman" w:cs="Times New Roman"/>
                <w:b/>
                <w:bCs/>
                <w:color w:val="auto"/>
                <w:kern w:val="0"/>
                <w:sz w:val="24"/>
              </w:rPr>
              <w:t>国发〔2023〕24号</w:t>
            </w:r>
            <w:r>
              <w:rPr>
                <w:rFonts w:hint="eastAsia" w:ascii="Times New Roman" w:hAnsi="Times New Roman" w:cs="Times New Roman"/>
                <w:b/>
                <w:bCs/>
                <w:color w:val="auto"/>
                <w:kern w:val="0"/>
                <w:sz w:val="24"/>
                <w:lang w:eastAsia="zh-CN"/>
              </w:rPr>
              <w:t>）</w:t>
            </w:r>
            <w:r>
              <w:rPr>
                <w:rFonts w:hint="eastAsia" w:ascii="Times New Roman" w:hAnsi="Times New Roman" w:cs="Times New Roman"/>
                <w:b/>
                <w:bCs/>
                <w:color w:val="auto"/>
                <w:kern w:val="0"/>
                <w:sz w:val="24"/>
                <w:lang w:val="en-US" w:eastAsia="zh-CN"/>
              </w:rPr>
              <w:t>的符合性分析</w:t>
            </w:r>
          </w:p>
          <w:p w14:paraId="018ED4E8">
            <w:pPr>
              <w:keepNext w:val="0"/>
              <w:keepLines w:val="0"/>
              <w:pageBreakBefore w:val="0"/>
              <w:widowControl w:val="0"/>
              <w:numPr>
                <w:ilvl w:val="0"/>
                <w:numId w:val="0"/>
              </w:numPr>
              <w:tabs>
                <w:tab w:val="left" w:pos="4830"/>
              </w:tabs>
              <w:kinsoku/>
              <w:wordWrap/>
              <w:overflowPunct/>
              <w:topLinePunct w:val="0"/>
              <w:autoSpaceDE w:val="0"/>
              <w:autoSpaceDN w:val="0"/>
              <w:bidi w:val="0"/>
              <w:adjustRightInd/>
              <w:snapToGrid/>
              <w:spacing w:line="360" w:lineRule="auto"/>
              <w:ind w:leftChars="0" w:firstLine="480" w:firstLineChars="200"/>
              <w:textAlignment w:val="auto"/>
              <w:rPr>
                <w:rFonts w:hint="eastAsia" w:ascii="Times New Roman" w:hAnsi="Times New Roman" w:eastAsia="宋体" w:cs="Times New Roman"/>
                <w:color w:val="auto"/>
                <w:kern w:val="0"/>
                <w:sz w:val="24"/>
                <w:lang w:val="en-US" w:eastAsia="zh-CN"/>
              </w:rPr>
            </w:pPr>
            <w:r>
              <w:rPr>
                <w:rFonts w:hint="default" w:ascii="Times New Roman" w:hAnsi="Times New Roman" w:cs="Times New Roman"/>
                <w:color w:val="auto"/>
                <w:kern w:val="0"/>
                <w:sz w:val="24"/>
              </w:rPr>
              <w:t>本项目与《</w:t>
            </w:r>
            <w:r>
              <w:rPr>
                <w:rFonts w:hint="eastAsia" w:ascii="Times New Roman" w:hAnsi="Times New Roman" w:cs="Times New Roman"/>
                <w:color w:val="auto"/>
                <w:kern w:val="0"/>
                <w:sz w:val="24"/>
                <w:lang w:eastAsia="zh-CN"/>
              </w:rPr>
              <w:t>空气质量持续改善行动计划</w:t>
            </w:r>
            <w:r>
              <w:rPr>
                <w:rFonts w:hint="default" w:ascii="Times New Roman" w:hAnsi="Times New Roman" w:cs="Times New Roman"/>
                <w:color w:val="auto"/>
                <w:kern w:val="0"/>
                <w:sz w:val="24"/>
              </w:rPr>
              <w:t>》相符性分析详见下表</w:t>
            </w:r>
            <w:r>
              <w:rPr>
                <w:rFonts w:hint="eastAsia" w:cs="Times New Roman"/>
                <w:color w:val="auto"/>
                <w:kern w:val="0"/>
                <w:sz w:val="24"/>
                <w:lang w:eastAsia="zh-CN"/>
              </w:rPr>
              <w:t>。</w:t>
            </w:r>
          </w:p>
          <w:p w14:paraId="1EC56D7A">
            <w:pPr>
              <w:spacing w:line="240" w:lineRule="auto"/>
              <w:rPr>
                <w:rFonts w:hint="default"/>
                <w:b/>
                <w:bCs/>
                <w:color w:val="auto"/>
                <w:lang w:val="en-US" w:eastAsia="zh-CN"/>
              </w:rPr>
            </w:pPr>
            <w:r>
              <w:rPr>
                <w:rFonts w:hint="eastAsia"/>
                <w:b/>
                <w:bCs/>
                <w:color w:val="auto"/>
                <w:lang w:val="en-US" w:eastAsia="zh-CN"/>
              </w:rPr>
              <w:t>表11  项目与</w:t>
            </w:r>
            <w:r>
              <w:rPr>
                <w:rFonts w:hint="default"/>
                <w:b/>
                <w:bCs/>
                <w:color w:val="auto"/>
                <w:lang w:val="en-US" w:eastAsia="zh-CN"/>
              </w:rPr>
              <w:t>《</w:t>
            </w:r>
            <w:r>
              <w:rPr>
                <w:rFonts w:hint="eastAsia"/>
                <w:b/>
                <w:bCs/>
                <w:color w:val="auto"/>
                <w:lang w:val="en-US" w:eastAsia="zh-CN"/>
              </w:rPr>
              <w:t>空气质量持续改善行动计划</w:t>
            </w:r>
            <w:r>
              <w:rPr>
                <w:rFonts w:hint="default"/>
                <w:b/>
                <w:bCs/>
                <w:color w:val="auto"/>
                <w:lang w:val="en-US" w:eastAsia="zh-CN"/>
              </w:rPr>
              <w:t>》相符性分析</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4"/>
              <w:gridCol w:w="2853"/>
              <w:gridCol w:w="668"/>
            </w:tblGrid>
            <w:tr w14:paraId="2D812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2393" w:type="pct"/>
                  <w:vAlign w:val="center"/>
                </w:tcPr>
                <w:p w14:paraId="5CB9A906">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eastAsia="zh-CN"/>
                    </w:rPr>
                    <w:t>空气质量持续改善行动计划</w:t>
                  </w:r>
                  <w:r>
                    <w:rPr>
                      <w:rFonts w:hint="default" w:ascii="Times New Roman" w:hAnsi="Times New Roman" w:cs="Times New Roman" w:eastAsiaTheme="minorEastAsia"/>
                      <w:b/>
                      <w:bCs/>
                      <w:color w:val="auto"/>
                      <w:sz w:val="21"/>
                      <w:szCs w:val="21"/>
                      <w:lang w:val="en-US" w:eastAsia="zh-CN"/>
                    </w:rPr>
                    <w:t>要求</w:t>
                  </w:r>
                </w:p>
              </w:tc>
              <w:tc>
                <w:tcPr>
                  <w:tcW w:w="2111" w:type="pct"/>
                  <w:vAlign w:val="center"/>
                </w:tcPr>
                <w:p w14:paraId="08D27AF5">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本项目</w:t>
                  </w:r>
                  <w:r>
                    <w:rPr>
                      <w:rFonts w:hint="default" w:ascii="Times New Roman" w:hAnsi="Times New Roman" w:cs="Times New Roman" w:eastAsiaTheme="minorEastAsia"/>
                      <w:b/>
                      <w:bCs/>
                      <w:color w:val="auto"/>
                      <w:sz w:val="21"/>
                      <w:szCs w:val="21"/>
                      <w:lang w:val="en-US" w:eastAsia="zh-CN"/>
                    </w:rPr>
                    <w:t>实际</w:t>
                  </w:r>
                  <w:r>
                    <w:rPr>
                      <w:rFonts w:hint="default" w:ascii="Times New Roman" w:hAnsi="Times New Roman" w:cs="Times New Roman" w:eastAsiaTheme="minorEastAsia"/>
                      <w:b/>
                      <w:bCs/>
                      <w:color w:val="auto"/>
                      <w:sz w:val="21"/>
                      <w:szCs w:val="21"/>
                    </w:rPr>
                    <w:t>情况</w:t>
                  </w:r>
                </w:p>
              </w:tc>
              <w:tc>
                <w:tcPr>
                  <w:tcW w:w="494" w:type="pct"/>
                  <w:vAlign w:val="center"/>
                </w:tcPr>
                <w:p w14:paraId="0AED1549">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符合性</w:t>
                  </w:r>
                </w:p>
              </w:tc>
            </w:tr>
            <w:tr w14:paraId="15AF7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7" w:hRule="atLeast"/>
              </w:trPr>
              <w:tc>
                <w:tcPr>
                  <w:tcW w:w="2393" w:type="pct"/>
                  <w:vAlign w:val="center"/>
                </w:tcPr>
                <w:p w14:paraId="56D80937">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坚决遏制高耗能、高排放、低水平项目盲目上马。新改扩建项目严格落实国家产业规划、产业政策、生态环境分区管控方案、规划环评、项目环评、节能审查、产能置换、重点污染物总量控制、污染物排放区域削减、碳排放达峰目标等相关要求，原则上采用清洁运输方式。</w:t>
                  </w:r>
                </w:p>
              </w:tc>
              <w:tc>
                <w:tcPr>
                  <w:tcW w:w="2111" w:type="pct"/>
                  <w:vAlign w:val="center"/>
                </w:tcPr>
                <w:p w14:paraId="60167947">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本项目不属于高耗能、高排放、低水平项目，对照《产业结构调整指导目录（2024年本）》，本项目为允许类，项目于2025年06月05日取得了红塔区发展和改革局签发的投资项目备案证，建设单位应严格落实国家产业规划、产业政策、生态环境分区管控方案、规划环评、项目环评、节能审查、产能置换、重点污染物总量控制、污染物排放区域削减、碳排放达峰目标等相关要求，采用清洁的运输方式，如新能源汽车运输等。</w:t>
                  </w:r>
                </w:p>
              </w:tc>
              <w:tc>
                <w:tcPr>
                  <w:tcW w:w="494" w:type="pct"/>
                  <w:vAlign w:val="center"/>
                </w:tcPr>
                <w:p w14:paraId="2BBB7C86">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符合</w:t>
                  </w:r>
                </w:p>
                <w:p w14:paraId="10B0390D">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r>
            <w:tr w14:paraId="5041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2393" w:type="pct"/>
                  <w:vAlign w:val="center"/>
                </w:tcPr>
                <w:p w14:paraId="4104618E">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优化含VOCs原辅材料和产品结构。严格控制生产和使用高VOCs含量涂料、油墨、胶粘剂、清洗剂等建设项目，提高低（无）VOCs含量产品比重。实施源头替代工程，加大工业涂装、包装印刷和电子行业低（无）VOCs含量原辅材料替代力度。室外构筑物防护和城市道路交通标志推广使用低（无）VOCs含量涂料。在生产、销售、进口、使用等环节严格执行VOCs含量限值标准。</w:t>
                  </w:r>
                </w:p>
              </w:tc>
              <w:tc>
                <w:tcPr>
                  <w:tcW w:w="2111" w:type="pct"/>
                  <w:vAlign w:val="center"/>
                </w:tcPr>
                <w:p w14:paraId="0910ACA2">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both"/>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本项目</w:t>
                  </w:r>
                  <w:r>
                    <w:rPr>
                      <w:rFonts w:hint="default" w:ascii="Times New Roman" w:hAnsi="Times New Roman" w:cs="Times New Roman" w:eastAsiaTheme="minorEastAsia"/>
                      <w:bCs/>
                      <w:color w:val="auto"/>
                      <w:sz w:val="21"/>
                      <w:szCs w:val="21"/>
                      <w:lang w:val="en-US" w:eastAsia="zh-CN"/>
                    </w:rPr>
                    <w:t>不属于</w:t>
                  </w:r>
                  <w:r>
                    <w:rPr>
                      <w:rFonts w:hint="default" w:ascii="Times New Roman" w:hAnsi="Times New Roman" w:cs="Times New Roman" w:eastAsiaTheme="minorEastAsia"/>
                      <w:b w:val="0"/>
                      <w:bCs w:val="0"/>
                      <w:color w:val="auto"/>
                      <w:sz w:val="21"/>
                      <w:szCs w:val="21"/>
                      <w:lang w:val="en-US" w:eastAsia="zh-CN"/>
                    </w:rPr>
                    <w:t>高VOCs含量的涂料、油墨、胶粘剂、清洗剂等产品，本项目不属于工业涂装、包装印刷、电子行业和室外构筑物防护和城市道路交通标志推广使用低（无）VOCs含量涂料，本项目为塑料制品生产，主要使用</w:t>
                  </w:r>
                  <w:r>
                    <w:rPr>
                      <w:rFonts w:hint="default" w:ascii="Times New Roman" w:hAnsi="Times New Roman" w:cs="Times New Roman" w:eastAsiaTheme="minorEastAsia"/>
                      <w:color w:val="auto"/>
                      <w:sz w:val="21"/>
                      <w:szCs w:val="21"/>
                      <w:lang w:val="en-US" w:eastAsia="zh-CN"/>
                    </w:rPr>
                    <w:t>聚苯乙烯</w:t>
                  </w:r>
                  <w:r>
                    <w:rPr>
                      <w:rFonts w:hint="default" w:ascii="Times New Roman" w:hAnsi="Times New Roman" w:cs="Times New Roman" w:eastAsiaTheme="minorEastAsia"/>
                      <w:bCs/>
                      <w:color w:val="auto"/>
                      <w:sz w:val="21"/>
                      <w:szCs w:val="21"/>
                      <w:lang w:val="en-US" w:eastAsia="zh-CN"/>
                    </w:rPr>
                    <w:t>来生产塑料颗粒</w:t>
                  </w:r>
                  <w:r>
                    <w:rPr>
                      <w:rFonts w:hint="default" w:ascii="Times New Roman" w:hAnsi="Times New Roman" w:cs="Times New Roman" w:eastAsiaTheme="minorEastAsia"/>
                      <w:bCs/>
                      <w:color w:val="auto"/>
                      <w:sz w:val="21"/>
                      <w:szCs w:val="21"/>
                      <w:lang w:eastAsia="zh-CN"/>
                    </w:rPr>
                    <w:t>，</w:t>
                  </w:r>
                  <w:r>
                    <w:rPr>
                      <w:rFonts w:hint="default" w:ascii="Times New Roman" w:hAnsi="Times New Roman" w:cs="Times New Roman" w:eastAsiaTheme="minorEastAsia"/>
                      <w:bCs/>
                      <w:color w:val="auto"/>
                      <w:sz w:val="21"/>
                      <w:szCs w:val="21"/>
                      <w:lang w:val="en-US" w:eastAsia="zh-CN"/>
                    </w:rPr>
                    <w:t>原辅材料均为低</w:t>
                  </w:r>
                  <w:r>
                    <w:rPr>
                      <w:rFonts w:hint="default" w:ascii="Times New Roman" w:hAnsi="Times New Roman" w:cs="Times New Roman" w:eastAsiaTheme="minorEastAsia"/>
                      <w:b w:val="0"/>
                      <w:bCs w:val="0"/>
                      <w:color w:val="auto"/>
                      <w:sz w:val="21"/>
                      <w:szCs w:val="21"/>
                      <w:lang w:val="en-US" w:eastAsia="zh-CN"/>
                    </w:rPr>
                    <w:t>VOCs含量的材料</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详见附件10</w:t>
                  </w:r>
                  <w:r>
                    <w:rPr>
                      <w:rFonts w:hint="default" w:ascii="Times New Roman" w:hAnsi="Times New Roman" w:cs="Times New Roman" w:eastAsiaTheme="minorEastAsia"/>
                      <w:color w:val="auto"/>
                      <w:sz w:val="21"/>
                      <w:szCs w:val="21"/>
                      <w:lang w:eastAsia="zh-CN"/>
                    </w:rPr>
                    <w:t>）</w:t>
                  </w:r>
                </w:p>
              </w:tc>
              <w:tc>
                <w:tcPr>
                  <w:tcW w:w="494" w:type="pct"/>
                  <w:vAlign w:val="center"/>
                </w:tcPr>
                <w:p w14:paraId="1A877A95">
                  <w:pPr>
                    <w:keepNext w:val="0"/>
                    <w:keepLines w:val="0"/>
                    <w:pageBreakBefore w:val="0"/>
                    <w:widowControl w:val="0"/>
                    <w:tabs>
                      <w:tab w:val="left" w:pos="4830"/>
                    </w:tabs>
                    <w:kinsoku/>
                    <w:wordWrap/>
                    <w:overflowPunct/>
                    <w:topLinePunct w:val="0"/>
                    <w:autoSpaceDE w:val="0"/>
                    <w:autoSpaceDN w:val="0"/>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符合</w:t>
                  </w:r>
                </w:p>
              </w:tc>
            </w:tr>
          </w:tbl>
          <w:p w14:paraId="5BAC11CE">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kern w:val="0"/>
                <w:sz w:val="24"/>
                <w:szCs w:val="24"/>
                <w:lang w:val="en-US" w:eastAsia="zh-CN"/>
              </w:rPr>
            </w:pPr>
            <w:r>
              <w:rPr>
                <w:rFonts w:hint="eastAsia" w:ascii="Times New Roman" w:hAnsi="Times New Roman" w:cs="Times New Roman"/>
                <w:color w:val="auto"/>
                <w:kern w:val="0"/>
                <w:sz w:val="24"/>
                <w:szCs w:val="24"/>
                <w:lang w:val="en-US" w:eastAsia="zh-CN"/>
              </w:rPr>
              <w:t>综上所述，项目与《空气质量持续改善行动计划》的相关内容相符。</w:t>
            </w:r>
          </w:p>
          <w:p w14:paraId="0542C35D">
            <w:pPr>
              <w:pStyle w:val="19"/>
              <w:keepNext w:val="0"/>
              <w:keepLines w:val="0"/>
              <w:pageBreakBefore w:val="0"/>
              <w:widowControl w:val="0"/>
              <w:numPr>
                <w:ilvl w:val="0"/>
                <w:numId w:val="0"/>
              </w:numPr>
              <w:tabs>
                <w:tab w:val="left" w:pos="4830"/>
              </w:tabs>
              <w:kinsoku/>
              <w:wordWrap/>
              <w:overflowPunct/>
              <w:topLinePunct w:val="0"/>
              <w:autoSpaceDE/>
              <w:autoSpaceDN/>
              <w:bidi w:val="0"/>
              <w:adjustRightInd/>
              <w:snapToGrid/>
              <w:spacing w:after="0" w:line="360" w:lineRule="auto"/>
              <w:ind w:leftChars="0"/>
              <w:textAlignment w:val="auto"/>
              <w:rPr>
                <w:rFonts w:hint="eastAsia" w:ascii="Times New Roman" w:hAnsi="Times New Roman" w:cs="Times New Roman"/>
                <w:b/>
                <w:bCs/>
                <w:color w:val="auto"/>
                <w:sz w:val="24"/>
                <w:lang w:val="en-US" w:eastAsia="zh-CN"/>
              </w:rPr>
            </w:pPr>
            <w:r>
              <w:rPr>
                <w:rFonts w:hint="eastAsia" w:cs="Times New Roman"/>
                <w:b/>
                <w:bCs/>
                <w:color w:val="auto"/>
                <w:sz w:val="24"/>
                <w:lang w:val="en-US" w:eastAsia="zh-CN"/>
              </w:rPr>
              <w:t>15、</w:t>
            </w:r>
            <w:r>
              <w:rPr>
                <w:rFonts w:hint="eastAsia" w:ascii="Times New Roman" w:hAnsi="Times New Roman" w:cs="Times New Roman"/>
                <w:b/>
                <w:bCs/>
                <w:color w:val="auto"/>
                <w:sz w:val="24"/>
                <w:lang w:val="en-US" w:eastAsia="zh-CN"/>
              </w:rPr>
              <w:t>项目与</w:t>
            </w:r>
            <w:r>
              <w:rPr>
                <w:rFonts w:hint="eastAsia" w:ascii="Times New Roman" w:hAnsi="Times New Roman" w:cs="Times New Roman"/>
                <w:b/>
                <w:bCs/>
                <w:color w:val="auto"/>
                <w:sz w:val="24"/>
                <w:lang w:eastAsia="zh-CN"/>
              </w:rPr>
              <w:t>《云南省关于深入打好污染防治攻坚战实施方案》（</w:t>
            </w:r>
            <w:r>
              <w:rPr>
                <w:rFonts w:hint="default" w:ascii="Times New Roman" w:hAnsi="Times New Roman" w:cs="Times New Roman"/>
                <w:b/>
                <w:bCs/>
                <w:color w:val="auto"/>
                <w:sz w:val="24"/>
              </w:rPr>
              <w:t>2022年7月21日</w:t>
            </w:r>
            <w:r>
              <w:rPr>
                <w:rFonts w:hint="eastAsia" w:ascii="Times New Roman" w:hAnsi="Times New Roman" w:cs="Times New Roman"/>
                <w:b/>
                <w:bCs/>
                <w:color w:val="auto"/>
                <w:sz w:val="24"/>
                <w:lang w:eastAsia="zh-CN"/>
              </w:rPr>
              <w:t>）</w:t>
            </w:r>
            <w:r>
              <w:rPr>
                <w:rFonts w:hint="eastAsia" w:ascii="Times New Roman" w:hAnsi="Times New Roman" w:cs="Times New Roman"/>
                <w:b/>
                <w:bCs/>
                <w:color w:val="auto"/>
                <w:sz w:val="24"/>
                <w:lang w:val="en-US" w:eastAsia="zh-CN"/>
              </w:rPr>
              <w:t>的符合性分析</w:t>
            </w:r>
          </w:p>
          <w:p w14:paraId="0202213A">
            <w:pPr>
              <w:keepNext w:val="0"/>
              <w:pageBreakBefore w:val="0"/>
              <w:tabs>
                <w:tab w:val="left" w:pos="4830"/>
              </w:tabs>
              <w:kinsoku/>
              <w:overflowPunct/>
              <w:bidi w:val="0"/>
              <w:spacing w:line="360" w:lineRule="auto"/>
              <w:ind w:firstLine="480" w:firstLineChars="200"/>
              <w:rPr>
                <w:rFonts w:hint="default"/>
                <w:color w:val="auto"/>
                <w:lang w:val="en-US" w:eastAsia="zh-CN"/>
              </w:rPr>
            </w:pPr>
            <w:r>
              <w:rPr>
                <w:rFonts w:hint="default" w:ascii="Times New Roman" w:hAnsi="Times New Roman" w:cs="Times New Roman"/>
                <w:color w:val="auto"/>
                <w:kern w:val="0"/>
                <w:sz w:val="24"/>
                <w:szCs w:val="24"/>
              </w:rPr>
              <w:t>本项目与《</w:t>
            </w:r>
            <w:r>
              <w:rPr>
                <w:rFonts w:hint="eastAsia" w:ascii="Times New Roman" w:hAnsi="Times New Roman" w:cs="Times New Roman"/>
                <w:color w:val="auto"/>
                <w:kern w:val="0"/>
                <w:sz w:val="24"/>
                <w:szCs w:val="24"/>
                <w:lang w:eastAsia="zh-CN"/>
              </w:rPr>
              <w:t>云南省关于深入打好污染防治攻坚战实施方案</w:t>
            </w:r>
            <w:r>
              <w:rPr>
                <w:rFonts w:hint="default" w:ascii="Times New Roman" w:hAnsi="Times New Roman" w:cs="Times New Roman"/>
                <w:color w:val="auto"/>
                <w:kern w:val="0"/>
                <w:sz w:val="24"/>
                <w:szCs w:val="24"/>
              </w:rPr>
              <w:t>》相符性分析详见下表</w:t>
            </w:r>
            <w:r>
              <w:rPr>
                <w:rFonts w:hint="eastAsia" w:cs="Times New Roman"/>
                <w:color w:val="auto"/>
                <w:kern w:val="0"/>
                <w:sz w:val="24"/>
                <w:szCs w:val="24"/>
                <w:lang w:eastAsia="zh-CN"/>
              </w:rPr>
              <w:t>。</w:t>
            </w:r>
          </w:p>
          <w:p w14:paraId="0D051F3F">
            <w:pPr>
              <w:pStyle w:val="19"/>
              <w:keepNext w:val="0"/>
              <w:keepLines w:val="0"/>
              <w:pageBreakBefore w:val="0"/>
              <w:widowControl w:val="0"/>
              <w:tabs>
                <w:tab w:val="left" w:pos="4830"/>
              </w:tabs>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cs="Times New Roman"/>
                <w:b/>
                <w:bCs/>
                <w:color w:val="auto"/>
                <w:sz w:val="24"/>
                <w:szCs w:val="24"/>
                <w:lang w:eastAsia="zh-CN"/>
              </w:rPr>
            </w:pPr>
            <w:r>
              <w:rPr>
                <w:rFonts w:hint="eastAsia" w:ascii="Times New Roman" w:hAnsi="Times New Roman" w:cs="Times New Roman"/>
                <w:b/>
                <w:bCs/>
                <w:color w:val="auto"/>
                <w:sz w:val="24"/>
                <w:szCs w:val="24"/>
                <w:lang w:val="en-US" w:eastAsia="zh-CN"/>
              </w:rPr>
              <w:t>表 1</w:t>
            </w:r>
            <w:r>
              <w:rPr>
                <w:rFonts w:hint="eastAsia" w:cs="Times New Roman"/>
                <w:b/>
                <w:bCs/>
                <w:color w:val="auto"/>
                <w:sz w:val="24"/>
                <w:szCs w:val="24"/>
                <w:lang w:val="en-US" w:eastAsia="zh-CN"/>
              </w:rPr>
              <w:t xml:space="preserve">2 </w:t>
            </w:r>
            <w:r>
              <w:rPr>
                <w:rFonts w:hint="eastAsia" w:ascii="Times New Roman" w:hAnsi="Times New Roman" w:cs="Times New Roman"/>
                <w:b/>
                <w:bCs/>
                <w:color w:val="auto"/>
                <w:sz w:val="24"/>
                <w:szCs w:val="24"/>
                <w:lang w:val="en-US" w:eastAsia="zh-CN"/>
              </w:rPr>
              <w:t xml:space="preserve"> 项目与</w:t>
            </w:r>
            <w:r>
              <w:rPr>
                <w:rFonts w:hint="default" w:ascii="Times New Roman" w:hAnsi="Times New Roman" w:cs="Times New Roman"/>
                <w:b/>
                <w:bCs/>
                <w:color w:val="auto"/>
                <w:sz w:val="24"/>
                <w:szCs w:val="24"/>
              </w:rPr>
              <w:t>《</w:t>
            </w:r>
            <w:r>
              <w:rPr>
                <w:rFonts w:hint="eastAsia" w:ascii="Times New Roman" w:hAnsi="Times New Roman" w:cs="Times New Roman"/>
                <w:b/>
                <w:bCs/>
                <w:color w:val="auto"/>
                <w:sz w:val="24"/>
                <w:szCs w:val="24"/>
                <w:lang w:eastAsia="zh-CN"/>
              </w:rPr>
              <w:t>云南省关于深入打好污染防治攻坚战实</w:t>
            </w:r>
          </w:p>
          <w:p w14:paraId="3EBDCE00">
            <w:pPr>
              <w:pStyle w:val="19"/>
              <w:keepNext w:val="0"/>
              <w:keepLines w:val="0"/>
              <w:pageBreakBefore w:val="0"/>
              <w:widowControl w:val="0"/>
              <w:tabs>
                <w:tab w:val="left" w:pos="4830"/>
              </w:tabs>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eastAsia="zh-CN"/>
              </w:rPr>
              <w:t>施方案</w:t>
            </w:r>
            <w:r>
              <w:rPr>
                <w:rFonts w:hint="default" w:ascii="Times New Roman" w:hAnsi="Times New Roman" w:cs="Times New Roman"/>
                <w:b/>
                <w:bCs/>
                <w:color w:val="auto"/>
                <w:sz w:val="24"/>
                <w:szCs w:val="24"/>
              </w:rPr>
              <w:t>》相符性分析</w:t>
            </w:r>
          </w:p>
          <w:tbl>
            <w:tblPr>
              <w:tblStyle w:val="34"/>
              <w:tblW w:w="6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6"/>
              <w:gridCol w:w="3510"/>
              <w:gridCol w:w="852"/>
            </w:tblGrid>
            <w:tr w14:paraId="5AE0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2416" w:type="dxa"/>
                  <w:vAlign w:val="center"/>
                </w:tcPr>
                <w:p w14:paraId="60EFEE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lang w:eastAsia="zh-CN"/>
                    </w:rPr>
                    <w:t>攻坚战实施方案</w:t>
                  </w:r>
                  <w:r>
                    <w:rPr>
                      <w:rFonts w:hint="default" w:ascii="Times New Roman" w:hAnsi="Times New Roman" w:eastAsia="宋体" w:cs="Times New Roman"/>
                      <w:b/>
                      <w:bCs/>
                      <w:color w:val="auto"/>
                      <w:sz w:val="21"/>
                      <w:szCs w:val="21"/>
                      <w:lang w:val="en-US" w:eastAsia="zh-CN"/>
                    </w:rPr>
                    <w:t>要求</w:t>
                  </w:r>
                </w:p>
              </w:tc>
              <w:tc>
                <w:tcPr>
                  <w:tcW w:w="3510" w:type="dxa"/>
                  <w:vAlign w:val="center"/>
                </w:tcPr>
                <w:p w14:paraId="4CFCA4EB">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本项目</w:t>
                  </w:r>
                  <w:r>
                    <w:rPr>
                      <w:rFonts w:hint="default" w:ascii="Times New Roman" w:hAnsi="Times New Roman" w:eastAsia="宋体" w:cs="Times New Roman"/>
                      <w:b/>
                      <w:bCs/>
                      <w:color w:val="auto"/>
                      <w:sz w:val="21"/>
                      <w:szCs w:val="21"/>
                      <w:lang w:val="en-US" w:eastAsia="zh-CN"/>
                    </w:rPr>
                    <w:t>实际</w:t>
                  </w:r>
                  <w:r>
                    <w:rPr>
                      <w:rFonts w:hint="default" w:ascii="Times New Roman" w:hAnsi="Times New Roman" w:eastAsia="宋体" w:cs="Times New Roman"/>
                      <w:b/>
                      <w:bCs/>
                      <w:color w:val="auto"/>
                      <w:sz w:val="21"/>
                      <w:szCs w:val="21"/>
                    </w:rPr>
                    <w:t>情况</w:t>
                  </w:r>
                </w:p>
              </w:tc>
              <w:tc>
                <w:tcPr>
                  <w:tcW w:w="852" w:type="dxa"/>
                  <w:vAlign w:val="center"/>
                </w:tcPr>
                <w:p w14:paraId="1C4108DF">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符合性</w:t>
                  </w:r>
                </w:p>
              </w:tc>
            </w:tr>
            <w:tr w14:paraId="4760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trPr>
              <w:tc>
                <w:tcPr>
                  <w:tcW w:w="2416" w:type="dxa"/>
                  <w:vAlign w:val="center"/>
                </w:tcPr>
                <w:p w14:paraId="14225A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auto"/>
                      <w:spacing w:val="0"/>
                      <w:sz w:val="21"/>
                      <w:szCs w:val="21"/>
                    </w:rPr>
                    <w:t>坚决遏制高耗能高排放项目盲目发展。坚决停批停建不符合规定的项目，深入推进产业补链延链强链、绿色低碳转型。严格落实产能置换和产能控制政策，实施粗钢产能清理整顿。</w:t>
                  </w:r>
                </w:p>
              </w:tc>
              <w:tc>
                <w:tcPr>
                  <w:tcW w:w="3510" w:type="dxa"/>
                  <w:vAlign w:val="center"/>
                </w:tcPr>
                <w:p w14:paraId="1D878B7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本项目不属于</w:t>
                  </w:r>
                  <w:r>
                    <w:rPr>
                      <w:rFonts w:hint="default" w:ascii="Times New Roman" w:hAnsi="Times New Roman" w:eastAsia="宋体" w:cs="Times New Roman"/>
                      <w:i w:val="0"/>
                      <w:iCs w:val="0"/>
                      <w:caps w:val="0"/>
                      <w:color w:val="auto"/>
                      <w:spacing w:val="0"/>
                      <w:sz w:val="21"/>
                      <w:szCs w:val="21"/>
                    </w:rPr>
                    <w:t>高耗能高排放</w:t>
                  </w:r>
                  <w:r>
                    <w:rPr>
                      <w:rFonts w:hint="default" w:ascii="Times New Roman" w:hAnsi="Times New Roman" w:eastAsia="宋体" w:cs="Times New Roman"/>
                      <w:i w:val="0"/>
                      <w:iCs w:val="0"/>
                      <w:caps w:val="0"/>
                      <w:color w:val="auto"/>
                      <w:spacing w:val="0"/>
                      <w:sz w:val="21"/>
                      <w:szCs w:val="21"/>
                      <w:lang w:val="en-US" w:eastAsia="zh-CN"/>
                    </w:rPr>
                    <w:t>项目，不属于</w:t>
                  </w:r>
                  <w:r>
                    <w:rPr>
                      <w:rFonts w:hint="default" w:ascii="Times New Roman" w:hAnsi="Times New Roman" w:eastAsia="宋体" w:cs="Times New Roman"/>
                      <w:i w:val="0"/>
                      <w:iCs w:val="0"/>
                      <w:caps w:val="0"/>
                      <w:color w:val="auto"/>
                      <w:spacing w:val="0"/>
                      <w:sz w:val="21"/>
                      <w:szCs w:val="21"/>
                    </w:rPr>
                    <w:t>停批停建</w:t>
                  </w:r>
                  <w:r>
                    <w:rPr>
                      <w:rFonts w:hint="default" w:ascii="Times New Roman" w:hAnsi="Times New Roman" w:eastAsia="宋体" w:cs="Times New Roman"/>
                      <w:i w:val="0"/>
                      <w:iCs w:val="0"/>
                      <w:caps w:val="0"/>
                      <w:color w:val="auto"/>
                      <w:spacing w:val="0"/>
                      <w:sz w:val="21"/>
                      <w:szCs w:val="21"/>
                      <w:lang w:val="en-US" w:eastAsia="zh-CN"/>
                    </w:rPr>
                    <w:t>和</w:t>
                  </w:r>
                  <w:r>
                    <w:rPr>
                      <w:rFonts w:hint="default" w:ascii="Times New Roman" w:hAnsi="Times New Roman" w:eastAsia="宋体" w:cs="Times New Roman"/>
                      <w:i w:val="0"/>
                      <w:iCs w:val="0"/>
                      <w:caps w:val="0"/>
                      <w:color w:val="auto"/>
                      <w:spacing w:val="0"/>
                      <w:sz w:val="21"/>
                      <w:szCs w:val="21"/>
                    </w:rPr>
                    <w:t>不符合规定的项目</w:t>
                  </w:r>
                  <w:r>
                    <w:rPr>
                      <w:rFonts w:hint="default" w:ascii="Times New Roman" w:hAnsi="Times New Roman" w:eastAsia="宋体" w:cs="Times New Roman"/>
                      <w:i w:val="0"/>
                      <w:iCs w:val="0"/>
                      <w:caps w:val="0"/>
                      <w:color w:val="auto"/>
                      <w:spacing w:val="0"/>
                      <w:sz w:val="21"/>
                      <w:szCs w:val="21"/>
                      <w:lang w:eastAsia="zh-CN"/>
                    </w:rPr>
                    <w:t>，</w:t>
                  </w:r>
                  <w:r>
                    <w:rPr>
                      <w:rFonts w:hint="default" w:ascii="Times New Roman" w:hAnsi="Times New Roman" w:eastAsia="宋体" w:cs="Times New Roman"/>
                      <w:i w:val="0"/>
                      <w:iCs w:val="0"/>
                      <w:caps w:val="0"/>
                      <w:color w:val="auto"/>
                      <w:spacing w:val="0"/>
                      <w:sz w:val="21"/>
                      <w:szCs w:val="21"/>
                      <w:lang w:val="en-US" w:eastAsia="zh-CN"/>
                    </w:rPr>
                    <w:t>不属于</w:t>
                  </w:r>
                  <w:r>
                    <w:rPr>
                      <w:rFonts w:hint="default" w:ascii="Times New Roman" w:hAnsi="Times New Roman" w:eastAsia="宋体" w:cs="Times New Roman"/>
                      <w:i w:val="0"/>
                      <w:iCs w:val="0"/>
                      <w:caps w:val="0"/>
                      <w:color w:val="auto"/>
                      <w:spacing w:val="0"/>
                      <w:sz w:val="21"/>
                      <w:szCs w:val="21"/>
                    </w:rPr>
                    <w:t>实施粗钢产能清理</w:t>
                  </w:r>
                  <w:r>
                    <w:rPr>
                      <w:rFonts w:hint="default" w:ascii="Times New Roman" w:hAnsi="Times New Roman" w:eastAsia="宋体" w:cs="Times New Roman"/>
                      <w:i w:val="0"/>
                      <w:iCs w:val="0"/>
                      <w:caps w:val="0"/>
                      <w:color w:val="auto"/>
                      <w:spacing w:val="0"/>
                      <w:sz w:val="21"/>
                      <w:szCs w:val="21"/>
                      <w:lang w:val="en-US" w:eastAsia="zh-CN"/>
                    </w:rPr>
                    <w:t>项目，本项目为塑料制品生产项目，对照</w:t>
                  </w:r>
                  <w:r>
                    <w:rPr>
                      <w:rFonts w:hint="default" w:ascii="Times New Roman" w:hAnsi="Times New Roman" w:eastAsia="宋体" w:cs="Times New Roman"/>
                      <w:color w:val="auto"/>
                      <w:sz w:val="21"/>
                      <w:szCs w:val="21"/>
                    </w:rPr>
                    <w:t>《产业结构调整指导目录（20</w:t>
                  </w:r>
                  <w:r>
                    <w:rPr>
                      <w:rFonts w:hint="default"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年本）》，</w:t>
                  </w:r>
                  <w:r>
                    <w:rPr>
                      <w:rFonts w:hint="default" w:ascii="Times New Roman" w:hAnsi="Times New Roman" w:eastAsia="宋体" w:cs="Times New Roman"/>
                      <w:color w:val="auto"/>
                      <w:sz w:val="21"/>
                      <w:szCs w:val="21"/>
                      <w:lang w:val="en-US" w:eastAsia="zh-CN"/>
                    </w:rPr>
                    <w:t>为允许类，</w:t>
                  </w:r>
                  <w:r>
                    <w:rPr>
                      <w:rFonts w:hint="default" w:ascii="Times New Roman" w:hAnsi="Times New Roman" w:eastAsia="宋体" w:cs="Times New Roman"/>
                      <w:color w:val="auto"/>
                      <w:sz w:val="21"/>
                      <w:szCs w:val="21"/>
                    </w:rPr>
                    <w:t>项</w:t>
                  </w:r>
                  <w:r>
                    <w:rPr>
                      <w:rFonts w:hint="default" w:ascii="Times New Roman" w:hAnsi="Times New Roman" w:eastAsia="宋体" w:cs="Times New Roman"/>
                      <w:i w:val="0"/>
                      <w:iCs w:val="0"/>
                      <w:caps w:val="0"/>
                      <w:color w:val="auto"/>
                      <w:spacing w:val="0"/>
                      <w:sz w:val="21"/>
                      <w:szCs w:val="21"/>
                      <w:lang w:val="en-US" w:eastAsia="zh-CN"/>
                    </w:rPr>
                    <w:t>目于202</w:t>
                  </w:r>
                  <w:r>
                    <w:rPr>
                      <w:rFonts w:hint="eastAsia" w:ascii="Times New Roman" w:hAnsi="Times New Roman" w:eastAsia="宋体" w:cs="Times New Roman"/>
                      <w:i w:val="0"/>
                      <w:iCs w:val="0"/>
                      <w:caps w:val="0"/>
                      <w:color w:val="auto"/>
                      <w:spacing w:val="0"/>
                      <w:sz w:val="21"/>
                      <w:szCs w:val="21"/>
                      <w:lang w:val="en-US" w:eastAsia="zh-CN"/>
                    </w:rPr>
                    <w:t>5</w:t>
                  </w:r>
                  <w:r>
                    <w:rPr>
                      <w:rFonts w:hint="default" w:ascii="Times New Roman" w:hAnsi="Times New Roman" w:eastAsia="宋体" w:cs="Times New Roman"/>
                      <w:i w:val="0"/>
                      <w:iCs w:val="0"/>
                      <w:caps w:val="0"/>
                      <w:color w:val="auto"/>
                      <w:spacing w:val="0"/>
                      <w:sz w:val="21"/>
                      <w:szCs w:val="21"/>
                      <w:lang w:val="en-US" w:eastAsia="zh-CN"/>
                    </w:rPr>
                    <w:t>年0</w:t>
                  </w:r>
                  <w:r>
                    <w:rPr>
                      <w:rFonts w:hint="eastAsia" w:ascii="Times New Roman" w:hAnsi="Times New Roman" w:eastAsia="宋体" w:cs="Times New Roman"/>
                      <w:i w:val="0"/>
                      <w:iCs w:val="0"/>
                      <w:caps w:val="0"/>
                      <w:color w:val="auto"/>
                      <w:spacing w:val="0"/>
                      <w:sz w:val="21"/>
                      <w:szCs w:val="21"/>
                      <w:lang w:val="en-US" w:eastAsia="zh-CN"/>
                    </w:rPr>
                    <w:t>6</w:t>
                  </w:r>
                  <w:r>
                    <w:rPr>
                      <w:rFonts w:hint="default" w:ascii="Times New Roman" w:hAnsi="Times New Roman" w:eastAsia="宋体" w:cs="Times New Roman"/>
                      <w:i w:val="0"/>
                      <w:iCs w:val="0"/>
                      <w:caps w:val="0"/>
                      <w:color w:val="auto"/>
                      <w:spacing w:val="0"/>
                      <w:sz w:val="21"/>
                      <w:szCs w:val="21"/>
                      <w:lang w:val="en-US" w:eastAsia="zh-CN"/>
                    </w:rPr>
                    <w:t>月</w:t>
                  </w:r>
                  <w:r>
                    <w:rPr>
                      <w:rFonts w:hint="eastAsia" w:ascii="Times New Roman" w:hAnsi="Times New Roman" w:eastAsia="宋体" w:cs="Times New Roman"/>
                      <w:i w:val="0"/>
                      <w:iCs w:val="0"/>
                      <w:caps w:val="0"/>
                      <w:color w:val="auto"/>
                      <w:spacing w:val="0"/>
                      <w:sz w:val="21"/>
                      <w:szCs w:val="21"/>
                      <w:lang w:val="en-US" w:eastAsia="zh-CN"/>
                    </w:rPr>
                    <w:t>05</w:t>
                  </w:r>
                  <w:r>
                    <w:rPr>
                      <w:rFonts w:hint="default" w:ascii="Times New Roman" w:hAnsi="Times New Roman" w:eastAsia="宋体" w:cs="Times New Roman"/>
                      <w:i w:val="0"/>
                      <w:iCs w:val="0"/>
                      <w:caps w:val="0"/>
                      <w:color w:val="auto"/>
                      <w:spacing w:val="0"/>
                      <w:sz w:val="21"/>
                      <w:szCs w:val="21"/>
                      <w:lang w:val="en-US" w:eastAsia="zh-CN"/>
                    </w:rPr>
                    <w:t>日取得了</w:t>
                  </w:r>
                  <w:r>
                    <w:rPr>
                      <w:rFonts w:hint="eastAsia" w:ascii="Times New Roman" w:hAnsi="Times New Roman" w:eastAsia="宋体" w:cs="Times New Roman"/>
                      <w:i w:val="0"/>
                      <w:iCs w:val="0"/>
                      <w:caps w:val="0"/>
                      <w:color w:val="auto"/>
                      <w:spacing w:val="0"/>
                      <w:sz w:val="21"/>
                      <w:szCs w:val="21"/>
                      <w:lang w:val="en-US" w:eastAsia="zh-CN"/>
                    </w:rPr>
                    <w:t>红塔区</w:t>
                  </w:r>
                  <w:r>
                    <w:rPr>
                      <w:rFonts w:hint="default" w:ascii="Times New Roman" w:hAnsi="Times New Roman" w:eastAsia="宋体" w:cs="Times New Roman"/>
                      <w:i w:val="0"/>
                      <w:iCs w:val="0"/>
                      <w:caps w:val="0"/>
                      <w:color w:val="auto"/>
                      <w:spacing w:val="0"/>
                      <w:sz w:val="21"/>
                      <w:szCs w:val="21"/>
                      <w:lang w:val="en-US" w:eastAsia="zh-CN"/>
                    </w:rPr>
                    <w:t>发展和改革局签发的投资项目备案证，同意项目建设。</w:t>
                  </w:r>
                </w:p>
              </w:tc>
              <w:tc>
                <w:tcPr>
                  <w:tcW w:w="852" w:type="dxa"/>
                  <w:vAlign w:val="center"/>
                </w:tcPr>
                <w:p w14:paraId="07093D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14:paraId="6E0A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2416" w:type="dxa"/>
                  <w:vAlign w:val="center"/>
                </w:tcPr>
                <w:p w14:paraId="7774C5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i w:val="0"/>
                      <w:iCs w:val="0"/>
                      <w:caps w:val="0"/>
                      <w:color w:val="auto"/>
                      <w:spacing w:val="0"/>
                      <w:sz w:val="21"/>
                      <w:szCs w:val="21"/>
                    </w:rPr>
                    <w:t>推进挥发性有机物和氮氧化物协同治理。安全高效推进挥发性有机物综合治理，实施原辅材料和产品源头替代工程。推进氮氧化物排放深度治理，完成钢铁企业超低排放改造，实施煤电、水泥、焦化企业超低排放改造。</w:t>
                  </w:r>
                </w:p>
              </w:tc>
              <w:tc>
                <w:tcPr>
                  <w:tcW w:w="3510" w:type="dxa"/>
                  <w:vAlign w:val="center"/>
                </w:tcPr>
                <w:p w14:paraId="07293D1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val="0"/>
                      <w:bCs w:val="0"/>
                      <w:color w:val="auto"/>
                      <w:sz w:val="21"/>
                      <w:szCs w:val="21"/>
                      <w:lang w:val="en-US" w:eastAsia="zh-CN"/>
                    </w:rPr>
                    <w:t>根据工程分析，本项目</w:t>
                  </w:r>
                  <w:r>
                    <w:rPr>
                      <w:rFonts w:hint="eastAsia" w:cs="Times New Roman"/>
                      <w:b w:val="0"/>
                      <w:bCs w:val="0"/>
                      <w:color w:val="auto"/>
                      <w:sz w:val="21"/>
                      <w:szCs w:val="21"/>
                      <w:lang w:val="en-US" w:eastAsia="zh-CN"/>
                    </w:rPr>
                    <w:t>发泡工段产生的</w:t>
                  </w:r>
                  <w:r>
                    <w:rPr>
                      <w:rFonts w:hint="default" w:ascii="Times New Roman" w:hAnsi="Times New Roman" w:eastAsia="宋体" w:cs="Times New Roman"/>
                      <w:b w:val="0"/>
                      <w:bCs w:val="0"/>
                      <w:color w:val="auto"/>
                      <w:sz w:val="21"/>
                      <w:szCs w:val="21"/>
                      <w:lang w:val="en-US" w:eastAsia="zh-CN"/>
                    </w:rPr>
                    <w:t>挥发性有机物</w:t>
                  </w:r>
                  <w:r>
                    <w:rPr>
                      <w:rFonts w:hint="eastAsia" w:cs="Times New Roman"/>
                      <w:b w:val="0"/>
                      <w:bCs w:val="0"/>
                      <w:color w:val="auto"/>
                      <w:sz w:val="21"/>
                      <w:szCs w:val="21"/>
                      <w:lang w:val="en-US" w:eastAsia="zh-CN"/>
                    </w:rPr>
                    <w:t>废气</w:t>
                  </w:r>
                  <w:r>
                    <w:rPr>
                      <w:rFonts w:hint="default" w:ascii="Times New Roman" w:hAnsi="Times New Roman" w:eastAsia="宋体" w:cs="Times New Roman"/>
                      <w:b w:val="0"/>
                      <w:bCs w:val="0"/>
                      <w:color w:val="auto"/>
                      <w:sz w:val="21"/>
                      <w:szCs w:val="21"/>
                      <w:lang w:val="en-US" w:eastAsia="zh-CN"/>
                    </w:rPr>
                    <w:t>经</w:t>
                  </w:r>
                  <w:r>
                    <w:rPr>
                      <w:rFonts w:hint="eastAsia" w:cs="Times New Roman"/>
                      <w:b w:val="0"/>
                      <w:bCs w:val="0"/>
                      <w:color w:val="auto"/>
                      <w:sz w:val="21"/>
                      <w:szCs w:val="21"/>
                      <w:lang w:val="en-US" w:eastAsia="zh-CN"/>
                    </w:rPr>
                    <w:t>两级活性炭</w:t>
                  </w:r>
                  <w:r>
                    <w:rPr>
                      <w:rFonts w:hint="default" w:ascii="Times New Roman" w:hAnsi="Times New Roman" w:eastAsia="宋体" w:cs="Times New Roman"/>
                      <w:b w:val="0"/>
                      <w:bCs w:val="0"/>
                      <w:color w:val="auto"/>
                      <w:sz w:val="21"/>
                      <w:szCs w:val="21"/>
                      <w:lang w:val="en-US" w:eastAsia="zh-CN"/>
                    </w:rPr>
                    <w:t>吸附装置处理达标后外排，本项目为塑料制品业，</w:t>
                  </w:r>
                  <w:r>
                    <w:rPr>
                      <w:rFonts w:hint="eastAsia" w:cs="Times New Roman"/>
                      <w:b w:val="0"/>
                      <w:bCs w:val="0"/>
                      <w:color w:val="auto"/>
                      <w:sz w:val="21"/>
                      <w:szCs w:val="21"/>
                      <w:lang w:val="en-US" w:eastAsia="zh-CN"/>
                    </w:rPr>
                    <w:t>不属于</w:t>
                  </w:r>
                  <w:r>
                    <w:rPr>
                      <w:rFonts w:hint="default" w:ascii="Times New Roman" w:hAnsi="Times New Roman" w:eastAsia="宋体" w:cs="Times New Roman"/>
                      <w:i w:val="0"/>
                      <w:iCs w:val="0"/>
                      <w:caps w:val="0"/>
                      <w:color w:val="auto"/>
                      <w:spacing w:val="0"/>
                      <w:sz w:val="21"/>
                      <w:szCs w:val="21"/>
                    </w:rPr>
                    <w:t>钢铁企业超低排放改造</w:t>
                  </w:r>
                  <w:r>
                    <w:rPr>
                      <w:rFonts w:hint="default" w:ascii="Times New Roman" w:hAnsi="Times New Roman" w:eastAsia="宋体" w:cs="Times New Roman"/>
                      <w:i w:val="0"/>
                      <w:iCs w:val="0"/>
                      <w:caps w:val="0"/>
                      <w:color w:val="auto"/>
                      <w:spacing w:val="0"/>
                      <w:sz w:val="21"/>
                      <w:szCs w:val="21"/>
                      <w:lang w:eastAsia="zh-CN"/>
                    </w:rPr>
                    <w:t>，</w:t>
                  </w:r>
                  <w:r>
                    <w:rPr>
                      <w:rFonts w:hint="default" w:ascii="Times New Roman" w:hAnsi="Times New Roman" w:eastAsia="宋体" w:cs="Times New Roman"/>
                      <w:i w:val="0"/>
                      <w:iCs w:val="0"/>
                      <w:caps w:val="0"/>
                      <w:color w:val="auto"/>
                      <w:spacing w:val="0"/>
                      <w:sz w:val="21"/>
                      <w:szCs w:val="21"/>
                      <w:lang w:val="en-US" w:eastAsia="zh-CN"/>
                    </w:rPr>
                    <w:t>以及</w:t>
                  </w:r>
                  <w:r>
                    <w:rPr>
                      <w:rFonts w:hint="default" w:ascii="Times New Roman" w:hAnsi="Times New Roman" w:eastAsia="宋体" w:cs="Times New Roman"/>
                      <w:i w:val="0"/>
                      <w:iCs w:val="0"/>
                      <w:caps w:val="0"/>
                      <w:color w:val="auto"/>
                      <w:spacing w:val="0"/>
                      <w:sz w:val="21"/>
                      <w:szCs w:val="21"/>
                    </w:rPr>
                    <w:t>煤电、水泥、焦化企业超低排放改造</w:t>
                  </w:r>
                  <w:r>
                    <w:rPr>
                      <w:rFonts w:hint="default" w:ascii="Times New Roman" w:hAnsi="Times New Roman" w:eastAsia="宋体" w:cs="Times New Roman"/>
                      <w:i w:val="0"/>
                      <w:iCs w:val="0"/>
                      <w:caps w:val="0"/>
                      <w:color w:val="auto"/>
                      <w:spacing w:val="0"/>
                      <w:sz w:val="21"/>
                      <w:szCs w:val="21"/>
                      <w:lang w:val="en-US" w:eastAsia="zh-CN"/>
                    </w:rPr>
                    <w:t>等。</w:t>
                  </w:r>
                  <w:r>
                    <w:rPr>
                      <w:rFonts w:hint="default" w:ascii="Times New Roman" w:hAnsi="Times New Roman" w:eastAsia="宋体" w:cs="Times New Roman"/>
                      <w:color w:val="auto"/>
                      <w:sz w:val="21"/>
                      <w:szCs w:val="21"/>
                    </w:rPr>
                    <w:t>本次评价对项目废气产排量及达标排放进行了分析，根据对比分析，</w:t>
                  </w:r>
                  <w:r>
                    <w:rPr>
                      <w:rFonts w:hint="default" w:ascii="Times New Roman" w:hAnsi="Times New Roman" w:eastAsia="宋体" w:cs="Times New Roman"/>
                      <w:color w:val="auto"/>
                      <w:sz w:val="21"/>
                      <w:szCs w:val="21"/>
                      <w:lang w:eastAsia="zh-CN"/>
                    </w:rPr>
                    <w:t>本项目采用的污染治理措施均为排污许可技术规范中的可行技术，</w:t>
                  </w:r>
                  <w:r>
                    <w:rPr>
                      <w:rFonts w:hint="default" w:ascii="Times New Roman" w:hAnsi="Times New Roman" w:eastAsia="宋体" w:cs="Times New Roman"/>
                      <w:color w:val="auto"/>
                      <w:sz w:val="21"/>
                      <w:szCs w:val="21"/>
                    </w:rPr>
                    <w:t>项目运营期主要大气污染物均能达标排放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对外环境影响较小。</w:t>
                  </w:r>
                </w:p>
              </w:tc>
              <w:tc>
                <w:tcPr>
                  <w:tcW w:w="852" w:type="dxa"/>
                  <w:vAlign w:val="center"/>
                </w:tcPr>
                <w:p w14:paraId="0C20C7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14:paraId="243DB71D">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color w:val="auto"/>
                <w:lang w:val="en-US" w:eastAsia="zh-CN"/>
              </w:rPr>
            </w:pPr>
            <w:r>
              <w:rPr>
                <w:rFonts w:hint="default"/>
                <w:color w:val="auto"/>
                <w:lang w:val="en-US" w:eastAsia="zh-CN"/>
              </w:rPr>
              <w:t>综上所述，项目与《云南省关于深入打好污染防治攻坚战实施方案》的相关内容相符。</w:t>
            </w:r>
          </w:p>
          <w:p w14:paraId="4411EB51">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left"/>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1</w:t>
            </w:r>
            <w:r>
              <w:rPr>
                <w:rFonts w:hint="eastAsia" w:cs="Times New Roman"/>
                <w:b/>
                <w:bCs/>
                <w:color w:val="auto"/>
                <w:lang w:val="en-US" w:eastAsia="zh-CN"/>
              </w:rPr>
              <w:t>6</w:t>
            </w:r>
            <w:r>
              <w:rPr>
                <w:rFonts w:hint="default" w:ascii="Times New Roman" w:hAnsi="Times New Roman" w:eastAsia="宋体" w:cs="Times New Roman"/>
                <w:b/>
                <w:bCs/>
                <w:color w:val="auto"/>
                <w:lang w:val="en-US" w:eastAsia="zh-CN"/>
              </w:rPr>
              <w:t>、</w:t>
            </w:r>
            <w:r>
              <w:rPr>
                <w:rFonts w:hint="default" w:ascii="Times New Roman" w:hAnsi="Times New Roman" w:eastAsia="宋体" w:cs="Times New Roman"/>
                <w:b/>
                <w:bCs/>
                <w:color w:val="auto"/>
              </w:rPr>
              <w:t>与《</w:t>
            </w:r>
            <w:r>
              <w:rPr>
                <w:rFonts w:hint="default" w:ascii="Times New Roman" w:hAnsi="Times New Roman" w:eastAsia="宋体" w:cs="Times New Roman"/>
                <w:b/>
                <w:bCs/>
                <w:color w:val="auto"/>
                <w:highlight w:val="none"/>
                <w:shd w:val="clear" w:color="auto" w:fill="auto"/>
                <w:lang w:val="en-US" w:eastAsia="zh-CN"/>
              </w:rPr>
              <w:t>云南省长江经济带发展负面清单指南实施细则（试行，2022年版）</w:t>
            </w:r>
            <w:r>
              <w:rPr>
                <w:rFonts w:hint="default" w:ascii="Times New Roman" w:hAnsi="Times New Roman" w:eastAsia="宋体" w:cs="Times New Roman"/>
                <w:b/>
                <w:bCs/>
                <w:color w:val="auto"/>
              </w:rPr>
              <w:t>符合性分析</w:t>
            </w:r>
          </w:p>
          <w:p w14:paraId="1F3A875B">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color w:val="auto"/>
              </w:rPr>
            </w:pPr>
            <w:r>
              <w:rPr>
                <w:color w:val="auto"/>
              </w:rPr>
              <w:t>项目</w:t>
            </w:r>
            <w:r>
              <w:rPr>
                <w:rFonts w:hint="eastAsia"/>
                <w:color w:val="auto"/>
                <w:lang w:val="en-US" w:eastAsia="zh-CN"/>
              </w:rPr>
              <w:t>与</w:t>
            </w:r>
            <w:r>
              <w:rPr>
                <w:rFonts w:hint="default" w:ascii="Times New Roman" w:hAnsi="Times New Roman" w:eastAsia="宋体" w:cs="Times New Roman"/>
                <w:color w:val="auto"/>
                <w:highlight w:val="none"/>
                <w:shd w:val="clear" w:color="auto" w:fill="auto"/>
                <w:lang w:val="en-US" w:eastAsia="zh-CN"/>
              </w:rPr>
              <w:t>《云南省长江经济带发展负面清单指南实施细则（试行</w:t>
            </w:r>
            <w:r>
              <w:rPr>
                <w:rFonts w:hint="eastAsia" w:ascii="Times New Roman" w:hAnsi="Times New Roman"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lang w:val="en-US" w:eastAsia="zh-CN"/>
              </w:rPr>
              <w:t>2022年版）》</w:t>
            </w:r>
            <w:r>
              <w:rPr>
                <w:rFonts w:hint="eastAsia"/>
                <w:color w:val="auto"/>
                <w:lang w:val="en-US" w:eastAsia="zh-CN"/>
              </w:rPr>
              <w:t>的</w:t>
            </w:r>
            <w:r>
              <w:rPr>
                <w:color w:val="auto"/>
              </w:rPr>
              <w:t>符合性分析</w:t>
            </w:r>
            <w:r>
              <w:rPr>
                <w:rFonts w:hint="eastAsia"/>
                <w:color w:val="auto"/>
                <w:lang w:val="en-US" w:eastAsia="zh-CN"/>
              </w:rPr>
              <w:t>详</w:t>
            </w:r>
            <w:r>
              <w:rPr>
                <w:color w:val="auto"/>
              </w:rPr>
              <w:t>见下表。</w:t>
            </w:r>
          </w:p>
          <w:p w14:paraId="7AD07924">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cs="Times New Roman"/>
                <w:b/>
                <w:bCs/>
                <w:color w:val="auto"/>
                <w:sz w:val="22"/>
                <w:szCs w:val="20"/>
              </w:rPr>
              <w:t>表1</w:t>
            </w:r>
            <w:r>
              <w:rPr>
                <w:rFonts w:hint="eastAsia" w:cs="Times New Roman"/>
                <w:b/>
                <w:bCs/>
                <w:color w:val="auto"/>
                <w:sz w:val="22"/>
                <w:szCs w:val="20"/>
                <w:lang w:val="en-US" w:eastAsia="zh-CN"/>
              </w:rPr>
              <w:t xml:space="preserve">3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项目与《</w:t>
            </w:r>
            <w:r>
              <w:rPr>
                <w:rFonts w:hint="default" w:ascii="Times New Roman" w:hAnsi="Times New Roman" w:eastAsia="宋体" w:cs="Times New Roman"/>
                <w:b/>
                <w:bCs/>
                <w:color w:val="auto"/>
                <w:sz w:val="24"/>
                <w:szCs w:val="24"/>
                <w:highlight w:val="none"/>
                <w:shd w:val="clear" w:color="auto" w:fill="auto"/>
                <w:lang w:val="en-US" w:eastAsia="zh-CN"/>
              </w:rPr>
              <w:t>云南省长江经济带发展负面清单指南实施细则（试行，2022年版）</w:t>
            </w:r>
            <w:r>
              <w:rPr>
                <w:rFonts w:hint="default" w:ascii="Times New Roman" w:hAnsi="Times New Roman" w:eastAsia="宋体" w:cs="Times New Roman"/>
                <w:b/>
                <w:bCs/>
                <w:color w:val="auto"/>
                <w:sz w:val="24"/>
                <w:szCs w:val="24"/>
              </w:rPr>
              <w:t>》符合性分析一览表</w:t>
            </w:r>
          </w:p>
          <w:tbl>
            <w:tblPr>
              <w:tblStyle w:val="101"/>
              <w:tblW w:w="501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07"/>
              <w:gridCol w:w="2391"/>
              <w:gridCol w:w="688"/>
            </w:tblGrid>
            <w:tr w14:paraId="76DD3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2731" w:type="pct"/>
                  <w:tcBorders>
                    <w:tl2br w:val="nil"/>
                    <w:tr2bl w:val="nil"/>
                  </w:tcBorders>
                  <w:noWrap w:val="0"/>
                  <w:vAlign w:val="center"/>
                </w:tcPr>
                <w:p w14:paraId="1E2E5A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
                    </w:rPr>
                  </w:pPr>
                  <w:r>
                    <w:rPr>
                      <w:rFonts w:hint="default" w:ascii="Times New Roman" w:hAnsi="Times New Roman" w:cs="Times New Roman" w:eastAsiaTheme="minorEastAsia"/>
                      <w:b/>
                      <w:bCs/>
                      <w:color w:val="auto"/>
                      <w:kern w:val="2"/>
                      <w:sz w:val="21"/>
                      <w:szCs w:val="21"/>
                      <w:lang w:val="en-US" w:eastAsia="zh-CN" w:bidi="ar"/>
                    </w:rPr>
                    <w:t>实施细则要求</w:t>
                  </w:r>
                </w:p>
              </w:tc>
              <w:tc>
                <w:tcPr>
                  <w:tcW w:w="1761" w:type="pct"/>
                  <w:tcBorders>
                    <w:tl2br w:val="nil"/>
                    <w:tr2bl w:val="nil"/>
                  </w:tcBorders>
                  <w:noWrap w:val="0"/>
                  <w:vAlign w:val="center"/>
                </w:tcPr>
                <w:p w14:paraId="4B106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
                    </w:rPr>
                  </w:pPr>
                  <w:r>
                    <w:rPr>
                      <w:rFonts w:hint="default" w:ascii="Times New Roman" w:hAnsi="Times New Roman" w:cs="Times New Roman" w:eastAsiaTheme="minorEastAsia"/>
                      <w:b/>
                      <w:bCs/>
                      <w:color w:val="auto"/>
                      <w:kern w:val="2"/>
                      <w:sz w:val="21"/>
                      <w:szCs w:val="21"/>
                      <w:lang w:val="en-US" w:eastAsia="zh-CN" w:bidi="ar"/>
                    </w:rPr>
                    <w:t>本项目情况</w:t>
                  </w:r>
                </w:p>
              </w:tc>
              <w:tc>
                <w:tcPr>
                  <w:tcW w:w="506" w:type="pct"/>
                  <w:tcBorders>
                    <w:tl2br w:val="nil"/>
                    <w:tr2bl w:val="nil"/>
                  </w:tcBorders>
                  <w:noWrap w:val="0"/>
                  <w:vAlign w:val="center"/>
                </w:tcPr>
                <w:p w14:paraId="3F714B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
                    </w:rPr>
                  </w:pPr>
                  <w:r>
                    <w:rPr>
                      <w:rFonts w:hint="default" w:ascii="Times New Roman" w:hAnsi="Times New Roman" w:cs="Times New Roman" w:eastAsiaTheme="minorEastAsia"/>
                      <w:b/>
                      <w:bCs/>
                      <w:color w:val="auto"/>
                      <w:kern w:val="2"/>
                      <w:sz w:val="21"/>
                      <w:szCs w:val="21"/>
                      <w:lang w:val="en-US" w:eastAsia="zh-CN" w:bidi="ar"/>
                    </w:rPr>
                    <w:t>符合性</w:t>
                  </w:r>
                </w:p>
              </w:tc>
            </w:tr>
            <w:tr w14:paraId="466BD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731" w:type="pct"/>
                  <w:tcBorders>
                    <w:tl2br w:val="nil"/>
                    <w:tr2bl w:val="nil"/>
                  </w:tcBorders>
                  <w:noWrap w:val="0"/>
                  <w:vAlign w:val="center"/>
                </w:tcPr>
                <w:p w14:paraId="717889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761" w:type="pct"/>
                  <w:tcBorders>
                    <w:tl2br w:val="nil"/>
                    <w:tr2bl w:val="nil"/>
                  </w:tcBorders>
                  <w:noWrap w:val="0"/>
                  <w:vAlign w:val="center"/>
                </w:tcPr>
                <w:p w14:paraId="1253B7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本项目不属于码头建设项目，也不属于过长江通道项目。</w:t>
                  </w:r>
                </w:p>
              </w:tc>
              <w:tc>
                <w:tcPr>
                  <w:tcW w:w="506" w:type="pct"/>
                  <w:tcBorders>
                    <w:tl2br w:val="nil"/>
                    <w:tr2bl w:val="nil"/>
                  </w:tcBorders>
                  <w:noWrap w:val="0"/>
                  <w:vAlign w:val="center"/>
                </w:tcPr>
                <w:p w14:paraId="5F0B5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7A02D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2731" w:type="pct"/>
                  <w:tcBorders>
                    <w:tl2br w:val="nil"/>
                    <w:tr2bl w:val="nil"/>
                  </w:tcBorders>
                  <w:noWrap w:val="0"/>
                  <w:vAlign w:val="center"/>
                </w:tcPr>
                <w:p w14:paraId="39A65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761" w:type="pct"/>
                  <w:tcBorders>
                    <w:tl2br w:val="nil"/>
                    <w:tr2bl w:val="nil"/>
                  </w:tcBorders>
                  <w:noWrap w:val="0"/>
                  <w:vAlign w:val="center"/>
                </w:tcPr>
                <w:p w14:paraId="1DF92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本项目位于云南省玉溪市红塔区北城街道刺桐关社区一组岔箐脑，不在自然保护区核心区、缓冲区的岸线和河段范围内</w:t>
                  </w:r>
                </w:p>
              </w:tc>
              <w:tc>
                <w:tcPr>
                  <w:tcW w:w="506" w:type="pct"/>
                  <w:tcBorders>
                    <w:tl2br w:val="nil"/>
                    <w:tr2bl w:val="nil"/>
                  </w:tcBorders>
                  <w:noWrap w:val="0"/>
                  <w:vAlign w:val="center"/>
                </w:tcPr>
                <w:p w14:paraId="4A2A1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65381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0" w:hRule="atLeast"/>
              </w:trPr>
              <w:tc>
                <w:tcPr>
                  <w:tcW w:w="2731" w:type="pct"/>
                  <w:tcBorders>
                    <w:tl2br w:val="nil"/>
                    <w:tr2bl w:val="nil"/>
                  </w:tcBorders>
                  <w:noWrap w:val="0"/>
                  <w:vAlign w:val="center"/>
                </w:tcPr>
                <w:p w14:paraId="187A8A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761" w:type="pct"/>
                  <w:tcBorders>
                    <w:tl2br w:val="nil"/>
                    <w:tr2bl w:val="nil"/>
                  </w:tcBorders>
                  <w:noWrap w:val="0"/>
                  <w:vAlign w:val="center"/>
                </w:tcPr>
                <w:p w14:paraId="6F36F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color w:val="auto"/>
                      <w:kern w:val="0"/>
                      <w:sz w:val="21"/>
                      <w:szCs w:val="21"/>
                      <w:highlight w:val="none"/>
                      <w:shd w:val="clear" w:color="auto" w:fill="auto"/>
                      <w:lang w:val="en-US" w:eastAsia="zh-CN"/>
                    </w:rPr>
                    <w:t>本项目位于</w:t>
                  </w:r>
                  <w:r>
                    <w:rPr>
                      <w:rFonts w:hint="default" w:ascii="Times New Roman" w:hAnsi="Times New Roman" w:cs="Times New Roman" w:eastAsiaTheme="minorEastAsia"/>
                      <w:b w:val="0"/>
                      <w:bCs w:val="0"/>
                      <w:color w:val="auto"/>
                      <w:kern w:val="2"/>
                      <w:sz w:val="21"/>
                      <w:szCs w:val="21"/>
                      <w:lang w:val="en-US" w:eastAsia="zh-CN" w:bidi="ar"/>
                    </w:rPr>
                    <w:t>云南省玉溪市红塔区北城街道刺桐关社区一组岔箐脑</w:t>
                  </w:r>
                  <w:r>
                    <w:rPr>
                      <w:rFonts w:hint="default" w:ascii="Times New Roman" w:hAnsi="Times New Roman" w:cs="Times New Roman" w:eastAsiaTheme="minorEastAsia"/>
                      <w:b w:val="0"/>
                      <w:bCs/>
                      <w:color w:val="auto"/>
                      <w:sz w:val="21"/>
                      <w:szCs w:val="21"/>
                      <w:lang w:val="en-US" w:eastAsia="zh-CN"/>
                    </w:rPr>
                    <w:t>，</w:t>
                  </w:r>
                  <w:r>
                    <w:rPr>
                      <w:rFonts w:hint="default" w:ascii="Times New Roman" w:hAnsi="Times New Roman" w:cs="Times New Roman" w:eastAsiaTheme="minorEastAsia"/>
                      <w:b w:val="0"/>
                      <w:bCs w:val="0"/>
                      <w:color w:val="auto"/>
                      <w:kern w:val="2"/>
                      <w:sz w:val="21"/>
                      <w:szCs w:val="21"/>
                      <w:lang w:val="en-US" w:eastAsia="zh-CN" w:bidi="ar"/>
                    </w:rPr>
                    <w:t>用地性质为采矿用地，不涉及在风景名胜区进行建设</w:t>
                  </w:r>
                </w:p>
              </w:tc>
              <w:tc>
                <w:tcPr>
                  <w:tcW w:w="506" w:type="pct"/>
                  <w:tcBorders>
                    <w:tl2br w:val="nil"/>
                    <w:tr2bl w:val="nil"/>
                  </w:tcBorders>
                  <w:noWrap w:val="0"/>
                  <w:vAlign w:val="center"/>
                </w:tcPr>
                <w:p w14:paraId="59522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268B0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2731" w:type="pct"/>
                  <w:tcBorders>
                    <w:tl2br w:val="nil"/>
                    <w:tr2bl w:val="nil"/>
                  </w:tcBorders>
                  <w:noWrap w:val="0"/>
                  <w:vAlign w:val="center"/>
                </w:tcPr>
                <w:p w14:paraId="7800C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761" w:type="pct"/>
                  <w:tcBorders>
                    <w:tl2br w:val="nil"/>
                    <w:tr2bl w:val="nil"/>
                  </w:tcBorders>
                  <w:noWrap w:val="0"/>
                  <w:vAlign w:val="center"/>
                </w:tcPr>
                <w:p w14:paraId="42847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本项目位于云南省玉溪市红塔区北城街道刺桐关社区一组岔箐脑，不涉及饮用水水源一级保护区和二级保护区的岸线和河段范围内</w:t>
                  </w:r>
                </w:p>
              </w:tc>
              <w:tc>
                <w:tcPr>
                  <w:tcW w:w="506" w:type="pct"/>
                  <w:tcBorders>
                    <w:tl2br w:val="nil"/>
                    <w:tr2bl w:val="nil"/>
                  </w:tcBorders>
                  <w:noWrap w:val="0"/>
                  <w:vAlign w:val="center"/>
                </w:tcPr>
                <w:p w14:paraId="60D0F6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17E82F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731" w:type="pct"/>
                  <w:tcBorders>
                    <w:tl2br w:val="nil"/>
                    <w:tr2bl w:val="nil"/>
                  </w:tcBorders>
                  <w:noWrap w:val="0"/>
                  <w:vAlign w:val="center"/>
                </w:tcPr>
                <w:p w14:paraId="5DADA6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761" w:type="pct"/>
                  <w:tcBorders>
                    <w:tl2br w:val="nil"/>
                    <w:tr2bl w:val="nil"/>
                  </w:tcBorders>
                  <w:noWrap w:val="0"/>
                  <w:vAlign w:val="center"/>
                </w:tcPr>
                <w:p w14:paraId="026F2D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本项目用地范围不涉及水产种质资源保护区，且项目未新增用地</w:t>
                  </w:r>
                </w:p>
              </w:tc>
              <w:tc>
                <w:tcPr>
                  <w:tcW w:w="506" w:type="pct"/>
                  <w:tcBorders>
                    <w:tl2br w:val="nil"/>
                    <w:tr2bl w:val="nil"/>
                  </w:tcBorders>
                  <w:noWrap w:val="0"/>
                  <w:vAlign w:val="center"/>
                </w:tcPr>
                <w:p w14:paraId="5377A2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54417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5" w:hRule="atLeast"/>
              </w:trPr>
              <w:tc>
                <w:tcPr>
                  <w:tcW w:w="2731" w:type="pct"/>
                  <w:tcBorders>
                    <w:tl2br w:val="nil"/>
                    <w:tr2bl w:val="nil"/>
                  </w:tcBorders>
                  <w:noWrap w:val="0"/>
                  <w:vAlign w:val="center"/>
                </w:tcPr>
                <w:p w14:paraId="69AB09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761" w:type="pct"/>
                  <w:tcBorders>
                    <w:tl2br w:val="nil"/>
                    <w:tr2bl w:val="nil"/>
                  </w:tcBorders>
                  <w:noWrap w:val="0"/>
                  <w:vAlign w:val="center"/>
                </w:tcPr>
                <w:p w14:paraId="7D02F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本项目不涉及占用长江流域河湖岸线，不在金沙江岸线保护区和保留区内，本项目不涉及在金沙江干流、九大高原湖泊保护区、保留区内建设项目</w:t>
                  </w:r>
                </w:p>
              </w:tc>
              <w:tc>
                <w:tcPr>
                  <w:tcW w:w="506" w:type="pct"/>
                  <w:tcBorders>
                    <w:tl2br w:val="nil"/>
                    <w:tr2bl w:val="nil"/>
                  </w:tcBorders>
                  <w:noWrap w:val="0"/>
                  <w:vAlign w:val="center"/>
                </w:tcPr>
                <w:p w14:paraId="6B65B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1F494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731" w:type="pct"/>
                  <w:tcBorders>
                    <w:tl2br w:val="nil"/>
                    <w:tr2bl w:val="nil"/>
                  </w:tcBorders>
                  <w:noWrap w:val="0"/>
                  <w:vAlign w:val="center"/>
                </w:tcPr>
                <w:p w14:paraId="3E002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761" w:type="pct"/>
                  <w:tcBorders>
                    <w:tl2br w:val="nil"/>
                    <w:tr2bl w:val="nil"/>
                  </w:tcBorders>
                  <w:noWrap w:val="0"/>
                  <w:vAlign w:val="center"/>
                </w:tcPr>
                <w:p w14:paraId="20E00F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本项目不属于在金沙江干流、长江一级支流建设的过江基础设施项目，不涉及新建、改设或扩大排污口</w:t>
                  </w:r>
                </w:p>
              </w:tc>
              <w:tc>
                <w:tcPr>
                  <w:tcW w:w="506" w:type="pct"/>
                  <w:tcBorders>
                    <w:tl2br w:val="nil"/>
                    <w:tr2bl w:val="nil"/>
                  </w:tcBorders>
                  <w:noWrap w:val="0"/>
                  <w:vAlign w:val="center"/>
                </w:tcPr>
                <w:p w14:paraId="0E3D9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28875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2731" w:type="pct"/>
                  <w:tcBorders>
                    <w:tl2br w:val="nil"/>
                    <w:tr2bl w:val="nil"/>
                  </w:tcBorders>
                  <w:noWrap w:val="0"/>
                  <w:vAlign w:val="center"/>
                </w:tcPr>
                <w:p w14:paraId="45135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禁止在金沙江干流、长江一级支流、水生生物保护区和长江流域禁捕水域开展天然渔业资源生产性捕捞。</w:t>
                  </w:r>
                </w:p>
              </w:tc>
              <w:tc>
                <w:tcPr>
                  <w:tcW w:w="1761" w:type="pct"/>
                  <w:tcBorders>
                    <w:tl2br w:val="nil"/>
                    <w:tr2bl w:val="nil"/>
                  </w:tcBorders>
                  <w:noWrap w:val="0"/>
                  <w:vAlign w:val="center"/>
                </w:tcPr>
                <w:p w14:paraId="645C13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本项目不涉及天然渔业资源的捕捞</w:t>
                  </w:r>
                </w:p>
              </w:tc>
              <w:tc>
                <w:tcPr>
                  <w:tcW w:w="506" w:type="pct"/>
                  <w:tcBorders>
                    <w:tl2br w:val="nil"/>
                    <w:tr2bl w:val="nil"/>
                  </w:tcBorders>
                  <w:noWrap w:val="0"/>
                  <w:vAlign w:val="center"/>
                </w:tcPr>
                <w:p w14:paraId="24BD6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4EB05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2" w:hRule="atLeast"/>
              </w:trPr>
              <w:tc>
                <w:tcPr>
                  <w:tcW w:w="2731" w:type="pct"/>
                  <w:tcBorders>
                    <w:tl2br w:val="nil"/>
                    <w:tr2bl w:val="nil"/>
                  </w:tcBorders>
                  <w:noWrap w:val="0"/>
                  <w:vAlign w:val="center"/>
                </w:tcPr>
                <w:p w14:paraId="6FABA9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761" w:type="pct"/>
                  <w:tcBorders>
                    <w:tl2br w:val="nil"/>
                    <w:tr2bl w:val="nil"/>
                  </w:tcBorders>
                  <w:noWrap w:val="0"/>
                  <w:vAlign w:val="center"/>
                </w:tcPr>
                <w:p w14:paraId="0A1643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本项目不属于化工项目，不属于新建、改建、扩建尾矿库、冶炼渣库和磷石膏库</w:t>
                  </w:r>
                </w:p>
              </w:tc>
              <w:tc>
                <w:tcPr>
                  <w:tcW w:w="506" w:type="pct"/>
                  <w:tcBorders>
                    <w:tl2br w:val="nil"/>
                    <w:tr2bl w:val="nil"/>
                  </w:tcBorders>
                  <w:noWrap w:val="0"/>
                  <w:vAlign w:val="center"/>
                </w:tcPr>
                <w:p w14:paraId="23C84F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39B99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7" w:hRule="atLeast"/>
              </w:trPr>
              <w:tc>
                <w:tcPr>
                  <w:tcW w:w="2731" w:type="pct"/>
                  <w:tcBorders>
                    <w:tl2br w:val="nil"/>
                    <w:tr2bl w:val="nil"/>
                  </w:tcBorders>
                  <w:shd w:val="clear" w:color="auto" w:fill="auto"/>
                  <w:noWrap w:val="0"/>
                  <w:vAlign w:val="center"/>
                </w:tcPr>
                <w:p w14:paraId="259EE6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1761" w:type="pct"/>
                  <w:tcBorders>
                    <w:tl2br w:val="nil"/>
                    <w:tr2bl w:val="nil"/>
                  </w:tcBorders>
                  <w:shd w:val="clear" w:color="auto" w:fill="auto"/>
                  <w:noWrap w:val="0"/>
                  <w:vAlign w:val="center"/>
                </w:tcPr>
                <w:p w14:paraId="2C015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本项目不属于危险化学品生产项目</w:t>
                  </w:r>
                </w:p>
              </w:tc>
              <w:tc>
                <w:tcPr>
                  <w:tcW w:w="506" w:type="pct"/>
                  <w:tcBorders>
                    <w:tl2br w:val="nil"/>
                    <w:tr2bl w:val="nil"/>
                  </w:tcBorders>
                  <w:shd w:val="clear" w:color="auto" w:fill="auto"/>
                  <w:noWrap w:val="0"/>
                  <w:vAlign w:val="center"/>
                </w:tcPr>
                <w:p w14:paraId="6F5A4C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5CCCD6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731" w:type="pct"/>
                  <w:tcBorders>
                    <w:tl2br w:val="nil"/>
                    <w:tr2bl w:val="nil"/>
                  </w:tcBorders>
                  <w:shd w:val="clear" w:color="auto" w:fill="auto"/>
                  <w:noWrap w:val="0"/>
                  <w:vAlign w:val="center"/>
                </w:tcPr>
                <w:p w14:paraId="285334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禁止在合规园区外新建、扩建钢铁、石化、化工、焦化、建材、有色、制浆造纸行业中的高污染项目</w:t>
                  </w:r>
                </w:p>
              </w:tc>
              <w:tc>
                <w:tcPr>
                  <w:tcW w:w="1761" w:type="pct"/>
                  <w:tcBorders>
                    <w:tl2br w:val="nil"/>
                    <w:tr2bl w:val="nil"/>
                  </w:tcBorders>
                  <w:shd w:val="clear" w:color="auto" w:fill="auto"/>
                  <w:noWrap w:val="0"/>
                  <w:vAlign w:val="center"/>
                </w:tcPr>
                <w:p w14:paraId="41FB1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本项目不属于钢铁、石化、化工、焦化、建材、有色、制浆造纸的高污染项目</w:t>
                  </w:r>
                </w:p>
              </w:tc>
              <w:tc>
                <w:tcPr>
                  <w:tcW w:w="506" w:type="pct"/>
                  <w:tcBorders>
                    <w:tl2br w:val="nil"/>
                    <w:tr2bl w:val="nil"/>
                  </w:tcBorders>
                  <w:shd w:val="clear" w:color="auto" w:fill="auto"/>
                  <w:noWrap w:val="0"/>
                  <w:vAlign w:val="center"/>
                </w:tcPr>
                <w:p w14:paraId="46199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r w14:paraId="42A720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731" w:type="pct"/>
                  <w:tcBorders>
                    <w:tl2br w:val="nil"/>
                    <w:tr2bl w:val="nil"/>
                  </w:tcBorders>
                  <w:shd w:val="clear" w:color="auto" w:fill="auto"/>
                  <w:noWrap w:val="0"/>
                  <w:vAlign w:val="center"/>
                </w:tcPr>
                <w:p w14:paraId="6486A2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w:t>
                  </w:r>
                  <w:r>
                    <w:rPr>
                      <w:rFonts w:hint="eastAsia" w:cs="Times New Roman" w:eastAsiaTheme="minorEastAsia"/>
                      <w:b w:val="0"/>
                      <w:bCs w:val="0"/>
                      <w:color w:val="auto"/>
                      <w:kern w:val="2"/>
                      <w:sz w:val="21"/>
                      <w:szCs w:val="21"/>
                      <w:lang w:val="en-US" w:eastAsia="zh-CN" w:bidi="ar"/>
                    </w:rPr>
                    <w:t>“</w:t>
                  </w:r>
                  <w:r>
                    <w:rPr>
                      <w:rFonts w:hint="default" w:ascii="Times New Roman" w:hAnsi="Times New Roman" w:cs="Times New Roman" w:eastAsiaTheme="minorEastAsia"/>
                      <w:b w:val="0"/>
                      <w:bCs w:val="0"/>
                      <w:color w:val="auto"/>
                      <w:kern w:val="2"/>
                      <w:sz w:val="21"/>
                      <w:szCs w:val="21"/>
                      <w:lang w:val="en-US" w:eastAsia="zh-CN" w:bidi="ar"/>
                    </w:rPr>
                    <w:t>限制类</w:t>
                  </w:r>
                  <w:r>
                    <w:rPr>
                      <w:rFonts w:hint="eastAsia" w:cs="Times New Roman" w:eastAsiaTheme="minorEastAsia"/>
                      <w:b w:val="0"/>
                      <w:bCs w:val="0"/>
                      <w:color w:val="auto"/>
                      <w:kern w:val="2"/>
                      <w:sz w:val="21"/>
                      <w:szCs w:val="21"/>
                      <w:lang w:val="en-US" w:eastAsia="zh-CN" w:bidi="ar"/>
                    </w:rPr>
                    <w:t>”</w:t>
                  </w:r>
                  <w:r>
                    <w:rPr>
                      <w:rFonts w:hint="default" w:ascii="Times New Roman" w:hAnsi="Times New Roman" w:cs="Times New Roman" w:eastAsiaTheme="minorEastAsia"/>
                      <w:b w:val="0"/>
                      <w:bCs w:val="0"/>
                      <w:color w:val="auto"/>
                      <w:kern w:val="2"/>
                      <w:sz w:val="21"/>
                      <w:szCs w:val="21"/>
                      <w:lang w:val="en-US" w:eastAsia="zh-CN" w:bidi="ar"/>
                    </w:rPr>
                    <w:t>产能。禁止建设高毒高残留以及对环境影响大的农药原药生产装置，严控尿素、磷铵、电石、焦炭、黄磷、烧碱、纯碱、聚氯乙烯等行业新增产能。</w:t>
                  </w:r>
                </w:p>
              </w:tc>
              <w:tc>
                <w:tcPr>
                  <w:tcW w:w="1761" w:type="pct"/>
                  <w:tcBorders>
                    <w:tl2br w:val="nil"/>
                    <w:tr2bl w:val="nil"/>
                  </w:tcBorders>
                  <w:shd w:val="clear" w:color="auto" w:fill="auto"/>
                  <w:noWrap w:val="0"/>
                  <w:vAlign w:val="center"/>
                </w:tcPr>
                <w:p w14:paraId="6348B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项目符合产业政策，不属于高耗能、高排放、落后产能的项目</w:t>
                  </w:r>
                </w:p>
              </w:tc>
              <w:tc>
                <w:tcPr>
                  <w:tcW w:w="506" w:type="pct"/>
                  <w:tcBorders>
                    <w:tl2br w:val="nil"/>
                    <w:tr2bl w:val="nil"/>
                  </w:tcBorders>
                  <w:shd w:val="clear" w:color="auto" w:fill="auto"/>
                  <w:noWrap w:val="0"/>
                  <w:vAlign w:val="center"/>
                </w:tcPr>
                <w:p w14:paraId="0A2BB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
                    </w:rPr>
                  </w:pPr>
                  <w:r>
                    <w:rPr>
                      <w:rFonts w:hint="default" w:ascii="Times New Roman" w:hAnsi="Times New Roman" w:cs="Times New Roman" w:eastAsiaTheme="minorEastAsia"/>
                      <w:b w:val="0"/>
                      <w:bCs w:val="0"/>
                      <w:color w:val="auto"/>
                      <w:kern w:val="2"/>
                      <w:sz w:val="21"/>
                      <w:szCs w:val="21"/>
                      <w:lang w:val="en-US" w:eastAsia="zh-CN" w:bidi="ar"/>
                    </w:rPr>
                    <w:t>符合</w:t>
                  </w:r>
                </w:p>
              </w:tc>
            </w:tr>
          </w:tbl>
          <w:p w14:paraId="6F0CC29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综上所述，项目与《云南省长江经济带发展负面清单指南实施细则（试行，2022年版）》的相关内容相符。</w:t>
            </w:r>
          </w:p>
          <w:p w14:paraId="28A3DE56">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Times New Roman" w:hAnsi="Times New Roman" w:eastAsia="宋体" w:cs="Times New Roman"/>
                <w:b/>
                <w:bCs/>
                <w:color w:val="auto"/>
                <w:highlight w:val="none"/>
                <w:shd w:val="clear" w:color="auto" w:fill="auto"/>
                <w:lang w:val="en-US" w:eastAsia="zh-CN"/>
              </w:rPr>
            </w:pPr>
            <w:r>
              <w:rPr>
                <w:rFonts w:hint="eastAsia" w:ascii="Times New Roman" w:hAnsi="Times New Roman" w:cs="Times New Roman"/>
                <w:b/>
                <w:bCs/>
                <w:color w:val="auto"/>
                <w:highlight w:val="none"/>
                <w:shd w:val="clear" w:color="auto" w:fill="auto"/>
                <w:lang w:val="en-US" w:eastAsia="zh-CN"/>
              </w:rPr>
              <w:t>1</w:t>
            </w:r>
            <w:r>
              <w:rPr>
                <w:rFonts w:hint="eastAsia" w:cs="Times New Roman"/>
                <w:b/>
                <w:bCs/>
                <w:color w:val="auto"/>
                <w:highlight w:val="none"/>
                <w:shd w:val="clear" w:color="auto" w:fill="auto"/>
                <w:lang w:val="en-US" w:eastAsia="zh-CN"/>
              </w:rPr>
              <w:t>7</w:t>
            </w:r>
            <w:r>
              <w:rPr>
                <w:rFonts w:hint="eastAsia" w:ascii="Times New Roman" w:hAnsi="Times New Roman" w:cs="Times New Roman"/>
                <w:b/>
                <w:bCs/>
                <w:color w:val="auto"/>
                <w:highlight w:val="none"/>
                <w:shd w:val="clear" w:color="auto" w:fill="auto"/>
                <w:lang w:val="en-US" w:eastAsia="zh-CN"/>
              </w:rPr>
              <w:t>、项目与</w:t>
            </w:r>
            <w:r>
              <w:rPr>
                <w:rFonts w:hint="default" w:ascii="Times New Roman" w:hAnsi="Times New Roman" w:eastAsia="宋体" w:cs="Times New Roman"/>
                <w:b/>
                <w:bCs/>
                <w:color w:val="auto"/>
                <w:highlight w:val="none"/>
                <w:shd w:val="clear" w:color="auto" w:fill="auto"/>
                <w:lang w:val="en-US" w:eastAsia="zh-CN"/>
              </w:rPr>
              <w:t>《长江经济带发展负面清单指南（试行，2022年版）》符合性分析</w:t>
            </w:r>
          </w:p>
          <w:p w14:paraId="3999CF3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推动长江经济带发展领导小组办公室于2022年1月19日印发《长江经济带发展负面清单指南（试行，2022年版）》的通知（长江办〔2022〕7号），本项目与《长江经济带发展负面清单指南（试行，2022年版）》符合性判定分析见下表</w:t>
            </w:r>
            <w:r>
              <w:rPr>
                <w:rFonts w:hint="eastAsia" w:ascii="Times New Roman" w:hAnsi="Times New Roman" w:cs="Times New Roman"/>
                <w:color w:val="auto"/>
                <w:lang w:val="en-US" w:eastAsia="zh-CN"/>
              </w:rPr>
              <w:t>。</w:t>
            </w:r>
          </w:p>
          <w:p w14:paraId="359B588C">
            <w:pPr>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snapToGrid/>
                <w:color w:val="auto"/>
                <w:kern w:val="2"/>
                <w:sz w:val="24"/>
                <w:szCs w:val="24"/>
                <w:highlight w:val="none"/>
                <w:shd w:val="clear" w:color="auto" w:fill="auto"/>
              </w:rPr>
            </w:pPr>
            <w:r>
              <w:rPr>
                <w:rFonts w:hint="default" w:ascii="Times New Roman" w:hAnsi="Times New Roman" w:eastAsia="宋体" w:cs="Times New Roman"/>
                <w:b/>
                <w:bCs/>
                <w:snapToGrid/>
                <w:color w:val="auto"/>
                <w:kern w:val="2"/>
                <w:sz w:val="24"/>
                <w:szCs w:val="24"/>
                <w:highlight w:val="none"/>
                <w:shd w:val="clear" w:color="auto" w:fill="auto"/>
              </w:rPr>
              <w:t>表</w:t>
            </w:r>
            <w:r>
              <w:rPr>
                <w:rFonts w:hint="default" w:ascii="Times New Roman" w:hAnsi="Times New Roman" w:eastAsia="宋体" w:cs="Times New Roman"/>
                <w:b/>
                <w:bCs/>
                <w:snapToGrid/>
                <w:color w:val="auto"/>
                <w:kern w:val="2"/>
                <w:sz w:val="24"/>
                <w:szCs w:val="24"/>
                <w:highlight w:val="none"/>
                <w:shd w:val="clear" w:color="auto" w:fill="auto"/>
                <w:lang w:val="en-US" w:eastAsia="zh-CN"/>
              </w:rPr>
              <w:t>1</w:t>
            </w:r>
            <w:r>
              <w:rPr>
                <w:rFonts w:hint="eastAsia" w:cs="Times New Roman"/>
                <w:b/>
                <w:bCs/>
                <w:snapToGrid/>
                <w:color w:val="auto"/>
                <w:kern w:val="2"/>
                <w:sz w:val="24"/>
                <w:szCs w:val="24"/>
                <w:highlight w:val="none"/>
                <w:shd w:val="clear" w:color="auto" w:fill="auto"/>
                <w:lang w:val="en-US" w:eastAsia="zh-CN"/>
              </w:rPr>
              <w:t>4</w:t>
            </w:r>
            <w:r>
              <w:rPr>
                <w:rFonts w:hint="eastAsia" w:ascii="Times New Roman" w:hAnsi="Times New Roman" w:eastAsia="宋体" w:cs="Times New Roman"/>
                <w:b/>
                <w:bCs/>
                <w:snapToGrid/>
                <w:color w:val="auto"/>
                <w:kern w:val="2"/>
                <w:sz w:val="24"/>
                <w:szCs w:val="24"/>
                <w:highlight w:val="none"/>
                <w:shd w:val="clear" w:color="auto" w:fill="auto"/>
                <w:lang w:val="en-US" w:eastAsia="zh-CN"/>
              </w:rPr>
              <w:t xml:space="preserve">  项目</w:t>
            </w:r>
            <w:r>
              <w:rPr>
                <w:rFonts w:hint="default" w:ascii="Times New Roman" w:hAnsi="Times New Roman" w:eastAsia="宋体" w:cs="Times New Roman"/>
                <w:b/>
                <w:bCs/>
                <w:snapToGrid/>
                <w:color w:val="auto"/>
                <w:kern w:val="2"/>
                <w:sz w:val="24"/>
                <w:szCs w:val="24"/>
                <w:highlight w:val="none"/>
                <w:shd w:val="clear" w:color="auto" w:fill="auto"/>
              </w:rPr>
              <w:t>与《长江经济带发展负面清单指南</w:t>
            </w:r>
          </w:p>
          <w:p w14:paraId="1EC773B7">
            <w:pPr>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default" w:ascii="Times New Roman" w:hAnsi="Times New Roman" w:eastAsia="宋体" w:cs="Times New Roman"/>
                <w:b/>
                <w:bCs/>
                <w:snapToGrid/>
                <w:color w:val="auto"/>
                <w:kern w:val="2"/>
                <w:sz w:val="24"/>
                <w:szCs w:val="24"/>
                <w:highlight w:val="none"/>
                <w:shd w:val="clear" w:color="auto" w:fill="auto"/>
              </w:rPr>
            </w:pPr>
            <w:r>
              <w:rPr>
                <w:rFonts w:hint="default" w:ascii="Times New Roman" w:hAnsi="Times New Roman" w:eastAsia="宋体" w:cs="Times New Roman"/>
                <w:b/>
                <w:bCs/>
                <w:snapToGrid/>
                <w:color w:val="auto"/>
                <w:kern w:val="2"/>
                <w:sz w:val="24"/>
                <w:szCs w:val="24"/>
                <w:highlight w:val="none"/>
                <w:shd w:val="clear" w:color="auto" w:fill="auto"/>
              </w:rPr>
              <w:t>（试行，2022年版）》符合性分析</w:t>
            </w:r>
          </w:p>
          <w:tbl>
            <w:tblPr>
              <w:tblStyle w:val="33"/>
              <w:tblW w:w="4992" w:type="pct"/>
              <w:jc w:val="center"/>
              <w:tblBorders>
                <w:top w:val="single" w:color="auto" w:sz="2" w:space="0"/>
                <w:left w:val="single" w:color="auto" w:sz="2" w:space="0"/>
                <w:bottom w:val="single" w:color="auto" w:sz="4"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43"/>
              <w:gridCol w:w="3425"/>
              <w:gridCol w:w="2096"/>
              <w:gridCol w:w="785"/>
            </w:tblGrid>
            <w:tr w14:paraId="5AB0F6B4">
              <w:tblPrEx>
                <w:tblBorders>
                  <w:top w:val="single" w:color="auto" w:sz="2" w:space="0"/>
                  <w:left w:val="single" w:color="auto" w:sz="2"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28" w:type="pct"/>
                  <w:tcBorders>
                    <w:tl2br w:val="nil"/>
                    <w:tr2bl w:val="nil"/>
                  </w:tcBorders>
                  <w:noWrap w:val="0"/>
                  <w:vAlign w:val="center"/>
                </w:tcPr>
                <w:p w14:paraId="3F5B2D2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highlight w:val="none"/>
                      <w:shd w:val="clear" w:color="auto" w:fill="auto"/>
                    </w:rPr>
                  </w:pPr>
                  <w:r>
                    <w:rPr>
                      <w:rFonts w:hint="default" w:ascii="Times New Roman" w:hAnsi="Times New Roman" w:cs="Times New Roman" w:eastAsiaTheme="minorEastAsia"/>
                      <w:b/>
                      <w:bCs/>
                      <w:color w:val="auto"/>
                      <w:kern w:val="0"/>
                      <w:sz w:val="21"/>
                      <w:szCs w:val="21"/>
                      <w:highlight w:val="none"/>
                      <w:shd w:val="clear" w:color="auto" w:fill="auto"/>
                    </w:rPr>
                    <w:t>序号</w:t>
                  </w:r>
                </w:p>
              </w:tc>
              <w:tc>
                <w:tcPr>
                  <w:tcW w:w="2537" w:type="pct"/>
                  <w:tcBorders>
                    <w:tl2br w:val="nil"/>
                    <w:tr2bl w:val="nil"/>
                  </w:tcBorders>
                  <w:noWrap w:val="0"/>
                  <w:vAlign w:val="center"/>
                </w:tcPr>
                <w:p w14:paraId="123093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highlight w:val="none"/>
                      <w:shd w:val="clear" w:color="auto" w:fill="auto"/>
                    </w:rPr>
                  </w:pPr>
                  <w:r>
                    <w:rPr>
                      <w:rFonts w:hint="default" w:ascii="Times New Roman" w:hAnsi="Times New Roman" w:cs="Times New Roman" w:eastAsiaTheme="minorEastAsia"/>
                      <w:b/>
                      <w:bCs/>
                      <w:color w:val="auto"/>
                      <w:kern w:val="0"/>
                      <w:sz w:val="21"/>
                      <w:szCs w:val="21"/>
                      <w:highlight w:val="none"/>
                      <w:shd w:val="clear" w:color="auto" w:fill="auto"/>
                    </w:rPr>
                    <w:t>长江经济带发展负面清单指南</w:t>
                  </w:r>
                </w:p>
              </w:tc>
              <w:tc>
                <w:tcPr>
                  <w:tcW w:w="1552" w:type="pct"/>
                  <w:tcBorders>
                    <w:tl2br w:val="nil"/>
                    <w:tr2bl w:val="nil"/>
                  </w:tcBorders>
                  <w:noWrap w:val="0"/>
                  <w:vAlign w:val="center"/>
                </w:tcPr>
                <w:p w14:paraId="67BAF2D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highlight w:val="none"/>
                      <w:shd w:val="clear" w:color="auto" w:fill="auto"/>
                      <w:lang w:eastAsia="zh-CN"/>
                    </w:rPr>
                  </w:pPr>
                  <w:r>
                    <w:rPr>
                      <w:rFonts w:hint="default" w:ascii="Times New Roman" w:hAnsi="Times New Roman" w:cs="Times New Roman" w:eastAsiaTheme="minorEastAsia"/>
                      <w:b/>
                      <w:bCs/>
                      <w:color w:val="auto"/>
                      <w:kern w:val="0"/>
                      <w:sz w:val="21"/>
                      <w:szCs w:val="21"/>
                      <w:highlight w:val="none"/>
                      <w:shd w:val="clear" w:color="auto" w:fill="auto"/>
                      <w:lang w:eastAsia="zh-CN"/>
                    </w:rPr>
                    <w:t>本项目</w:t>
                  </w:r>
                </w:p>
              </w:tc>
              <w:tc>
                <w:tcPr>
                  <w:tcW w:w="581" w:type="pct"/>
                  <w:tcBorders>
                    <w:tl2br w:val="nil"/>
                    <w:tr2bl w:val="nil"/>
                  </w:tcBorders>
                  <w:noWrap w:val="0"/>
                  <w:vAlign w:val="center"/>
                </w:tcPr>
                <w:p w14:paraId="123DC0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b/>
                      <w:bCs/>
                      <w:color w:val="auto"/>
                      <w:kern w:val="0"/>
                      <w:sz w:val="21"/>
                      <w:szCs w:val="21"/>
                      <w:highlight w:val="none"/>
                      <w:shd w:val="clear" w:color="auto" w:fill="auto"/>
                    </w:rPr>
                  </w:pPr>
                  <w:r>
                    <w:rPr>
                      <w:rFonts w:hint="default" w:ascii="Times New Roman" w:hAnsi="Times New Roman" w:cs="Times New Roman" w:eastAsiaTheme="minorEastAsia"/>
                      <w:b/>
                      <w:bCs/>
                      <w:color w:val="auto"/>
                      <w:kern w:val="0"/>
                      <w:sz w:val="21"/>
                      <w:szCs w:val="21"/>
                      <w:highlight w:val="none"/>
                      <w:shd w:val="clear" w:color="auto" w:fill="auto"/>
                    </w:rPr>
                    <w:t>符合性</w:t>
                  </w:r>
                </w:p>
              </w:tc>
            </w:tr>
            <w:tr w14:paraId="21857BDE">
              <w:tblPrEx>
                <w:tblBorders>
                  <w:top w:val="single" w:color="auto" w:sz="2" w:space="0"/>
                  <w:left w:val="single" w:color="auto" w:sz="2"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noWrap w:val="0"/>
                  <w:vAlign w:val="center"/>
                </w:tcPr>
                <w:p w14:paraId="60E2184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1</w:t>
                  </w:r>
                </w:p>
              </w:tc>
              <w:tc>
                <w:tcPr>
                  <w:tcW w:w="2537" w:type="pct"/>
                  <w:tcBorders>
                    <w:tl2br w:val="nil"/>
                    <w:tr2bl w:val="nil"/>
                  </w:tcBorders>
                  <w:noWrap w:val="0"/>
                  <w:vAlign w:val="center"/>
                </w:tcPr>
                <w:p w14:paraId="3892E7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禁止建设不符合全国和省级港口布局规划以及港口总体规划的码头，禁止建设不符合《长江干线过江通道布局规划》的过长江通道项目。</w:t>
                  </w:r>
                </w:p>
              </w:tc>
              <w:tc>
                <w:tcPr>
                  <w:tcW w:w="1552" w:type="pct"/>
                  <w:tcBorders>
                    <w:tl2br w:val="nil"/>
                    <w:tr2bl w:val="nil"/>
                  </w:tcBorders>
                  <w:noWrap w:val="0"/>
                  <w:vAlign w:val="center"/>
                </w:tcPr>
                <w:p w14:paraId="379182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val="en-US" w:eastAsia="zh-CN"/>
                    </w:rPr>
                  </w:pPr>
                  <w:r>
                    <w:rPr>
                      <w:rFonts w:hint="default" w:ascii="Times New Roman" w:hAnsi="Times New Roman" w:cs="Times New Roman" w:eastAsiaTheme="minorEastAsia"/>
                      <w:color w:val="auto"/>
                      <w:kern w:val="0"/>
                      <w:sz w:val="21"/>
                      <w:szCs w:val="21"/>
                      <w:highlight w:val="none"/>
                      <w:shd w:val="clear" w:color="auto" w:fill="auto"/>
                      <w:lang w:val="en-US" w:eastAsia="zh-CN"/>
                    </w:rPr>
                    <w:t>本项目位于云南省玉溪市红塔区北城街道刺桐关社区一组岔箐脑，属于塑料颗粒制品生产，不属于码头及长江通道禁止建设项目。</w:t>
                  </w:r>
                </w:p>
              </w:tc>
              <w:tc>
                <w:tcPr>
                  <w:tcW w:w="581" w:type="pct"/>
                  <w:tcBorders>
                    <w:tl2br w:val="nil"/>
                    <w:tr2bl w:val="nil"/>
                  </w:tcBorders>
                  <w:noWrap w:val="0"/>
                  <w:vAlign w:val="center"/>
                </w:tcPr>
                <w:p w14:paraId="4324737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符合</w:t>
                  </w:r>
                </w:p>
              </w:tc>
            </w:tr>
            <w:tr w14:paraId="3F960F6F">
              <w:tblPrEx>
                <w:tblBorders>
                  <w:top w:val="single" w:color="auto" w:sz="2" w:space="0"/>
                  <w:left w:val="single" w:color="auto" w:sz="2"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noWrap w:val="0"/>
                  <w:vAlign w:val="center"/>
                </w:tcPr>
                <w:p w14:paraId="77D1225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2</w:t>
                  </w:r>
                </w:p>
              </w:tc>
              <w:tc>
                <w:tcPr>
                  <w:tcW w:w="2537" w:type="pct"/>
                  <w:tcBorders>
                    <w:tl2br w:val="nil"/>
                    <w:tr2bl w:val="nil"/>
                  </w:tcBorders>
                  <w:noWrap w:val="0"/>
                  <w:vAlign w:val="center"/>
                </w:tcPr>
                <w:p w14:paraId="6D12C1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禁止在自然保护区核心区、缓冲区</w:t>
                  </w:r>
                  <w:r>
                    <w:rPr>
                      <w:rFonts w:hint="default" w:ascii="Times New Roman" w:hAnsi="Times New Roman" w:cs="Times New Roman" w:eastAsiaTheme="minorEastAsia"/>
                      <w:color w:val="auto"/>
                      <w:kern w:val="0"/>
                      <w:sz w:val="21"/>
                      <w:szCs w:val="21"/>
                      <w:highlight w:val="none"/>
                      <w:shd w:val="clear" w:color="auto" w:fill="auto"/>
                      <w:lang w:eastAsia="zh-CN"/>
                    </w:rPr>
                    <w:t>的</w:t>
                  </w:r>
                  <w:r>
                    <w:rPr>
                      <w:rFonts w:hint="default" w:ascii="Times New Roman" w:hAnsi="Times New Roman" w:cs="Times New Roman" w:eastAsiaTheme="minorEastAsia"/>
                      <w:color w:val="auto"/>
                      <w:kern w:val="0"/>
                      <w:sz w:val="21"/>
                      <w:szCs w:val="21"/>
                      <w:highlight w:val="none"/>
                      <w:shd w:val="clear" w:color="auto" w:fill="auto"/>
                    </w:rPr>
                    <w:t>岸线和河段范围内投资建设旅游和生产经营项目。禁止在风景名胜区核心景区的岸线和河段范围内投资建设与风景名胜资源保护无关的项目。</w:t>
                  </w:r>
                </w:p>
              </w:tc>
              <w:tc>
                <w:tcPr>
                  <w:tcW w:w="1552" w:type="pct"/>
                  <w:tcBorders>
                    <w:tl2br w:val="nil"/>
                    <w:tr2bl w:val="nil"/>
                  </w:tcBorders>
                  <w:noWrap w:val="0"/>
                  <w:vAlign w:val="center"/>
                </w:tcPr>
                <w:p w14:paraId="73AEEB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eastAsia="zh-CN"/>
                    </w:rPr>
                  </w:pPr>
                  <w:r>
                    <w:rPr>
                      <w:rFonts w:hint="default" w:ascii="Times New Roman" w:hAnsi="Times New Roman" w:cs="Times New Roman" w:eastAsiaTheme="minorEastAsia"/>
                      <w:color w:val="auto"/>
                      <w:kern w:val="0"/>
                      <w:sz w:val="21"/>
                      <w:szCs w:val="21"/>
                      <w:highlight w:val="none"/>
                      <w:shd w:val="clear" w:color="auto" w:fill="auto"/>
                      <w:lang w:val="en-US" w:eastAsia="zh-CN"/>
                    </w:rPr>
                    <w:t>本项目用地范围</w:t>
                  </w:r>
                  <w:r>
                    <w:rPr>
                      <w:rFonts w:hint="default" w:ascii="Times New Roman" w:hAnsi="Times New Roman" w:cs="Times New Roman" w:eastAsiaTheme="minorEastAsia"/>
                      <w:color w:val="auto"/>
                      <w:kern w:val="0"/>
                      <w:sz w:val="21"/>
                      <w:szCs w:val="21"/>
                      <w:highlight w:val="none"/>
                      <w:shd w:val="clear" w:color="auto" w:fill="auto"/>
                    </w:rPr>
                    <w:t>不涉及自然保护区、风景名胜区，不属于禁止建设的区域</w:t>
                  </w:r>
                </w:p>
              </w:tc>
              <w:tc>
                <w:tcPr>
                  <w:tcW w:w="581" w:type="pct"/>
                  <w:tcBorders>
                    <w:tl2br w:val="nil"/>
                    <w:tr2bl w:val="nil"/>
                  </w:tcBorders>
                  <w:noWrap w:val="0"/>
                  <w:vAlign w:val="center"/>
                </w:tcPr>
                <w:p w14:paraId="11D03D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符合</w:t>
                  </w:r>
                </w:p>
              </w:tc>
            </w:tr>
            <w:tr w14:paraId="5610FEC0">
              <w:tblPrEx>
                <w:tblBorders>
                  <w:top w:val="single" w:color="auto" w:sz="2" w:space="0"/>
                  <w:left w:val="single" w:color="auto" w:sz="2"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noWrap w:val="0"/>
                  <w:vAlign w:val="center"/>
                </w:tcPr>
                <w:p w14:paraId="2029878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3</w:t>
                  </w:r>
                </w:p>
              </w:tc>
              <w:tc>
                <w:tcPr>
                  <w:tcW w:w="2537" w:type="pct"/>
                  <w:tcBorders>
                    <w:tl2br w:val="nil"/>
                    <w:tr2bl w:val="nil"/>
                  </w:tcBorders>
                  <w:noWrap w:val="0"/>
                  <w:vAlign w:val="center"/>
                </w:tcPr>
                <w:p w14:paraId="0E7E7ED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禁止在饮用水水源一级保护区的岸线和河段范围内新建、改建、扩建与供水设施和保护水源无关的项目，以及网箱</w:t>
                  </w:r>
                  <w:r>
                    <w:rPr>
                      <w:rFonts w:hint="default" w:ascii="Times New Roman" w:hAnsi="Times New Roman" w:cs="Times New Roman" w:eastAsiaTheme="minorEastAsia"/>
                      <w:color w:val="auto"/>
                      <w:kern w:val="0"/>
                      <w:sz w:val="21"/>
                      <w:szCs w:val="21"/>
                      <w:highlight w:val="none"/>
                      <w:shd w:val="clear" w:color="auto" w:fill="auto"/>
                      <w:lang w:eastAsia="zh-CN"/>
                    </w:rPr>
                    <w:t>养</w:t>
                  </w:r>
                  <w:r>
                    <w:rPr>
                      <w:rFonts w:hint="default" w:ascii="Times New Roman" w:hAnsi="Times New Roman" w:cs="Times New Roman" w:eastAsiaTheme="minorEastAsia"/>
                      <w:color w:val="auto"/>
                      <w:kern w:val="0"/>
                      <w:sz w:val="21"/>
                      <w:szCs w:val="21"/>
                      <w:highlight w:val="none"/>
                      <w:shd w:val="clear" w:color="auto" w:fill="auto"/>
                    </w:rPr>
                    <w:t>殖、畜禽养殖、旅游等可能污染饮用水水体的投资建设项目。禁止在饮用水水源二级保护区</w:t>
                  </w:r>
                  <w:r>
                    <w:rPr>
                      <w:rFonts w:hint="default" w:ascii="Times New Roman" w:hAnsi="Times New Roman" w:cs="Times New Roman" w:eastAsiaTheme="minorEastAsia"/>
                      <w:color w:val="auto"/>
                      <w:kern w:val="0"/>
                      <w:sz w:val="21"/>
                      <w:szCs w:val="21"/>
                      <w:highlight w:val="none"/>
                      <w:shd w:val="clear" w:color="auto" w:fill="auto"/>
                      <w:lang w:eastAsia="zh-CN"/>
                    </w:rPr>
                    <w:t>的</w:t>
                  </w:r>
                  <w:r>
                    <w:rPr>
                      <w:rFonts w:hint="default" w:ascii="Times New Roman" w:hAnsi="Times New Roman" w:cs="Times New Roman" w:eastAsiaTheme="minorEastAsia"/>
                      <w:color w:val="auto"/>
                      <w:kern w:val="0"/>
                      <w:sz w:val="21"/>
                      <w:szCs w:val="21"/>
                      <w:highlight w:val="none"/>
                      <w:shd w:val="clear" w:color="auto" w:fill="auto"/>
                    </w:rPr>
                    <w:t>岸线和河段范围内新建、改建、扩建排放污染物的投资建设项目。</w:t>
                  </w:r>
                </w:p>
              </w:tc>
              <w:tc>
                <w:tcPr>
                  <w:tcW w:w="1552" w:type="pct"/>
                  <w:tcBorders>
                    <w:tl2br w:val="nil"/>
                    <w:tr2bl w:val="nil"/>
                  </w:tcBorders>
                  <w:noWrap w:val="0"/>
                  <w:vAlign w:val="center"/>
                </w:tcPr>
                <w:p w14:paraId="15A77FD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eastAsia="zh-CN"/>
                    </w:rPr>
                  </w:pPr>
                  <w:r>
                    <w:rPr>
                      <w:rFonts w:hint="default" w:ascii="Times New Roman" w:hAnsi="Times New Roman" w:cs="Times New Roman" w:eastAsiaTheme="minorEastAsia"/>
                      <w:color w:val="auto"/>
                      <w:kern w:val="0"/>
                      <w:sz w:val="21"/>
                      <w:szCs w:val="21"/>
                      <w:highlight w:val="none"/>
                      <w:shd w:val="clear" w:color="auto" w:fill="auto"/>
                      <w:lang w:val="en-US" w:eastAsia="zh-CN"/>
                    </w:rPr>
                    <w:t>本项目</w:t>
                  </w:r>
                  <w:r>
                    <w:rPr>
                      <w:rFonts w:hint="default" w:ascii="Times New Roman" w:hAnsi="Times New Roman" w:cs="Times New Roman" w:eastAsiaTheme="minorEastAsia"/>
                      <w:color w:val="auto"/>
                      <w:kern w:val="0"/>
                      <w:sz w:val="21"/>
                      <w:szCs w:val="21"/>
                      <w:highlight w:val="none"/>
                      <w:shd w:val="clear" w:color="auto" w:fill="auto"/>
                    </w:rPr>
                    <w:t>不属于禁止建设的区域</w:t>
                  </w:r>
                </w:p>
              </w:tc>
              <w:tc>
                <w:tcPr>
                  <w:tcW w:w="581" w:type="pct"/>
                  <w:tcBorders>
                    <w:tl2br w:val="nil"/>
                    <w:tr2bl w:val="nil"/>
                  </w:tcBorders>
                  <w:noWrap w:val="0"/>
                  <w:vAlign w:val="center"/>
                </w:tcPr>
                <w:p w14:paraId="3F23218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符合</w:t>
                  </w:r>
                </w:p>
              </w:tc>
            </w:tr>
            <w:tr w14:paraId="4FCD9BFA">
              <w:tblPrEx>
                <w:tblBorders>
                  <w:top w:val="single" w:color="auto" w:sz="2" w:space="0"/>
                  <w:left w:val="single" w:color="auto" w:sz="2"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noWrap w:val="0"/>
                  <w:vAlign w:val="center"/>
                </w:tcPr>
                <w:p w14:paraId="396A78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4</w:t>
                  </w:r>
                </w:p>
              </w:tc>
              <w:tc>
                <w:tcPr>
                  <w:tcW w:w="2537" w:type="pct"/>
                  <w:tcBorders>
                    <w:tl2br w:val="nil"/>
                    <w:tr2bl w:val="nil"/>
                  </w:tcBorders>
                  <w:noWrap w:val="0"/>
                  <w:vAlign w:val="center"/>
                </w:tcPr>
                <w:p w14:paraId="3680BB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552" w:type="pct"/>
                  <w:tcBorders>
                    <w:tl2br w:val="nil"/>
                    <w:tr2bl w:val="nil"/>
                  </w:tcBorders>
                  <w:noWrap w:val="0"/>
                  <w:vAlign w:val="center"/>
                </w:tcPr>
                <w:p w14:paraId="294433A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val="en-US" w:eastAsia="zh-CN"/>
                    </w:rPr>
                  </w:pPr>
                  <w:r>
                    <w:rPr>
                      <w:rFonts w:hint="default" w:ascii="Times New Roman" w:hAnsi="Times New Roman" w:cs="Times New Roman" w:eastAsiaTheme="minorEastAsia"/>
                      <w:color w:val="auto"/>
                      <w:kern w:val="0"/>
                      <w:sz w:val="21"/>
                      <w:szCs w:val="21"/>
                      <w:highlight w:val="none"/>
                      <w:shd w:val="clear" w:color="auto" w:fill="auto"/>
                      <w:lang w:val="en-US" w:eastAsia="zh-CN"/>
                    </w:rPr>
                    <w:t>本项目不属于该禁止类范畴</w:t>
                  </w:r>
                </w:p>
              </w:tc>
              <w:tc>
                <w:tcPr>
                  <w:tcW w:w="581" w:type="pct"/>
                  <w:tcBorders>
                    <w:tl2br w:val="nil"/>
                    <w:tr2bl w:val="nil"/>
                  </w:tcBorders>
                  <w:noWrap w:val="0"/>
                  <w:vAlign w:val="center"/>
                </w:tcPr>
                <w:p w14:paraId="033AB41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符合</w:t>
                  </w:r>
                </w:p>
              </w:tc>
            </w:tr>
            <w:tr w14:paraId="330A6D15">
              <w:tblPrEx>
                <w:tblBorders>
                  <w:top w:val="single" w:color="auto" w:sz="2" w:space="0"/>
                  <w:left w:val="single" w:color="auto" w:sz="2"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noWrap w:val="0"/>
                  <w:vAlign w:val="center"/>
                </w:tcPr>
                <w:p w14:paraId="5F95144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5</w:t>
                  </w:r>
                </w:p>
              </w:tc>
              <w:tc>
                <w:tcPr>
                  <w:tcW w:w="2537" w:type="pct"/>
                  <w:tcBorders>
                    <w:tl2br w:val="nil"/>
                    <w:tr2bl w:val="nil"/>
                  </w:tcBorders>
                  <w:noWrap w:val="0"/>
                  <w:vAlign w:val="center"/>
                </w:tcPr>
                <w:p w14:paraId="03DD28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蔡止在《全国重要江河湖泊水功能区划》划定的河段及湖泊保护区、保留区内投资建设不利于水资源及自然生态保护的项目。</w:t>
                  </w:r>
                </w:p>
              </w:tc>
              <w:tc>
                <w:tcPr>
                  <w:tcW w:w="1552" w:type="pct"/>
                  <w:tcBorders>
                    <w:tl2br w:val="nil"/>
                    <w:tr2bl w:val="nil"/>
                  </w:tcBorders>
                  <w:noWrap w:val="0"/>
                  <w:vAlign w:val="center"/>
                </w:tcPr>
                <w:p w14:paraId="6669B98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eastAsia="zh-CN"/>
                    </w:rPr>
                  </w:pPr>
                  <w:r>
                    <w:rPr>
                      <w:rFonts w:hint="default" w:ascii="Times New Roman" w:hAnsi="Times New Roman" w:cs="Times New Roman" w:eastAsiaTheme="minorEastAsia"/>
                      <w:color w:val="auto"/>
                      <w:kern w:val="0"/>
                      <w:sz w:val="21"/>
                      <w:szCs w:val="21"/>
                      <w:highlight w:val="none"/>
                      <w:shd w:val="clear" w:color="auto" w:fill="auto"/>
                      <w:lang w:val="en-US" w:eastAsia="zh-CN"/>
                    </w:rPr>
                    <w:t>本项目</w:t>
                  </w:r>
                  <w:r>
                    <w:rPr>
                      <w:rFonts w:hint="default" w:ascii="Times New Roman" w:hAnsi="Times New Roman" w:cs="Times New Roman" w:eastAsiaTheme="minorEastAsia"/>
                      <w:color w:val="auto"/>
                      <w:kern w:val="0"/>
                      <w:sz w:val="21"/>
                      <w:szCs w:val="21"/>
                      <w:highlight w:val="none"/>
                      <w:shd w:val="clear" w:color="auto" w:fill="auto"/>
                    </w:rPr>
                    <w:t>所在区域不属于禁止建设的区域，亦不属于禁止建设的项目</w:t>
                  </w:r>
                </w:p>
              </w:tc>
              <w:tc>
                <w:tcPr>
                  <w:tcW w:w="581" w:type="pct"/>
                  <w:tcBorders>
                    <w:tl2br w:val="nil"/>
                    <w:tr2bl w:val="nil"/>
                  </w:tcBorders>
                  <w:noWrap w:val="0"/>
                  <w:vAlign w:val="center"/>
                </w:tcPr>
                <w:p w14:paraId="32038EB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符合</w:t>
                  </w:r>
                </w:p>
              </w:tc>
            </w:tr>
            <w:tr w14:paraId="0E726512">
              <w:tblPrEx>
                <w:tblBorders>
                  <w:top w:val="single" w:color="auto" w:sz="2" w:space="0"/>
                  <w:left w:val="single" w:color="auto" w:sz="2" w:space="0"/>
                  <w:bottom w:val="single" w:color="auto" w:sz="4"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28" w:type="pct"/>
                  <w:tcBorders>
                    <w:tl2br w:val="nil"/>
                    <w:tr2bl w:val="nil"/>
                  </w:tcBorders>
                  <w:noWrap w:val="0"/>
                  <w:vAlign w:val="center"/>
                </w:tcPr>
                <w:p w14:paraId="00E38E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6</w:t>
                  </w:r>
                </w:p>
              </w:tc>
              <w:tc>
                <w:tcPr>
                  <w:tcW w:w="2537" w:type="pct"/>
                  <w:tcBorders>
                    <w:tl2br w:val="nil"/>
                    <w:tr2bl w:val="nil"/>
                  </w:tcBorders>
                  <w:noWrap w:val="0"/>
                  <w:vAlign w:val="center"/>
                </w:tcPr>
                <w:p w14:paraId="07A571D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禁止未经许可在长江干支流及湖泊新设、改设或扩大排污</w:t>
                  </w:r>
                  <w:r>
                    <w:rPr>
                      <w:rFonts w:hint="default" w:ascii="Times New Roman" w:hAnsi="Times New Roman" w:cs="Times New Roman" w:eastAsiaTheme="minorEastAsia"/>
                      <w:color w:val="auto"/>
                      <w:kern w:val="0"/>
                      <w:sz w:val="21"/>
                      <w:szCs w:val="21"/>
                      <w:highlight w:val="none"/>
                      <w:shd w:val="clear" w:color="auto" w:fill="auto"/>
                      <w:lang w:val="en-US" w:eastAsia="zh-CN"/>
                    </w:rPr>
                    <w:t>口</w:t>
                  </w:r>
                  <w:r>
                    <w:rPr>
                      <w:rFonts w:hint="default" w:ascii="Times New Roman" w:hAnsi="Times New Roman" w:cs="Times New Roman" w:eastAsiaTheme="minorEastAsia"/>
                      <w:color w:val="auto"/>
                      <w:kern w:val="0"/>
                      <w:sz w:val="21"/>
                      <w:szCs w:val="21"/>
                      <w:highlight w:val="none"/>
                      <w:shd w:val="clear" w:color="auto" w:fill="auto"/>
                    </w:rPr>
                    <w:t>。</w:t>
                  </w:r>
                </w:p>
              </w:tc>
              <w:tc>
                <w:tcPr>
                  <w:tcW w:w="1552" w:type="pct"/>
                  <w:tcBorders>
                    <w:tl2br w:val="nil"/>
                    <w:tr2bl w:val="nil"/>
                  </w:tcBorders>
                  <w:noWrap w:val="0"/>
                  <w:vAlign w:val="center"/>
                </w:tcPr>
                <w:p w14:paraId="5C921E9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val="en-US" w:eastAsia="zh-CN"/>
                    </w:rPr>
                  </w:pPr>
                  <w:r>
                    <w:rPr>
                      <w:rFonts w:hint="default" w:ascii="Times New Roman" w:hAnsi="Times New Roman" w:cs="Times New Roman" w:eastAsiaTheme="minorEastAsia"/>
                      <w:color w:val="auto"/>
                      <w:kern w:val="0"/>
                      <w:sz w:val="21"/>
                      <w:szCs w:val="21"/>
                      <w:highlight w:val="none"/>
                      <w:shd w:val="clear" w:color="auto" w:fill="auto"/>
                      <w:lang w:val="en-US" w:eastAsia="zh-CN"/>
                    </w:rPr>
                    <w:t>本项目不涉及在</w:t>
                  </w:r>
                  <w:r>
                    <w:rPr>
                      <w:rFonts w:hint="default" w:ascii="Times New Roman" w:hAnsi="Times New Roman" w:cs="Times New Roman" w:eastAsiaTheme="minorEastAsia"/>
                      <w:color w:val="auto"/>
                      <w:kern w:val="0"/>
                      <w:sz w:val="21"/>
                      <w:szCs w:val="21"/>
                      <w:highlight w:val="none"/>
                      <w:shd w:val="clear" w:color="auto" w:fill="auto"/>
                    </w:rPr>
                    <w:t>长江干支流及湖泊</w:t>
                  </w:r>
                  <w:r>
                    <w:rPr>
                      <w:rFonts w:hint="default" w:ascii="Times New Roman" w:hAnsi="Times New Roman" w:cs="Times New Roman" w:eastAsiaTheme="minorEastAsia"/>
                      <w:color w:val="auto"/>
                      <w:kern w:val="0"/>
                      <w:sz w:val="21"/>
                      <w:szCs w:val="21"/>
                      <w:highlight w:val="none"/>
                      <w:shd w:val="clear" w:color="auto" w:fill="auto"/>
                      <w:lang w:eastAsia="zh-CN"/>
                    </w:rPr>
                    <w:t>设置排污口</w:t>
                  </w:r>
                </w:p>
              </w:tc>
              <w:tc>
                <w:tcPr>
                  <w:tcW w:w="581" w:type="pct"/>
                  <w:tcBorders>
                    <w:tl2br w:val="nil"/>
                    <w:tr2bl w:val="nil"/>
                  </w:tcBorders>
                  <w:noWrap w:val="0"/>
                  <w:vAlign w:val="center"/>
                </w:tcPr>
                <w:p w14:paraId="682A762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rPr>
                  </w:pPr>
                  <w:r>
                    <w:rPr>
                      <w:rFonts w:hint="default" w:ascii="Times New Roman" w:hAnsi="Times New Roman" w:cs="Times New Roman" w:eastAsiaTheme="minorEastAsia"/>
                      <w:color w:val="auto"/>
                      <w:kern w:val="0"/>
                      <w:sz w:val="21"/>
                      <w:szCs w:val="21"/>
                      <w:highlight w:val="none"/>
                      <w:shd w:val="clear" w:color="auto" w:fill="auto"/>
                    </w:rPr>
                    <w:t>符合</w:t>
                  </w:r>
                </w:p>
              </w:tc>
            </w:tr>
          </w:tbl>
          <w:p w14:paraId="0F8FDEAE">
            <w:pPr>
              <w:pStyle w:val="2"/>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综上所述，项目与《长江经济带发展负面清单指南（试行，2022年版）》的相关内容相符。</w:t>
            </w:r>
          </w:p>
          <w:p w14:paraId="08E0472B">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cs="Times New Roman"/>
                <w:b/>
                <w:bCs/>
                <w:color w:val="auto"/>
                <w:highlight w:val="none"/>
                <w:shd w:val="clear" w:color="auto" w:fill="auto"/>
                <w:lang w:val="en-US" w:eastAsia="zh-CN"/>
              </w:rPr>
            </w:pPr>
            <w:r>
              <w:rPr>
                <w:rFonts w:hint="eastAsia" w:cs="Times New Roman"/>
                <w:b/>
                <w:bCs/>
                <w:color w:val="auto"/>
                <w:highlight w:val="none"/>
                <w:shd w:val="clear" w:color="auto" w:fill="auto"/>
                <w:lang w:val="en-US" w:eastAsia="zh-CN"/>
              </w:rPr>
              <w:t>18、生物质锅炉与《产业结构调整指导目录（2024年本）》的符合性分析</w:t>
            </w:r>
          </w:p>
          <w:p w14:paraId="060350B9">
            <w:pPr>
              <w:pStyle w:val="2"/>
              <w:jc w:val="both"/>
              <w:rPr>
                <w:rFonts w:hint="eastAsia" w:cs="Times New Roman"/>
                <w:b/>
                <w:bCs/>
                <w:color w:val="auto"/>
                <w:highlight w:val="none"/>
                <w:shd w:val="clear" w:color="auto" w:fill="auto"/>
                <w:lang w:val="en-US" w:eastAsia="zh-CN"/>
              </w:rPr>
            </w:pPr>
            <w:r>
              <w:rPr>
                <w:rFonts w:hint="eastAsia" w:ascii="Times New Roman" w:hAnsi="Times New Roman" w:eastAsia="宋体" w:cs="Times New Roman"/>
                <w:color w:val="auto"/>
                <w:sz w:val="24"/>
                <w:szCs w:val="24"/>
                <w:lang w:val="en-US" w:eastAsia="zh-CN"/>
              </w:rPr>
              <w:t>根据《产业结构调整指导目录（2024年本）》可知，每小时2蒸吨及以下生物质锅炉属于淘汰类，每小时 35 蒸吨及以下固定炉排式生物质锅炉属于限值类，根据建设单位提供的资料，本项目拟建设1台3t/h的生物蒸汽发生器，产品型号为WHG3.0，生产地址为泰安市山口镇工业园区，本项目拟建设的3t/h的生物质蒸汽发生器不属于每小时2蒸吨及以下生物质锅炉，也不属于每小时 35 蒸吨及以下固定炉排式生物质锅炉，</w:t>
            </w:r>
            <w:r>
              <w:rPr>
                <w:rFonts w:hint="eastAsia" w:cs="Times New Roman"/>
                <w:color w:val="auto"/>
                <w:sz w:val="24"/>
                <w:szCs w:val="24"/>
                <w:lang w:val="en-US" w:eastAsia="zh-CN"/>
              </w:rPr>
              <w:t>本项目拟建设的生物质锅炉不属于限制类，也不属于淘汰类，</w:t>
            </w:r>
            <w:r>
              <w:rPr>
                <w:rFonts w:hint="eastAsia" w:ascii="Times New Roman" w:hAnsi="Times New Roman" w:eastAsia="宋体" w:cs="Times New Roman"/>
                <w:color w:val="auto"/>
                <w:sz w:val="24"/>
                <w:szCs w:val="24"/>
                <w:lang w:val="en-US" w:eastAsia="zh-CN"/>
              </w:rPr>
              <w:t>为允许类，故本项目拟建设的3t/h的生物质蒸汽发生器是合理可行的。</w:t>
            </w:r>
          </w:p>
          <w:p w14:paraId="0264517F">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Times New Roman" w:hAnsi="Times New Roman" w:cs="Times New Roman"/>
                <w:b/>
                <w:bCs/>
                <w:color w:val="auto"/>
                <w:highlight w:val="none"/>
                <w:shd w:val="clear" w:color="auto" w:fill="auto"/>
                <w:lang w:val="en-US" w:eastAsia="zh-CN"/>
              </w:rPr>
            </w:pPr>
            <w:r>
              <w:rPr>
                <w:rFonts w:hint="eastAsia" w:cs="Times New Roman"/>
                <w:b/>
                <w:bCs/>
                <w:color w:val="auto"/>
                <w:highlight w:val="none"/>
                <w:shd w:val="clear" w:color="auto" w:fill="auto"/>
                <w:lang w:val="en-US" w:eastAsia="zh-CN"/>
              </w:rPr>
              <w:t>19、</w:t>
            </w:r>
            <w:r>
              <w:rPr>
                <w:rFonts w:hint="eastAsia" w:ascii="Times New Roman" w:hAnsi="Times New Roman" w:cs="Times New Roman"/>
                <w:b/>
                <w:bCs/>
                <w:color w:val="auto"/>
                <w:highlight w:val="none"/>
                <w:shd w:val="clear" w:color="auto" w:fill="auto"/>
                <w:lang w:val="en-US" w:eastAsia="zh-CN"/>
              </w:rPr>
              <w:t>项目与《玉溪市红塔区北城街道国土空间规划（2021-2035年）》的符合性分析</w:t>
            </w:r>
          </w:p>
          <w:p w14:paraId="257415D9">
            <w:pPr>
              <w:keepNext w:val="0"/>
              <w:pageBreakBefore w:val="0"/>
              <w:tabs>
                <w:tab w:val="left" w:pos="4830"/>
              </w:tabs>
              <w:kinsoku/>
              <w:overflowPunct/>
              <w:bidi w:val="0"/>
              <w:spacing w:line="360" w:lineRule="auto"/>
              <w:ind w:firstLine="480" w:firstLineChars="200"/>
              <w:rPr>
                <w:rFonts w:hint="eastAsia" w:cs="Times New Roman"/>
                <w:color w:val="auto"/>
                <w:kern w:val="0"/>
                <w:sz w:val="24"/>
                <w:szCs w:val="24"/>
                <w:lang w:val="en-US" w:eastAsia="zh-CN"/>
              </w:rPr>
            </w:pPr>
            <w:r>
              <w:rPr>
                <w:rFonts w:hint="default" w:ascii="Times New Roman" w:hAnsi="Times New Roman" w:cs="Times New Roman"/>
                <w:color w:val="auto"/>
                <w:kern w:val="0"/>
                <w:sz w:val="24"/>
                <w:szCs w:val="24"/>
              </w:rPr>
              <w:t>本项目与《</w:t>
            </w:r>
            <w:r>
              <w:rPr>
                <w:rFonts w:hint="eastAsia" w:cs="Times New Roman"/>
                <w:color w:val="auto"/>
                <w:sz w:val="24"/>
                <w:szCs w:val="24"/>
                <w:lang w:val="en-US" w:eastAsia="zh-CN"/>
              </w:rPr>
              <w:t>玉溪市红塔区北城街道国土空间规划（2021-2035年）</w:t>
            </w:r>
            <w:r>
              <w:rPr>
                <w:rFonts w:hint="default" w:ascii="Times New Roman" w:hAnsi="Times New Roman" w:cs="Times New Roman"/>
                <w:color w:val="auto"/>
                <w:kern w:val="0"/>
                <w:sz w:val="24"/>
                <w:szCs w:val="24"/>
              </w:rPr>
              <w:t>》相符性分析详见下表</w:t>
            </w:r>
            <w:r>
              <w:rPr>
                <w:rFonts w:hint="eastAsia" w:cs="Times New Roman"/>
                <w:color w:val="auto"/>
                <w:kern w:val="0"/>
                <w:sz w:val="24"/>
                <w:szCs w:val="24"/>
                <w:lang w:val="en-US" w:eastAsia="zh-CN"/>
              </w:rPr>
              <w:t>15。</w:t>
            </w:r>
          </w:p>
          <w:p w14:paraId="1F76E508">
            <w:pPr>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eastAsia" w:ascii="Times New Roman" w:hAnsi="Times New Roman" w:eastAsia="宋体" w:cs="Times New Roman"/>
                <w:b/>
                <w:bCs/>
                <w:snapToGrid/>
                <w:color w:val="auto"/>
                <w:kern w:val="2"/>
                <w:sz w:val="24"/>
                <w:szCs w:val="24"/>
                <w:highlight w:val="none"/>
                <w:shd w:val="clear" w:color="auto" w:fill="auto"/>
                <w:lang w:val="en-US" w:eastAsia="zh-CN"/>
              </w:rPr>
            </w:pPr>
            <w:r>
              <w:rPr>
                <w:rFonts w:hint="eastAsia" w:ascii="Times New Roman" w:hAnsi="Times New Roman" w:eastAsia="宋体" w:cs="Times New Roman"/>
                <w:b/>
                <w:bCs/>
                <w:snapToGrid/>
                <w:color w:val="auto"/>
                <w:kern w:val="2"/>
                <w:sz w:val="24"/>
                <w:szCs w:val="24"/>
                <w:highlight w:val="none"/>
                <w:shd w:val="clear" w:color="auto" w:fill="auto"/>
                <w:lang w:val="en-US" w:eastAsia="zh-CN"/>
              </w:rPr>
              <w:t>表15 项目与《玉溪市红塔区北城街道国土空间规划</w:t>
            </w:r>
          </w:p>
          <w:p w14:paraId="0EFA1249">
            <w:pPr>
              <w:keepNext w:val="0"/>
              <w:keepLines w:val="0"/>
              <w:pageBreakBefore w:val="0"/>
              <w:widowControl w:val="0"/>
              <w:kinsoku/>
              <w:wordWrap/>
              <w:overflowPunct/>
              <w:topLinePunct w:val="0"/>
              <w:autoSpaceDE/>
              <w:autoSpaceDN/>
              <w:bidi w:val="0"/>
              <w:adjustRightInd/>
              <w:snapToGrid/>
              <w:spacing w:beforeLines="0" w:line="240" w:lineRule="auto"/>
              <w:ind w:firstLine="0" w:firstLineChars="0"/>
              <w:jc w:val="center"/>
              <w:textAlignment w:val="auto"/>
              <w:rPr>
                <w:rFonts w:hint="eastAsia" w:ascii="Times New Roman" w:hAnsi="Times New Roman" w:eastAsia="宋体" w:cs="Times New Roman"/>
                <w:b/>
                <w:bCs/>
                <w:snapToGrid/>
                <w:color w:val="auto"/>
                <w:kern w:val="2"/>
                <w:sz w:val="24"/>
                <w:szCs w:val="24"/>
                <w:highlight w:val="none"/>
                <w:shd w:val="clear" w:color="auto" w:fill="auto"/>
                <w:lang w:val="en-US" w:eastAsia="zh-CN"/>
              </w:rPr>
            </w:pPr>
            <w:r>
              <w:rPr>
                <w:rFonts w:hint="eastAsia" w:ascii="Times New Roman" w:hAnsi="Times New Roman" w:eastAsia="宋体" w:cs="Times New Roman"/>
                <w:b/>
                <w:bCs/>
                <w:snapToGrid/>
                <w:color w:val="auto"/>
                <w:kern w:val="2"/>
                <w:sz w:val="24"/>
                <w:szCs w:val="24"/>
                <w:highlight w:val="none"/>
                <w:shd w:val="clear" w:color="auto" w:fill="auto"/>
                <w:lang w:val="en-US" w:eastAsia="zh-CN"/>
              </w:rPr>
              <w:t>（2021-2035年）》的符合性分析</w:t>
            </w:r>
          </w:p>
          <w:tbl>
            <w:tblPr>
              <w:tblStyle w:val="34"/>
              <w:tblW w:w="67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0"/>
              <w:gridCol w:w="1801"/>
              <w:gridCol w:w="747"/>
            </w:tblGrid>
            <w:tr w14:paraId="24B0F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4230" w:type="dxa"/>
                  <w:vAlign w:val="center"/>
                </w:tcPr>
                <w:p w14:paraId="2A20B7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vertAlign w:val="baseline"/>
                      <w:lang w:val="en-US" w:eastAsia="zh-CN"/>
                    </w:rPr>
                  </w:pPr>
                  <w:r>
                    <w:rPr>
                      <w:rFonts w:hint="default" w:ascii="Times New Roman" w:hAnsi="Times New Roman" w:cs="Times New Roman" w:eastAsiaTheme="minorEastAsia"/>
                      <w:b/>
                      <w:bCs/>
                      <w:color w:val="auto"/>
                      <w:sz w:val="21"/>
                      <w:szCs w:val="21"/>
                      <w:lang w:val="en-US" w:eastAsia="zh-CN"/>
                    </w:rPr>
                    <w:t>玉溪市红塔区北城街道国土空间规划（2021-2035年）</w:t>
                  </w:r>
                </w:p>
              </w:tc>
              <w:tc>
                <w:tcPr>
                  <w:tcW w:w="1801" w:type="dxa"/>
                  <w:vAlign w:val="center"/>
                </w:tcPr>
                <w:p w14:paraId="077EEED0">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本项目</w:t>
                  </w:r>
                  <w:r>
                    <w:rPr>
                      <w:rFonts w:hint="default" w:ascii="Times New Roman" w:hAnsi="Times New Roman" w:cs="Times New Roman" w:eastAsiaTheme="minorEastAsia"/>
                      <w:b/>
                      <w:bCs/>
                      <w:color w:val="auto"/>
                      <w:sz w:val="21"/>
                      <w:szCs w:val="21"/>
                      <w:lang w:val="en-US" w:eastAsia="zh-CN"/>
                    </w:rPr>
                    <w:t>实际</w:t>
                  </w:r>
                  <w:r>
                    <w:rPr>
                      <w:rFonts w:hint="default" w:ascii="Times New Roman" w:hAnsi="Times New Roman" w:cs="Times New Roman" w:eastAsiaTheme="minorEastAsia"/>
                      <w:b/>
                      <w:bCs/>
                      <w:color w:val="auto"/>
                      <w:sz w:val="21"/>
                      <w:szCs w:val="21"/>
                    </w:rPr>
                    <w:t>情况</w:t>
                  </w:r>
                </w:p>
              </w:tc>
              <w:tc>
                <w:tcPr>
                  <w:tcW w:w="747" w:type="dxa"/>
                  <w:vAlign w:val="center"/>
                </w:tcPr>
                <w:p w14:paraId="3A31EECF">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符合性</w:t>
                  </w:r>
                </w:p>
              </w:tc>
            </w:tr>
            <w:tr w14:paraId="4F031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9" w:hRule="atLeast"/>
              </w:trPr>
              <w:tc>
                <w:tcPr>
                  <w:tcW w:w="4230" w:type="dxa"/>
                  <w:vAlign w:val="center"/>
                </w:tcPr>
                <w:p w14:paraId="656FA13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val="en-US" w:eastAsia="zh-CN"/>
                    </w:rPr>
                  </w:pPr>
                  <w:r>
                    <w:rPr>
                      <w:rFonts w:hint="default" w:ascii="Times New Roman" w:hAnsi="Times New Roman" w:cs="Times New Roman" w:eastAsiaTheme="minorEastAsia"/>
                      <w:color w:val="auto"/>
                      <w:kern w:val="0"/>
                      <w:sz w:val="21"/>
                      <w:szCs w:val="21"/>
                      <w:highlight w:val="none"/>
                      <w:shd w:val="clear" w:color="auto" w:fill="auto"/>
                    </w:rPr>
                    <w:t>规划用地布局优先满足产业园区未来发展及城市更新需求，遵循总体布局和空间结构合理原则，确保居住、公共管理与公共服务、商业服务业、工业、物流仓储、绿地与开敞空间形成布局协调和结构合理的用地布局结构。</w:t>
                  </w:r>
                </w:p>
              </w:tc>
              <w:tc>
                <w:tcPr>
                  <w:tcW w:w="1801" w:type="dxa"/>
                  <w:vMerge w:val="restart"/>
                  <w:vAlign w:val="center"/>
                </w:tcPr>
                <w:p w14:paraId="3DD6F2F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val="en-US" w:eastAsia="zh-CN"/>
                    </w:rPr>
                  </w:pPr>
                  <w:r>
                    <w:rPr>
                      <w:rFonts w:hint="default" w:ascii="Times New Roman" w:hAnsi="Times New Roman" w:cs="Times New Roman" w:eastAsiaTheme="minorEastAsia"/>
                      <w:color w:val="auto"/>
                      <w:kern w:val="0"/>
                      <w:sz w:val="21"/>
                      <w:szCs w:val="21"/>
                      <w:highlight w:val="none"/>
                      <w:shd w:val="clear" w:color="auto" w:fill="auto"/>
                      <w:lang w:val="en-US" w:eastAsia="zh-CN"/>
                    </w:rPr>
                    <w:t>本项目</w:t>
                  </w:r>
                  <w:r>
                    <w:rPr>
                      <w:rFonts w:hint="default" w:ascii="Times New Roman" w:hAnsi="Times New Roman" w:cs="Times New Roman" w:eastAsiaTheme="minorEastAsia"/>
                      <w:color w:val="auto"/>
                      <w:kern w:val="0"/>
                      <w:sz w:val="21"/>
                      <w:szCs w:val="21"/>
                      <w:highlight w:val="none"/>
                      <w:shd w:val="clear" w:color="auto" w:fill="auto"/>
                    </w:rPr>
                    <w:t>遵循总体布局和空间结构</w:t>
                  </w:r>
                  <w:r>
                    <w:rPr>
                      <w:rFonts w:hint="default" w:ascii="Times New Roman" w:hAnsi="Times New Roman" w:cs="Times New Roman" w:eastAsiaTheme="minorEastAsia"/>
                      <w:color w:val="auto"/>
                      <w:kern w:val="0"/>
                      <w:sz w:val="21"/>
                      <w:szCs w:val="21"/>
                      <w:highlight w:val="none"/>
                      <w:shd w:val="clear" w:color="auto" w:fill="auto"/>
                      <w:lang w:eastAsia="zh-CN"/>
                    </w:rPr>
                    <w:t>，</w:t>
                  </w:r>
                  <w:r>
                    <w:rPr>
                      <w:rFonts w:hint="default" w:ascii="Times New Roman" w:hAnsi="Times New Roman" w:cs="Times New Roman" w:eastAsiaTheme="minorEastAsia"/>
                      <w:color w:val="auto"/>
                      <w:kern w:val="0"/>
                      <w:sz w:val="21"/>
                      <w:szCs w:val="21"/>
                      <w:highlight w:val="none"/>
                      <w:shd w:val="clear" w:color="auto" w:fill="auto"/>
                      <w:lang w:val="en-US" w:eastAsia="zh-CN"/>
                    </w:rPr>
                    <w:t>根据玉溪市红塔区北城街道国土空间规划（2021-2035年），本项目位于工业发展区，本项目主要利用EPS生产塑料颗粒，符合工业发展区的定位，本项目与工业发展区位置关系图详见附图7。</w:t>
                  </w:r>
                </w:p>
              </w:tc>
              <w:tc>
                <w:tcPr>
                  <w:tcW w:w="747" w:type="dxa"/>
                  <w:vMerge w:val="restart"/>
                  <w:vAlign w:val="center"/>
                </w:tcPr>
                <w:p w14:paraId="1805D2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val="en-US" w:eastAsia="zh-CN"/>
                    </w:rPr>
                  </w:pPr>
                  <w:r>
                    <w:rPr>
                      <w:rFonts w:hint="default" w:ascii="Times New Roman" w:hAnsi="Times New Roman" w:cs="Times New Roman" w:eastAsiaTheme="minorEastAsia"/>
                      <w:color w:val="auto"/>
                      <w:kern w:val="0"/>
                      <w:sz w:val="21"/>
                      <w:szCs w:val="21"/>
                      <w:highlight w:val="none"/>
                      <w:shd w:val="clear" w:color="auto" w:fill="auto"/>
                      <w:lang w:val="en-US" w:eastAsia="zh-CN"/>
                    </w:rPr>
                    <w:t>符合</w:t>
                  </w:r>
                </w:p>
              </w:tc>
            </w:tr>
            <w:tr w14:paraId="5EF72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4230" w:type="dxa"/>
                  <w:vAlign w:val="center"/>
                </w:tcPr>
                <w:p w14:paraId="31C4DCB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val="en-US" w:eastAsia="zh-CN"/>
                    </w:rPr>
                  </w:pPr>
                  <w:r>
                    <w:rPr>
                      <w:rFonts w:hint="default" w:ascii="Times New Roman" w:hAnsi="Times New Roman" w:cs="Times New Roman" w:eastAsiaTheme="minorEastAsia"/>
                      <w:color w:val="auto"/>
                      <w:kern w:val="0"/>
                      <w:sz w:val="21"/>
                      <w:szCs w:val="21"/>
                      <w:highlight w:val="none"/>
                      <w:shd w:val="clear" w:color="auto" w:fill="auto"/>
                      <w:lang w:val="en-US" w:eastAsia="zh-CN"/>
                    </w:rPr>
                    <w:t>规划分区划分为生态保护区、生态控制区、农田保护区、城镇发展区、乡村发展区五个一级分区，村庄建设区、一般农业区、林业发展区三个二级分区。将全域用地用规划分区中城镇集中建设区细化至三级分区，包括居住生活区、综合服务区、商业商务区、工业发展区、物流仓储区、绿地休闲区、交通枢纽区、战略预留区八类分区。</w:t>
                  </w:r>
                </w:p>
              </w:tc>
              <w:tc>
                <w:tcPr>
                  <w:tcW w:w="1801" w:type="dxa"/>
                  <w:vMerge w:val="continue"/>
                  <w:vAlign w:val="center"/>
                </w:tcPr>
                <w:p w14:paraId="2952BC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val="en-US" w:eastAsia="zh-CN"/>
                    </w:rPr>
                  </w:pPr>
                </w:p>
              </w:tc>
              <w:tc>
                <w:tcPr>
                  <w:tcW w:w="747" w:type="dxa"/>
                  <w:vMerge w:val="continue"/>
                  <w:vAlign w:val="center"/>
                </w:tcPr>
                <w:p w14:paraId="2481D9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eastAsiaTheme="minorEastAsia"/>
                      <w:color w:val="auto"/>
                      <w:kern w:val="0"/>
                      <w:sz w:val="21"/>
                      <w:szCs w:val="21"/>
                      <w:highlight w:val="none"/>
                      <w:shd w:val="clear" w:color="auto" w:fill="auto"/>
                      <w:lang w:val="en-US" w:eastAsia="zh-CN"/>
                    </w:rPr>
                  </w:pPr>
                </w:p>
              </w:tc>
            </w:tr>
          </w:tbl>
          <w:p w14:paraId="5546245B">
            <w:pPr>
              <w:pStyle w:val="2"/>
              <w:jc w:val="both"/>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综上所述，项目与</w:t>
            </w:r>
            <w:r>
              <w:rPr>
                <w:rFonts w:hint="default" w:ascii="Times New Roman" w:hAnsi="Times New Roman" w:cs="Times New Roman"/>
                <w:color w:val="auto"/>
                <w:kern w:val="0"/>
                <w:sz w:val="24"/>
                <w:szCs w:val="24"/>
              </w:rPr>
              <w:t>《</w:t>
            </w:r>
            <w:r>
              <w:rPr>
                <w:rFonts w:hint="eastAsia" w:cs="Times New Roman"/>
                <w:color w:val="auto"/>
                <w:sz w:val="24"/>
                <w:szCs w:val="24"/>
                <w:lang w:val="en-US" w:eastAsia="zh-CN"/>
              </w:rPr>
              <w:t>玉溪市红塔区北城街道国土空间规划（2021-2035年）</w:t>
            </w:r>
            <w:r>
              <w:rPr>
                <w:rFonts w:hint="default" w:ascii="Times New Roman" w:hAnsi="Times New Roman" w:cs="Times New Roman"/>
                <w:color w:val="auto"/>
                <w:kern w:val="0"/>
                <w:sz w:val="24"/>
                <w:szCs w:val="24"/>
              </w:rPr>
              <w:t>》</w:t>
            </w:r>
            <w:r>
              <w:rPr>
                <w:rFonts w:hint="default" w:ascii="Times New Roman" w:hAnsi="Times New Roman" w:eastAsia="宋体" w:cs="Times New Roman"/>
                <w:color w:val="auto"/>
                <w:sz w:val="24"/>
                <w:szCs w:val="24"/>
                <w:lang w:eastAsia="zh-CN"/>
              </w:rPr>
              <w:t>的相关内容相符。</w:t>
            </w:r>
          </w:p>
          <w:p w14:paraId="6B38E4D1">
            <w:pPr>
              <w:pStyle w:val="43"/>
              <w:rPr>
                <w:rFonts w:hint="default" w:ascii="Times New Roman" w:hAnsi="Times New Roman" w:cs="Times New Roman"/>
                <w:color w:val="auto"/>
                <w:sz w:val="20"/>
                <w:szCs w:val="20"/>
              </w:rPr>
            </w:pPr>
          </w:p>
        </w:tc>
      </w:tr>
    </w:tbl>
    <w:p w14:paraId="42CE45FC">
      <w:pPr>
        <w:rPr>
          <w:rFonts w:hint="default" w:ascii="Times New Roman" w:hAnsi="Times New Roman" w:cs="Times New Roman"/>
          <w:color w:val="auto"/>
          <w:szCs w:val="24"/>
        </w:rPr>
      </w:pPr>
      <w:r>
        <w:rPr>
          <w:rFonts w:hint="default" w:ascii="Times New Roman" w:hAnsi="Times New Roman" w:cs="Times New Roman"/>
          <w:color w:val="auto"/>
          <w:szCs w:val="24"/>
        </w:rPr>
        <w:br w:type="page"/>
      </w:r>
    </w:p>
    <w:p w14:paraId="1CDD53BB">
      <w:pPr>
        <w:pStyle w:val="4"/>
        <w:numPr>
          <w:ilvl w:val="0"/>
          <w:numId w:val="0"/>
        </w:numPr>
        <w:ind w:firstLine="0" w:firstLineChars="0"/>
        <w:jc w:val="center"/>
        <w:rPr>
          <w:rFonts w:hint="default" w:ascii="Times New Roman" w:hAnsi="Times New Roman" w:cs="Times New Roman"/>
          <w:color w:val="auto"/>
        </w:rPr>
      </w:pPr>
      <w:bookmarkStart w:id="15" w:name="_Toc309"/>
      <w:r>
        <w:rPr>
          <w:rFonts w:hint="default" w:ascii="Times New Roman" w:hAnsi="Times New Roman" w:eastAsia="宋体" w:cs="Times New Roman"/>
          <w:b/>
          <w:color w:val="auto"/>
          <w:kern w:val="44"/>
          <w:sz w:val="28"/>
          <w:szCs w:val="24"/>
          <w:lang w:val="en-US" w:eastAsia="zh-CN" w:bidi="ar-SA"/>
        </w:rPr>
        <w:t>二、</w:t>
      </w:r>
      <w:r>
        <w:rPr>
          <w:rFonts w:hint="default" w:ascii="Times New Roman" w:hAnsi="Times New Roman" w:cs="Times New Roman"/>
          <w:color w:val="auto"/>
        </w:rPr>
        <w:t>建设项目工程分析</w:t>
      </w:r>
      <w:bookmarkEnd w:id="15"/>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069"/>
      </w:tblGrid>
      <w:tr w14:paraId="4EF88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5" w:type="pct"/>
            <w:vAlign w:val="center"/>
          </w:tcPr>
          <w:p w14:paraId="43A8AF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sz w:val="20"/>
                <w:szCs w:val="20"/>
              </w:rPr>
            </w:pPr>
            <w:r>
              <w:rPr>
                <w:rFonts w:hint="default" w:ascii="Times New Roman" w:hAnsi="Times New Roman" w:cs="Times New Roman"/>
                <w:b w:val="0"/>
                <w:bCs w:val="0"/>
                <w:color w:val="auto"/>
                <w:sz w:val="24"/>
                <w:szCs w:val="24"/>
              </w:rPr>
              <w:t>建设内容</w:t>
            </w:r>
          </w:p>
        </w:tc>
        <w:tc>
          <w:tcPr>
            <w:tcW w:w="4734" w:type="pct"/>
          </w:tcPr>
          <w:p w14:paraId="4AACB15D">
            <w:pPr>
              <w:tabs>
                <w:tab w:val="left" w:pos="4830"/>
              </w:tabs>
              <w:spacing w:line="360" w:lineRule="auto"/>
              <w:ind w:firstLine="482" w:firstLineChars="200"/>
              <w:rPr>
                <w:rFonts w:hint="default" w:ascii="Times New Roman" w:hAnsi="Times New Roman" w:cs="Times New Roman"/>
                <w:color w:val="auto"/>
              </w:rPr>
            </w:pPr>
            <w:r>
              <w:rPr>
                <w:rFonts w:hint="default" w:ascii="Times New Roman" w:hAnsi="Times New Roman" w:cs="Times New Roman"/>
                <w:b/>
                <w:bCs/>
                <w:color w:val="auto"/>
                <w:sz w:val="24"/>
              </w:rPr>
              <w:t>1、项目由来</w:t>
            </w:r>
          </w:p>
          <w:p w14:paraId="10D439E9">
            <w:pPr>
              <w:ind w:firstLine="480"/>
              <w:rPr>
                <w:rFonts w:hint="default" w:ascii="Times New Roman" w:hAnsi="Times New Roman" w:eastAsia="宋体" w:cs="Times New Roman"/>
                <w:b w:val="0"/>
                <w:bCs/>
                <w:color w:val="auto"/>
                <w:sz w:val="24"/>
                <w:szCs w:val="24"/>
                <w:lang w:val="en-US"/>
              </w:rPr>
            </w:pPr>
            <w:r>
              <w:rPr>
                <w:rFonts w:hint="eastAsia" w:ascii="Times New Roman" w:hAnsi="Times New Roman" w:eastAsia="宋体" w:cs="Times New Roman"/>
                <w:b w:val="0"/>
                <w:bCs/>
                <w:color w:val="auto"/>
                <w:sz w:val="24"/>
                <w:szCs w:val="24"/>
              </w:rPr>
              <w:t>随着全球经济的稳步增长和塑料制品需求的逐年攀升，塑料粒子作为塑料制品的基础原材料，在包装、建筑、电子、汽车等多个领域的应用需求持续扩大。</w:t>
            </w:r>
            <w:r>
              <w:rPr>
                <w:rFonts w:hint="eastAsia" w:ascii="Times New Roman" w:hAnsi="Times New Roman" w:eastAsia="宋体" w:cs="Times New Roman"/>
                <w:b w:val="0"/>
                <w:bCs/>
                <w:color w:val="auto"/>
                <w:sz w:val="24"/>
                <w:szCs w:val="24"/>
                <w:lang w:val="en-US" w:eastAsia="zh-CN"/>
              </w:rPr>
              <w:t>目前，</w:t>
            </w:r>
            <w:r>
              <w:rPr>
                <w:rFonts w:hint="eastAsia" w:ascii="Times New Roman" w:hAnsi="Times New Roman" w:eastAsia="宋体" w:cs="Times New Roman"/>
                <w:b w:val="0"/>
                <w:bCs/>
                <w:color w:val="auto"/>
                <w:sz w:val="24"/>
                <w:szCs w:val="24"/>
              </w:rPr>
              <w:t>塑料粒子行业正逐渐向多元化发展，满足不同领域对高性能、特殊功能塑料粒子的需求。据统计</w:t>
            </w:r>
            <w:r>
              <w:rPr>
                <w:rFonts w:hint="eastAsia"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rPr>
              <w:t>2024年全球塑料粒子市场规模已达到数千亿美元，预计到2025年，市场规模将进一步扩大，年复合增长率将保持在5%以上。在此背景下，</w:t>
            </w:r>
            <w:r>
              <w:rPr>
                <w:rFonts w:hint="eastAsia" w:ascii="Times New Roman" w:hAnsi="Times New Roman" w:eastAsia="宋体" w:cs="Times New Roman"/>
                <w:b w:val="0"/>
                <w:bCs/>
                <w:color w:val="auto"/>
                <w:sz w:val="24"/>
                <w:szCs w:val="24"/>
                <w:lang w:val="en-US" w:eastAsia="zh-CN"/>
              </w:rPr>
              <w:t>玉溪轻花工贸有限公司</w:t>
            </w:r>
            <w:r>
              <w:rPr>
                <w:rFonts w:hint="default" w:ascii="Times New Roman" w:hAnsi="Times New Roman" w:eastAsia="宋体" w:cs="Times New Roman"/>
                <w:b w:val="0"/>
                <w:bCs/>
                <w:color w:val="auto"/>
                <w:sz w:val="24"/>
                <w:szCs w:val="24"/>
                <w:lang w:val="en-US" w:eastAsia="zh-CN"/>
              </w:rPr>
              <w:t>拟投资</w:t>
            </w:r>
            <w:r>
              <w:rPr>
                <w:rFonts w:hint="eastAsia" w:ascii="Times New Roman" w:hAnsi="Times New Roman" w:eastAsia="宋体" w:cs="Times New Roman"/>
                <w:b w:val="0"/>
                <w:bCs/>
                <w:color w:val="auto"/>
                <w:sz w:val="24"/>
                <w:szCs w:val="24"/>
                <w:lang w:val="en-US" w:eastAsia="zh-CN"/>
              </w:rPr>
              <w:t>350</w:t>
            </w:r>
            <w:r>
              <w:rPr>
                <w:rFonts w:hint="default" w:ascii="Times New Roman" w:hAnsi="Times New Roman" w:eastAsia="宋体" w:cs="Times New Roman"/>
                <w:b w:val="0"/>
                <w:bCs/>
                <w:color w:val="auto"/>
                <w:sz w:val="24"/>
                <w:szCs w:val="24"/>
                <w:lang w:val="en-US" w:eastAsia="zh-CN"/>
              </w:rPr>
              <w:t>万元</w:t>
            </w:r>
            <w:r>
              <w:rPr>
                <w:rFonts w:hint="eastAsia" w:ascii="Times New Roman" w:hAnsi="Times New Roman" w:eastAsia="宋体" w:cs="Times New Roman"/>
                <w:b w:val="0"/>
                <w:bCs/>
                <w:color w:val="auto"/>
                <w:sz w:val="24"/>
                <w:szCs w:val="24"/>
                <w:lang w:val="en-US" w:eastAsia="zh-CN"/>
              </w:rPr>
              <w:t>，建设1条</w:t>
            </w:r>
            <w:r>
              <w:rPr>
                <w:rFonts w:hint="default" w:ascii="Times New Roman" w:hAnsi="Times New Roman" w:eastAsia="宋体" w:cs="Times New Roman"/>
                <w:b w:val="0"/>
                <w:bCs/>
                <w:color w:val="auto"/>
                <w:sz w:val="24"/>
                <w:szCs w:val="24"/>
                <w:lang w:val="en-US" w:eastAsia="zh-CN"/>
              </w:rPr>
              <w:t>年产</w:t>
            </w:r>
            <w:r>
              <w:rPr>
                <w:rFonts w:hint="eastAsia" w:ascii="Times New Roman" w:hAnsi="Times New Roman" w:eastAsia="宋体" w:cs="Times New Roman"/>
                <w:b w:val="0"/>
                <w:bCs/>
                <w:color w:val="auto"/>
                <w:sz w:val="24"/>
                <w:szCs w:val="24"/>
                <w:lang w:val="en-US" w:eastAsia="zh-CN"/>
              </w:rPr>
              <w:t>100吨EPS泡沫颗粒的生产线。</w:t>
            </w:r>
          </w:p>
          <w:p w14:paraId="03380BF0">
            <w:pPr>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b w:val="0"/>
                <w:bCs/>
                <w:color w:val="auto"/>
                <w:sz w:val="24"/>
                <w:szCs w:val="24"/>
                <w:lang w:val="en-US" w:eastAsia="zh-CN"/>
              </w:rPr>
              <w:t>该项目位于</w:t>
            </w:r>
            <w:r>
              <w:rPr>
                <w:rFonts w:hint="eastAsia" w:ascii="Times New Roman" w:hAnsi="Times New Roman" w:eastAsia="宋体" w:cs="Times New Roman"/>
                <w:b w:val="0"/>
                <w:bCs/>
                <w:color w:val="auto"/>
                <w:sz w:val="24"/>
                <w:szCs w:val="24"/>
                <w:lang w:eastAsia="zh-CN"/>
              </w:rPr>
              <w:t>北城街道刺桐关社区一组岔箐脑，</w:t>
            </w:r>
            <w:r>
              <w:rPr>
                <w:rFonts w:hint="eastAsia" w:ascii="Times New Roman" w:hAnsi="Times New Roman" w:eastAsia="宋体" w:cs="Times New Roman"/>
                <w:b w:val="0"/>
                <w:bCs/>
                <w:color w:val="auto"/>
                <w:sz w:val="24"/>
                <w:szCs w:val="24"/>
                <w:lang w:val="en-US" w:eastAsia="zh-CN"/>
              </w:rPr>
              <w:t>租用</w:t>
            </w:r>
            <w:r>
              <w:rPr>
                <w:rFonts w:hint="eastAsia" w:ascii="Times New Roman" w:hAnsi="Times New Roman" w:eastAsia="宋体" w:cs="Times New Roman"/>
                <w:b w:val="0"/>
                <w:bCs/>
                <w:color w:val="auto"/>
                <w:sz w:val="24"/>
                <w:szCs w:val="24"/>
                <w:lang w:eastAsia="zh-CN"/>
              </w:rPr>
              <w:t>云南省玉溪市红塔区北城街道刺桐关社区一组岔箐脑</w:t>
            </w:r>
            <w:r>
              <w:rPr>
                <w:rFonts w:hint="eastAsia" w:ascii="Times New Roman" w:hAnsi="Times New Roman" w:eastAsia="宋体" w:cs="Times New Roman"/>
                <w:b w:val="0"/>
                <w:bCs/>
                <w:color w:val="auto"/>
                <w:sz w:val="24"/>
                <w:szCs w:val="24"/>
                <w:lang w:val="en-US" w:eastAsia="zh-CN"/>
              </w:rPr>
              <w:t>闲置的1个封闭的厂房和空地进行建设，通过</w:t>
            </w:r>
            <w:r>
              <w:rPr>
                <w:rFonts w:hint="default" w:ascii="Times New Roman" w:hAnsi="Times New Roman" w:eastAsia="宋体" w:cs="Times New Roman"/>
                <w:b w:val="0"/>
                <w:bCs/>
                <w:color w:val="auto"/>
                <w:sz w:val="24"/>
                <w:szCs w:val="24"/>
                <w:lang w:val="en-US" w:eastAsia="zh-CN"/>
              </w:rPr>
              <w:t>购置</w:t>
            </w:r>
            <w:r>
              <w:rPr>
                <w:rFonts w:hint="eastAsia" w:ascii="Times New Roman" w:hAnsi="Times New Roman" w:eastAsia="宋体" w:cs="Times New Roman"/>
                <w:b w:val="0"/>
                <w:bCs/>
                <w:color w:val="auto"/>
                <w:sz w:val="24"/>
                <w:szCs w:val="24"/>
              </w:rPr>
              <w:t>间歇式预发泡机</w:t>
            </w:r>
            <w:r>
              <w:rPr>
                <w:rFonts w:hint="eastAsia"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rPr>
              <w:t>流化床</w:t>
            </w:r>
            <w:r>
              <w:rPr>
                <w:rFonts w:hint="eastAsia"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rPr>
              <w:t>熟化仓</w:t>
            </w:r>
            <w:r>
              <w:rPr>
                <w:rFonts w:hint="eastAsia" w:ascii="Times New Roman" w:hAnsi="Times New Roman" w:eastAsia="宋体" w:cs="Times New Roman"/>
                <w:b w:val="0"/>
                <w:bCs/>
                <w:color w:val="auto"/>
                <w:sz w:val="24"/>
                <w:szCs w:val="24"/>
                <w:lang w:eastAsia="zh-CN"/>
              </w:rPr>
              <w:t>、</w:t>
            </w:r>
            <w:r>
              <w:rPr>
                <w:rFonts w:hint="eastAsia" w:ascii="Times New Roman" w:hAnsi="Times New Roman" w:eastAsia="宋体" w:cs="Times New Roman"/>
                <w:b w:val="0"/>
                <w:bCs/>
                <w:color w:val="auto"/>
                <w:sz w:val="24"/>
                <w:szCs w:val="24"/>
                <w:lang w:val="en-US" w:eastAsia="zh-CN"/>
              </w:rPr>
              <w:t>化粪池、</w:t>
            </w:r>
            <w:r>
              <w:rPr>
                <w:rFonts w:hint="eastAsia" w:ascii="Times New Roman" w:hAnsi="Times New Roman" w:eastAsia="宋体" w:cs="Times New Roman"/>
                <w:b w:val="0"/>
                <w:bCs/>
                <w:color w:val="auto"/>
                <w:sz w:val="24"/>
                <w:szCs w:val="24"/>
                <w:lang w:eastAsia="zh-CN"/>
              </w:rPr>
              <w:t>生物质蒸汽发生器</w:t>
            </w:r>
            <w:r>
              <w:rPr>
                <w:rFonts w:hint="default" w:ascii="Times New Roman" w:hAnsi="Times New Roman" w:eastAsia="宋体" w:cs="Times New Roman"/>
                <w:b w:val="0"/>
                <w:bCs/>
                <w:color w:val="auto"/>
                <w:sz w:val="24"/>
                <w:szCs w:val="24"/>
                <w:lang w:val="en-US" w:eastAsia="zh-CN"/>
              </w:rPr>
              <w:t>等设备，建设</w:t>
            </w:r>
            <w:r>
              <w:rPr>
                <w:rFonts w:hint="eastAsia" w:ascii="Times New Roman" w:hAnsi="Times New Roman" w:eastAsia="宋体" w:cs="Times New Roman"/>
                <w:b w:val="0"/>
                <w:bCs/>
                <w:color w:val="auto"/>
                <w:sz w:val="24"/>
                <w:szCs w:val="24"/>
                <w:lang w:val="en-US" w:eastAsia="zh-CN"/>
              </w:rPr>
              <w:t>1条EPS泡沫颗粒</w:t>
            </w:r>
            <w:r>
              <w:rPr>
                <w:rFonts w:hint="default" w:ascii="Times New Roman" w:hAnsi="Times New Roman" w:eastAsia="宋体" w:cs="Times New Roman"/>
                <w:b w:val="0"/>
                <w:bCs/>
                <w:color w:val="auto"/>
                <w:sz w:val="24"/>
                <w:szCs w:val="24"/>
                <w:lang w:val="en-US" w:eastAsia="zh-CN"/>
              </w:rPr>
              <w:t>生产线，</w:t>
            </w:r>
            <w:r>
              <w:rPr>
                <w:rFonts w:hint="eastAsia" w:ascii="Times New Roman" w:hAnsi="Times New Roman" w:eastAsia="宋体" w:cs="Times New Roman"/>
                <w:b w:val="0"/>
                <w:bCs/>
                <w:color w:val="auto"/>
                <w:sz w:val="24"/>
                <w:szCs w:val="24"/>
                <w:lang w:val="en-US" w:eastAsia="zh-CN"/>
              </w:rPr>
              <w:t>建设完成后</w:t>
            </w:r>
            <w:r>
              <w:rPr>
                <w:rFonts w:hint="default" w:ascii="Times New Roman" w:hAnsi="Times New Roman" w:eastAsia="宋体" w:cs="Times New Roman"/>
                <w:b w:val="0"/>
                <w:bCs/>
                <w:color w:val="auto"/>
                <w:sz w:val="24"/>
                <w:szCs w:val="24"/>
                <w:lang w:val="en-US" w:eastAsia="zh-CN"/>
              </w:rPr>
              <w:t>形成年产</w:t>
            </w:r>
            <w:r>
              <w:rPr>
                <w:rFonts w:hint="eastAsia" w:ascii="Times New Roman" w:hAnsi="Times New Roman" w:eastAsia="宋体" w:cs="Times New Roman"/>
                <w:b w:val="0"/>
                <w:bCs/>
                <w:color w:val="auto"/>
                <w:sz w:val="24"/>
                <w:szCs w:val="24"/>
                <w:lang w:val="en-US" w:eastAsia="zh-CN"/>
              </w:rPr>
              <w:t>100吨EPS泡沫颗粒</w:t>
            </w:r>
            <w:r>
              <w:rPr>
                <w:rFonts w:hint="default" w:ascii="Times New Roman" w:hAnsi="Times New Roman" w:eastAsia="宋体" w:cs="Times New Roman"/>
                <w:b w:val="0"/>
                <w:bCs/>
                <w:color w:val="auto"/>
                <w:sz w:val="24"/>
                <w:szCs w:val="24"/>
                <w:lang w:val="en-US" w:eastAsia="zh-CN"/>
              </w:rPr>
              <w:t>的生产能力。该项目于</w:t>
            </w:r>
            <w:r>
              <w:rPr>
                <w:rFonts w:hint="default" w:ascii="Times New Roman" w:hAnsi="Times New Roman" w:eastAsia="宋体" w:cs="Times New Roman"/>
                <w:b w:val="0"/>
                <w:bCs/>
                <w:color w:val="auto"/>
                <w:sz w:val="24"/>
                <w:szCs w:val="24"/>
                <w:lang w:eastAsia="zh-CN"/>
              </w:rPr>
              <w:t>202</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eastAsia="zh-CN"/>
              </w:rPr>
              <w:t>年0</w:t>
            </w:r>
            <w:r>
              <w:rPr>
                <w:rFonts w:hint="eastAsia" w:ascii="Times New Roman" w:hAnsi="Times New Roman" w:eastAsia="宋体" w:cs="Times New Roman"/>
                <w:b w:val="0"/>
                <w:bCs/>
                <w:color w:val="auto"/>
                <w:sz w:val="24"/>
                <w:szCs w:val="24"/>
                <w:lang w:val="en-US" w:eastAsia="zh-CN"/>
              </w:rPr>
              <w:t>6</w:t>
            </w:r>
            <w:r>
              <w:rPr>
                <w:rFonts w:hint="default" w:ascii="Times New Roman" w:hAnsi="Times New Roman" w:eastAsia="宋体" w:cs="Times New Roman"/>
                <w:b w:val="0"/>
                <w:bCs/>
                <w:color w:val="auto"/>
                <w:sz w:val="24"/>
                <w:szCs w:val="24"/>
                <w:lang w:eastAsia="zh-CN"/>
              </w:rPr>
              <w:t>月</w:t>
            </w:r>
            <w:r>
              <w:rPr>
                <w:rFonts w:hint="eastAsia" w:ascii="Times New Roman" w:hAnsi="Times New Roman" w:eastAsia="宋体" w:cs="Times New Roman"/>
                <w:b w:val="0"/>
                <w:bCs/>
                <w:color w:val="auto"/>
                <w:sz w:val="24"/>
                <w:szCs w:val="24"/>
                <w:lang w:val="en-US" w:eastAsia="zh-CN"/>
              </w:rPr>
              <w:t>05</w:t>
            </w:r>
            <w:r>
              <w:rPr>
                <w:rFonts w:hint="default" w:ascii="Times New Roman" w:hAnsi="Times New Roman" w:eastAsia="宋体" w:cs="Times New Roman"/>
                <w:b w:val="0"/>
                <w:bCs/>
                <w:color w:val="auto"/>
                <w:sz w:val="24"/>
                <w:szCs w:val="24"/>
                <w:lang w:eastAsia="zh-CN"/>
              </w:rPr>
              <w:t>日</w:t>
            </w:r>
            <w:r>
              <w:rPr>
                <w:rFonts w:hint="default" w:ascii="Times New Roman" w:hAnsi="Times New Roman" w:eastAsia="宋体" w:cs="Times New Roman"/>
                <w:b w:val="0"/>
                <w:bCs/>
                <w:color w:val="auto"/>
                <w:sz w:val="24"/>
                <w:szCs w:val="24"/>
              </w:rPr>
              <w:t>取得了</w:t>
            </w:r>
            <w:r>
              <w:rPr>
                <w:rFonts w:hint="eastAsia" w:ascii="Times New Roman" w:hAnsi="Times New Roman" w:eastAsia="宋体" w:cs="Times New Roman"/>
                <w:b w:val="0"/>
                <w:bCs/>
                <w:color w:val="auto"/>
                <w:sz w:val="24"/>
                <w:szCs w:val="24"/>
                <w:lang w:val="en-US" w:eastAsia="zh-CN"/>
              </w:rPr>
              <w:t>玉溪市</w:t>
            </w:r>
            <w:r>
              <w:rPr>
                <w:rFonts w:hint="eastAsia" w:ascii="Times New Roman" w:hAnsi="Times New Roman" w:eastAsia="宋体" w:cs="Times New Roman"/>
                <w:b w:val="0"/>
                <w:bCs/>
                <w:color w:val="auto"/>
                <w:sz w:val="24"/>
                <w:szCs w:val="24"/>
                <w:lang w:eastAsia="zh-CN"/>
              </w:rPr>
              <w:t>红塔区</w:t>
            </w:r>
            <w:r>
              <w:rPr>
                <w:rFonts w:hint="default" w:ascii="Times New Roman" w:hAnsi="Times New Roman" w:eastAsia="宋体" w:cs="Times New Roman"/>
                <w:b w:val="0"/>
                <w:bCs/>
                <w:color w:val="auto"/>
                <w:sz w:val="24"/>
                <w:szCs w:val="24"/>
                <w:lang w:eastAsia="zh-CN"/>
              </w:rPr>
              <w:t>发展和改革局</w:t>
            </w:r>
            <w:r>
              <w:rPr>
                <w:rFonts w:hint="default" w:ascii="Times New Roman" w:hAnsi="Times New Roman" w:eastAsia="宋体" w:cs="Times New Roman"/>
                <w:b w:val="0"/>
                <w:bCs/>
                <w:color w:val="auto"/>
                <w:sz w:val="24"/>
                <w:szCs w:val="24"/>
              </w:rPr>
              <w:t>签发的投资项目备案证</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详见附件</w:t>
            </w:r>
            <w:r>
              <w:rPr>
                <w:rFonts w:hint="eastAsia" w:ascii="Times New Roman" w:hAnsi="Times New Roman" w:eastAsia="宋体"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项目名称为</w:t>
            </w:r>
            <w:r>
              <w:rPr>
                <w:rFonts w:hint="eastAsia" w:ascii="Times New Roman" w:hAnsi="Times New Roman" w:eastAsia="宋体" w:cs="Times New Roman"/>
                <w:b w:val="0"/>
                <w:bCs/>
                <w:color w:val="auto"/>
                <w:sz w:val="24"/>
                <w:szCs w:val="24"/>
                <w:lang w:eastAsia="zh-CN"/>
              </w:rPr>
              <w:t>轻花工贸泡沫颗粒生产线项目</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项目代码为</w:t>
            </w:r>
            <w:r>
              <w:rPr>
                <w:rFonts w:hint="eastAsia" w:ascii="Times New Roman" w:hAnsi="Times New Roman" w:eastAsia="宋体" w:cs="Times New Roman"/>
                <w:b w:val="0"/>
                <w:bCs/>
                <w:color w:val="auto"/>
                <w:sz w:val="24"/>
                <w:szCs w:val="24"/>
                <w:lang w:val="en-US" w:eastAsia="zh-CN"/>
              </w:rPr>
              <w:t>2506-530402-04-05-163903</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同意项目建设。</w:t>
            </w:r>
          </w:p>
          <w:p w14:paraId="5B75BE80">
            <w:pPr>
              <w:ind w:firstLine="480"/>
              <w:rPr>
                <w:rFonts w:hint="default" w:ascii="Times New Roman" w:hAnsi="Times New Roman" w:cs="Times New Roman"/>
                <w:color w:val="auto"/>
              </w:rPr>
            </w:pPr>
            <w:r>
              <w:rPr>
                <w:rFonts w:hint="default" w:ascii="Times New Roman" w:hAnsi="Times New Roman" w:eastAsia="宋体" w:cs="Times New Roman"/>
                <w:b w:val="0"/>
                <w:bCs/>
                <w:color w:val="auto"/>
                <w:sz w:val="24"/>
                <w:szCs w:val="24"/>
              </w:rPr>
              <w:t>根据《中华人民共和国环境保护法》和《建设项目环境保护管理条例》等国家有关建设项目环境管理的要求</w:t>
            </w:r>
            <w:r>
              <w:rPr>
                <w:rFonts w:hint="eastAsia" w:ascii="Times New Roman" w:hAnsi="Times New Roman" w:eastAsia="宋体" w:cs="Times New Roman"/>
                <w:b w:val="0"/>
                <w:bCs/>
                <w:color w:val="auto"/>
                <w:sz w:val="24"/>
                <w:szCs w:val="24"/>
                <w:lang w:eastAsia="zh-CN"/>
              </w:rPr>
              <w:t>，</w:t>
            </w:r>
            <w:r>
              <w:rPr>
                <w:rFonts w:hint="eastAsia" w:cs="Times New Roman"/>
                <w:color w:val="auto"/>
                <w:kern w:val="2"/>
                <w:sz w:val="24"/>
                <w:szCs w:val="24"/>
                <w:lang w:val="en-US" w:eastAsia="zh-CN" w:bidi="ar-SA"/>
              </w:rPr>
              <w:t>玉溪轻花工贸有限公司</w:t>
            </w:r>
            <w:r>
              <w:rPr>
                <w:rFonts w:hint="default" w:ascii="Times New Roman" w:hAnsi="Times New Roman" w:eastAsia="宋体" w:cs="Times New Roman"/>
                <w:b w:val="0"/>
                <w:bCs/>
                <w:color w:val="auto"/>
                <w:sz w:val="24"/>
                <w:szCs w:val="24"/>
              </w:rPr>
              <w:t>委托我单位对该公司</w:t>
            </w:r>
            <w:r>
              <w:rPr>
                <w:rFonts w:hint="eastAsia" w:cs="Times New Roman"/>
                <w:b w:val="0"/>
                <w:bCs/>
                <w:color w:val="auto"/>
                <w:sz w:val="24"/>
                <w:szCs w:val="24"/>
                <w:lang w:val="en-US" w:eastAsia="zh-CN"/>
              </w:rPr>
              <w:t>建设</w:t>
            </w:r>
            <w:r>
              <w:rPr>
                <w:rFonts w:hint="default" w:ascii="Times New Roman" w:hAnsi="Times New Roman" w:eastAsia="宋体" w:cs="Times New Roman"/>
                <w:b w:val="0"/>
                <w:bCs/>
                <w:color w:val="auto"/>
                <w:sz w:val="24"/>
                <w:szCs w:val="24"/>
              </w:rPr>
              <w:t>的</w:t>
            </w:r>
            <w:r>
              <w:rPr>
                <w:rFonts w:hint="eastAsia" w:cs="Times New Roman"/>
                <w:b w:val="0"/>
                <w:bCs/>
                <w:color w:val="auto"/>
                <w:sz w:val="24"/>
                <w:szCs w:val="24"/>
                <w:lang w:eastAsia="zh-CN"/>
              </w:rPr>
              <w:t>“</w:t>
            </w:r>
            <w:r>
              <w:rPr>
                <w:rFonts w:hint="eastAsia" w:cs="Times New Roman"/>
                <w:color w:val="auto"/>
                <w:lang w:eastAsia="zh-CN"/>
              </w:rPr>
              <w:t>轻花工贸泡沫颗粒生产线项目</w:t>
            </w:r>
            <w:r>
              <w:rPr>
                <w:rFonts w:hint="eastAsia" w:cs="Times New Roman"/>
                <w:b w:val="0"/>
                <w:bCs/>
                <w:color w:val="auto"/>
                <w:sz w:val="24"/>
                <w:szCs w:val="24"/>
                <w:lang w:eastAsia="zh-CN"/>
              </w:rPr>
              <w:t>”</w:t>
            </w:r>
            <w:r>
              <w:rPr>
                <w:rFonts w:hint="default" w:ascii="Times New Roman" w:hAnsi="Times New Roman" w:eastAsia="宋体" w:cs="Times New Roman"/>
                <w:b w:val="0"/>
                <w:bCs/>
                <w:color w:val="auto"/>
                <w:sz w:val="24"/>
                <w:szCs w:val="24"/>
              </w:rPr>
              <w:t>进行环境影响评价</w:t>
            </w:r>
            <w:r>
              <w:rPr>
                <w:rFonts w:hint="eastAsia" w:ascii="Times New Roman" w:hAnsi="Times New Roman" w:eastAsia="宋体" w:cs="Times New Roman"/>
                <w:b w:val="0"/>
                <w:bCs/>
                <w:color w:val="auto"/>
                <w:sz w:val="24"/>
                <w:szCs w:val="24"/>
                <w:lang w:eastAsia="zh-CN"/>
              </w:rPr>
              <w:t>。</w:t>
            </w:r>
            <w:r>
              <w:rPr>
                <w:rFonts w:hint="default" w:ascii="Times New Roman" w:hAnsi="Times New Roman" w:cs="Times New Roman"/>
                <w:color w:val="auto"/>
                <w:sz w:val="24"/>
                <w:szCs w:val="24"/>
              </w:rPr>
              <w:t>根据《国民经济行业分类》（GB/T4754-2017）及第1号修改单的通知（国统字〔2019〕66号），本项目属于</w:t>
            </w:r>
            <w:r>
              <w:rPr>
                <w:rFonts w:hint="eastAsia" w:cs="Times New Roman"/>
                <w:color w:val="auto"/>
                <w:lang w:eastAsia="zh-CN"/>
              </w:rPr>
              <w:t>C2924泡沫塑料制造</w:t>
            </w:r>
            <w:r>
              <w:rPr>
                <w:rFonts w:hint="eastAsia" w:ascii="Times New Roman" w:hAnsi="Times New Roman" w:cs="Times New Roman"/>
                <w:color w:val="auto"/>
                <w:lang w:eastAsia="zh-CN"/>
              </w:rPr>
              <w:t>，</w:t>
            </w:r>
            <w:r>
              <w:rPr>
                <w:rFonts w:hint="default" w:ascii="Times New Roman" w:hAnsi="Times New Roman" w:cs="Times New Roman"/>
                <w:color w:val="auto"/>
                <w:sz w:val="24"/>
                <w:szCs w:val="24"/>
              </w:rPr>
              <w:t>根据《建设项目环境影响评价分类管理名录》（2021年1月1日）</w:t>
            </w:r>
            <w:r>
              <w:rPr>
                <w:rFonts w:hint="default" w:ascii="Times New Roman" w:hAnsi="Times New Roman" w:cs="Times New Roman"/>
                <w:color w:val="auto"/>
              </w:rPr>
              <w:t>：二十六条、</w:t>
            </w:r>
            <w:r>
              <w:rPr>
                <w:rFonts w:hint="eastAsia" w:cs="Times New Roman"/>
                <w:color w:val="auto"/>
                <w:lang w:eastAsia="zh-CN"/>
              </w:rPr>
              <w:t>“</w:t>
            </w:r>
            <w:r>
              <w:rPr>
                <w:rFonts w:hint="default" w:ascii="Times New Roman" w:hAnsi="Times New Roman" w:cs="Times New Roman"/>
                <w:color w:val="auto"/>
              </w:rPr>
              <w:t>橡胶和塑料制品业</w:t>
            </w:r>
            <w:r>
              <w:rPr>
                <w:rFonts w:hint="eastAsia" w:cs="Times New Roman"/>
                <w:color w:val="auto"/>
                <w:lang w:eastAsia="zh-CN"/>
              </w:rPr>
              <w:t>”</w:t>
            </w:r>
            <w:r>
              <w:rPr>
                <w:rFonts w:hint="default" w:ascii="Times New Roman" w:hAnsi="Times New Roman" w:cs="Times New Roman"/>
                <w:color w:val="auto"/>
              </w:rPr>
              <w:t>第53条，塑料制品业；以再生塑料为原料生产的；有电镀工艺的；年用溶剂型胶粘剂10吨及以上的应编制环境影响报告书；其他（年用非溶剂型低非甲烷总烃含量涂料10吨以下的除外）应编制环境影响报告</w:t>
            </w:r>
            <w:r>
              <w:rPr>
                <w:rFonts w:hint="eastAsia" w:cs="Times New Roman"/>
                <w:color w:val="auto"/>
                <w:lang w:val="en-US" w:eastAsia="zh-CN"/>
              </w:rPr>
              <w:t>表和</w:t>
            </w:r>
            <w:r>
              <w:rPr>
                <w:rFonts w:hint="eastAsia"/>
                <w:color w:val="auto"/>
                <w:kern w:val="0"/>
                <w:lang w:eastAsia="zh-CN" w:bidi="ar"/>
              </w:rPr>
              <w:t>“</w:t>
            </w:r>
            <w:r>
              <w:rPr>
                <w:color w:val="auto"/>
              </w:rPr>
              <w:t>四十一、电力、热力生产和供应业-91、热力生产和供应工程（包括建设单位自建自用的供热工程）</w:t>
            </w:r>
            <w:r>
              <w:rPr>
                <w:rFonts w:hint="eastAsia"/>
                <w:color w:val="auto"/>
                <w:lang w:val="en-US" w:eastAsia="zh-CN"/>
              </w:rPr>
              <w:t>中燃煤、燃油锅炉总容量65t/h以上的应编制环境影响报告书</w:t>
            </w:r>
            <w:r>
              <w:rPr>
                <w:rFonts w:hint="eastAsia"/>
                <w:color w:val="auto"/>
                <w:kern w:val="0"/>
                <w:lang w:eastAsia="zh-CN" w:bidi="ar"/>
              </w:rPr>
              <w:t>”、“</w:t>
            </w:r>
            <w:r>
              <w:rPr>
                <w:rFonts w:hint="eastAsia"/>
                <w:color w:val="auto"/>
                <w:kern w:val="0"/>
                <w:lang w:val="en-US" w:eastAsia="zh-CN" w:bidi="ar"/>
              </w:rPr>
              <w:t>燃煤、燃油锅炉总容量65t/h以下的；天然气锅炉总容量1t/h以上的”；使用其他高污染燃料的应编制环境影响报告表</w:t>
            </w:r>
            <w:r>
              <w:rPr>
                <w:rFonts w:hint="eastAsia"/>
                <w:color w:val="auto"/>
                <w:kern w:val="0"/>
                <w:lang w:eastAsia="zh-CN" w:bidi="ar"/>
              </w:rPr>
              <w:t>”，</w:t>
            </w:r>
            <w:r>
              <w:rPr>
                <w:rFonts w:hint="default" w:ascii="Times New Roman" w:hAnsi="Times New Roman" w:cs="Times New Roman"/>
                <w:color w:val="auto"/>
              </w:rPr>
              <w:t>本项目生产过程中不使用再生塑料</w:t>
            </w:r>
            <w:r>
              <w:rPr>
                <w:rFonts w:hint="eastAsia" w:cs="Times New Roman"/>
                <w:color w:val="auto"/>
                <w:lang w:eastAsia="zh-CN"/>
              </w:rPr>
              <w:t>，</w:t>
            </w:r>
            <w:r>
              <w:rPr>
                <w:rFonts w:hint="eastAsia" w:cs="Times New Roman"/>
                <w:color w:val="auto"/>
                <w:lang w:val="en-US" w:eastAsia="zh-CN"/>
              </w:rPr>
              <w:t>原辅材料主要为聚苯乙烯，用量约为110t/a</w:t>
            </w:r>
            <w:r>
              <w:rPr>
                <w:rFonts w:hint="default" w:ascii="Times New Roman" w:hAnsi="Times New Roman" w:cs="Times New Roman"/>
                <w:color w:val="auto"/>
              </w:rPr>
              <w:t>，</w:t>
            </w:r>
            <w:r>
              <w:rPr>
                <w:rFonts w:hint="eastAsia" w:cs="Times New Roman"/>
                <w:color w:val="auto"/>
                <w:lang w:val="en-US" w:eastAsia="zh-CN"/>
              </w:rPr>
              <w:t>应编制</w:t>
            </w:r>
            <w:r>
              <w:rPr>
                <w:rFonts w:hint="default" w:ascii="Times New Roman" w:hAnsi="Times New Roman" w:cs="Times New Roman"/>
                <w:color w:val="auto"/>
                <w:sz w:val="24"/>
                <w:szCs w:val="24"/>
              </w:rPr>
              <w:t>环境影响报告表</w:t>
            </w:r>
            <w:r>
              <w:rPr>
                <w:rFonts w:hint="eastAsia" w:ascii="Times New Roman" w:hAnsi="Times New Roman" w:cs="Times New Roman"/>
                <w:color w:val="auto"/>
                <w:sz w:val="24"/>
                <w:szCs w:val="24"/>
                <w:lang w:eastAsia="zh-CN"/>
              </w:rPr>
              <w:t>，</w:t>
            </w:r>
            <w:r>
              <w:rPr>
                <w:rFonts w:hint="eastAsia" w:cs="Times New Roman"/>
                <w:color w:val="auto"/>
                <w:lang w:val="en-US" w:eastAsia="zh-CN"/>
              </w:rPr>
              <w:t>生物质蒸汽发生器燃料为生物质，为3t/h的生物质蒸汽发生器，应编制环境影响报告表，综上，</w:t>
            </w:r>
            <w:r>
              <w:rPr>
                <w:rFonts w:hint="eastAsia" w:ascii="Times New Roman" w:hAnsi="Times New Roman" w:cs="Times New Roman"/>
                <w:color w:val="auto"/>
                <w:sz w:val="24"/>
                <w:szCs w:val="24"/>
                <w:lang w:val="en-US" w:eastAsia="zh-CN"/>
              </w:rPr>
              <w:t>本项目需要</w:t>
            </w:r>
            <w:r>
              <w:rPr>
                <w:rFonts w:hint="default" w:ascii="Times New Roman" w:hAnsi="Times New Roman" w:cs="Times New Roman"/>
                <w:color w:val="auto"/>
                <w:sz w:val="24"/>
                <w:szCs w:val="24"/>
              </w:rPr>
              <w:t>编制环境影响报告表</w:t>
            </w:r>
            <w:r>
              <w:rPr>
                <w:rFonts w:hint="eastAsia" w:ascii="Times New Roman" w:hAnsi="Times New Roman" w:cs="Times New Roman"/>
                <w:color w:val="auto"/>
                <w:sz w:val="24"/>
                <w:szCs w:val="24"/>
                <w:lang w:eastAsia="zh-CN"/>
              </w:rPr>
              <w:t>。</w:t>
            </w:r>
          </w:p>
          <w:p w14:paraId="1A687F58">
            <w:pPr>
              <w:keepNext w:val="0"/>
              <w:keepLines w:val="0"/>
              <w:pageBreakBefore w:val="0"/>
              <w:widowControl/>
              <w:suppressLineNumbers w:val="0"/>
              <w:kinsoku/>
              <w:wordWrap/>
              <w:overflowPunct/>
              <w:topLinePunct w:val="0"/>
              <w:bidi w:val="0"/>
              <w:snapToGrid/>
              <w:spacing w:line="360" w:lineRule="auto"/>
              <w:ind w:firstLine="480" w:firstLineChars="200"/>
              <w:jc w:val="left"/>
              <w:textAlignment w:val="auto"/>
              <w:outlineLvl w:val="9"/>
              <w:rPr>
                <w:rFonts w:hint="default" w:ascii="Times New Roman" w:hAnsi="Times New Roman" w:cs="Times New Roman"/>
                <w:color w:val="auto"/>
                <w:sz w:val="24"/>
              </w:rPr>
            </w:pPr>
            <w:r>
              <w:rPr>
                <w:rFonts w:hint="default" w:ascii="Times New Roman" w:hAnsi="Times New Roman" w:eastAsia="宋体" w:cs="Times New Roman"/>
                <w:b w:val="0"/>
                <w:bCs/>
                <w:color w:val="auto"/>
                <w:sz w:val="24"/>
                <w:szCs w:val="24"/>
              </w:rPr>
              <w:t>我单位在</w:t>
            </w:r>
            <w:r>
              <w:rPr>
                <w:rFonts w:hint="default" w:ascii="Times New Roman" w:hAnsi="Times New Roman" w:eastAsia="宋体" w:cs="Times New Roman"/>
                <w:b w:val="0"/>
                <w:bCs/>
                <w:color w:val="auto"/>
                <w:sz w:val="24"/>
                <w:szCs w:val="24"/>
                <w:lang w:val="en-US" w:eastAsia="zh-CN"/>
              </w:rPr>
              <w:t>接受</w:t>
            </w:r>
            <w:r>
              <w:rPr>
                <w:rFonts w:hint="default" w:ascii="Times New Roman" w:hAnsi="Times New Roman" w:eastAsia="宋体" w:cs="Times New Roman"/>
                <w:b w:val="0"/>
                <w:bCs/>
                <w:color w:val="auto"/>
                <w:sz w:val="24"/>
                <w:szCs w:val="24"/>
              </w:rPr>
              <w:t>委托后</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rPr>
              <w:t>及时组织人员对该项目开展了相关的环评工作，考察该项目场址周边环境及企业生产的实际情况，收集和查阅了该项目的有关资料，在此基础上完成了该项目的环境影响报告表的编制工作，</w:t>
            </w:r>
            <w:r>
              <w:rPr>
                <w:rFonts w:hint="default" w:ascii="Times New Roman" w:hAnsi="Times New Roman" w:eastAsia="宋体" w:cs="Times New Roman"/>
                <w:b w:val="0"/>
                <w:bCs/>
                <w:color w:val="auto"/>
                <w:kern w:val="0"/>
                <w:sz w:val="24"/>
                <w:szCs w:val="24"/>
                <w:lang w:val="en-US" w:eastAsia="zh-CN" w:bidi="ar"/>
              </w:rPr>
              <w:t>提交给建设单位上报主管部门审批</w:t>
            </w:r>
            <w:r>
              <w:rPr>
                <w:rFonts w:hint="default" w:ascii="Times New Roman" w:hAnsi="Times New Roman" w:cs="Times New Roman"/>
                <w:color w:val="auto"/>
                <w:sz w:val="24"/>
              </w:rPr>
              <w:t>。</w:t>
            </w:r>
          </w:p>
          <w:p w14:paraId="4F1F915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eastAsia" w:ascii="Times New Roman" w:hAnsi="Times New Roman" w:eastAsia="宋体" w:cs="Times New Roman"/>
                <w:b/>
                <w:bCs/>
                <w:color w:val="auto"/>
                <w:sz w:val="24"/>
                <w:szCs w:val="24"/>
                <w:lang w:val="en-US" w:eastAsia="zh-CN"/>
              </w:rPr>
              <w:t>建设项目基本概况</w:t>
            </w:r>
          </w:p>
          <w:p w14:paraId="693B0CC8">
            <w:pPr>
              <w:pStyle w:val="2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项目名称：</w:t>
            </w:r>
            <w:r>
              <w:rPr>
                <w:rFonts w:hint="eastAsia" w:ascii="Times New Roman" w:hAnsi="Times New Roman" w:cs="Times New Roman"/>
                <w:color w:val="auto"/>
                <w:kern w:val="2"/>
                <w:sz w:val="24"/>
                <w:szCs w:val="24"/>
                <w:lang w:val="en-US" w:eastAsia="zh-CN" w:bidi="ar-SA"/>
              </w:rPr>
              <w:t>轻花工贸泡沫颗粒生产线项目</w:t>
            </w:r>
          </w:p>
          <w:p w14:paraId="0816F932">
            <w:pPr>
              <w:pStyle w:val="2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项目建设单位：</w:t>
            </w:r>
            <w:r>
              <w:rPr>
                <w:rFonts w:hint="eastAsia" w:ascii="Times New Roman" w:hAnsi="Times New Roman" w:cs="Times New Roman"/>
                <w:color w:val="auto"/>
                <w:kern w:val="2"/>
                <w:sz w:val="24"/>
                <w:szCs w:val="24"/>
                <w:lang w:val="en-US" w:eastAsia="zh-CN" w:bidi="ar-SA"/>
              </w:rPr>
              <w:t>玉溪轻花工贸有限公司</w:t>
            </w:r>
          </w:p>
          <w:p w14:paraId="7E31AD23">
            <w:pPr>
              <w:pStyle w:val="2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项目建设性质：新建</w:t>
            </w:r>
          </w:p>
          <w:p w14:paraId="5A006028">
            <w:pPr>
              <w:pStyle w:val="2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项目建设地点：</w:t>
            </w:r>
            <w:r>
              <w:rPr>
                <w:rFonts w:hint="eastAsia" w:ascii="Times New Roman" w:hAnsi="Times New Roman" w:cs="Times New Roman"/>
                <w:color w:val="auto"/>
                <w:sz w:val="24"/>
                <w:szCs w:val="24"/>
                <w:lang w:eastAsia="zh-CN"/>
              </w:rPr>
              <w:t>云南省玉溪市红塔区北城街道刺桐关社区一组岔箐脑</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eastAsia="zh-CN"/>
              </w:rPr>
              <w:t>中心地理坐标为东经</w:t>
            </w:r>
            <w:r>
              <w:rPr>
                <w:rFonts w:hint="eastAsia" w:ascii="Times New Roman" w:hAnsi="Times New Roman" w:cs="Times New Roman"/>
                <w:b w:val="0"/>
                <w:bCs/>
                <w:color w:val="auto"/>
                <w:sz w:val="24"/>
                <w:szCs w:val="24"/>
                <w:lang w:eastAsia="zh-CN"/>
              </w:rPr>
              <w:t>102</w:t>
            </w:r>
            <w:r>
              <w:rPr>
                <w:rFonts w:hint="default" w:ascii="Times New Roman" w:hAnsi="Times New Roman" w:eastAsia="宋体" w:cs="Times New Roman"/>
                <w:b w:val="0"/>
                <w:bCs/>
                <w:color w:val="auto"/>
                <w:sz w:val="24"/>
                <w:szCs w:val="24"/>
                <w:lang w:eastAsia="zh-CN"/>
              </w:rPr>
              <w:t>°</w:t>
            </w:r>
            <w:r>
              <w:rPr>
                <w:rFonts w:hint="eastAsia" w:ascii="Times New Roman" w:hAnsi="Times New Roman" w:cs="Times New Roman"/>
                <w:b w:val="0"/>
                <w:bCs/>
                <w:color w:val="auto"/>
                <w:sz w:val="24"/>
                <w:szCs w:val="24"/>
                <w:lang w:val="en-US" w:eastAsia="zh-CN"/>
              </w:rPr>
              <w:t>33</w:t>
            </w:r>
            <w:r>
              <w:rPr>
                <w:rFonts w:hint="default" w:ascii="Times New Roman" w:hAnsi="Times New Roman" w:eastAsia="宋体" w:cs="Times New Roman"/>
                <w:b w:val="0"/>
                <w:bCs/>
                <w:color w:val="auto"/>
                <w:sz w:val="24"/>
                <w:szCs w:val="24"/>
                <w:lang w:eastAsia="zh-CN"/>
              </w:rPr>
              <w:t>′</w:t>
            </w:r>
            <w:r>
              <w:rPr>
                <w:rFonts w:hint="default" w:ascii="Times New Roman" w:hAnsi="Times New Roman" w:eastAsia="宋体" w:cs="Times New Roman"/>
                <w:b w:val="0"/>
                <w:bCs/>
                <w:color w:val="auto"/>
                <w:sz w:val="24"/>
                <w:szCs w:val="24"/>
                <w:lang w:val="en-US" w:eastAsia="zh-CN"/>
              </w:rPr>
              <w:t>3</w:t>
            </w:r>
            <w:r>
              <w:rPr>
                <w:rFonts w:hint="eastAsia" w:ascii="Times New Roman" w:hAnsi="Times New Roman" w:cs="Times New Roman"/>
                <w:b w:val="0"/>
                <w:bCs/>
                <w:color w:val="auto"/>
                <w:sz w:val="24"/>
                <w:szCs w:val="24"/>
                <w:lang w:val="en-US" w:eastAsia="zh-CN"/>
              </w:rPr>
              <w:t>0.645</w:t>
            </w:r>
            <w:r>
              <w:rPr>
                <w:rFonts w:hint="default" w:ascii="Times New Roman" w:hAnsi="Times New Roman" w:eastAsia="宋体" w:cs="Times New Roman"/>
                <w:b w:val="0"/>
                <w:bCs/>
                <w:color w:val="auto"/>
                <w:sz w:val="24"/>
                <w:szCs w:val="24"/>
                <w:lang w:eastAsia="zh-CN"/>
              </w:rPr>
              <w:t>″，北纬24°</w:t>
            </w:r>
            <w:r>
              <w:rPr>
                <w:rFonts w:hint="eastAsia" w:ascii="Times New Roman" w:hAnsi="Times New Roman" w:cs="Times New Roman"/>
                <w:b w:val="0"/>
                <w:bCs/>
                <w:color w:val="auto"/>
                <w:sz w:val="24"/>
                <w:szCs w:val="24"/>
                <w:lang w:val="en-US" w:eastAsia="zh-CN"/>
              </w:rPr>
              <w:t>31</w:t>
            </w:r>
            <w:r>
              <w:rPr>
                <w:rFonts w:hint="default" w:ascii="Times New Roman" w:hAnsi="Times New Roman" w:eastAsia="宋体" w:cs="Times New Roman"/>
                <w:b w:val="0"/>
                <w:bCs/>
                <w:color w:val="auto"/>
                <w:sz w:val="24"/>
                <w:szCs w:val="24"/>
                <w:lang w:eastAsia="zh-CN"/>
              </w:rPr>
              <w:t>′</w:t>
            </w:r>
            <w:r>
              <w:rPr>
                <w:rFonts w:hint="eastAsia" w:ascii="Times New Roman" w:hAnsi="Times New Roman" w:cs="Times New Roman"/>
                <w:b w:val="0"/>
                <w:bCs/>
                <w:color w:val="auto"/>
                <w:sz w:val="24"/>
                <w:szCs w:val="24"/>
                <w:lang w:val="en-US" w:eastAsia="zh-CN"/>
              </w:rPr>
              <w:t>57.177</w:t>
            </w:r>
            <w:r>
              <w:rPr>
                <w:rFonts w:hint="default" w:ascii="Times New Roman" w:hAnsi="Times New Roman" w:eastAsia="宋体" w:cs="Times New Roman"/>
                <w:b w:val="0"/>
                <w:bCs/>
                <w:color w:val="auto"/>
                <w:sz w:val="24"/>
                <w:szCs w:val="24"/>
                <w:lang w:eastAsia="zh-CN"/>
              </w:rPr>
              <w:t>″。</w:t>
            </w:r>
          </w:p>
          <w:p w14:paraId="2C74594C">
            <w:pPr>
              <w:pStyle w:val="2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eastAsia="zh-CN"/>
              </w:rPr>
              <w:t>项目投资：总投资为</w:t>
            </w:r>
            <w:r>
              <w:rPr>
                <w:rFonts w:hint="eastAsia" w:ascii="Times New Roman" w:hAnsi="Times New Roman" w:cs="Times New Roman"/>
                <w:b w:val="0"/>
                <w:bCs/>
                <w:color w:val="auto"/>
                <w:sz w:val="24"/>
                <w:szCs w:val="24"/>
                <w:lang w:val="en-US" w:eastAsia="zh-CN"/>
              </w:rPr>
              <w:t>350</w:t>
            </w:r>
            <w:r>
              <w:rPr>
                <w:rFonts w:hint="default" w:ascii="Times New Roman" w:hAnsi="Times New Roman" w:eastAsia="宋体" w:cs="Times New Roman"/>
                <w:b w:val="0"/>
                <w:bCs/>
                <w:color w:val="auto"/>
                <w:sz w:val="24"/>
                <w:szCs w:val="24"/>
                <w:lang w:eastAsia="zh-CN"/>
              </w:rPr>
              <w:t>万元，</w:t>
            </w:r>
            <w:r>
              <w:rPr>
                <w:rFonts w:hint="default" w:ascii="Times New Roman" w:hAnsi="Times New Roman" w:eastAsia="宋体" w:cs="Times New Roman"/>
                <w:b w:val="0"/>
                <w:bCs/>
                <w:color w:val="auto"/>
                <w:sz w:val="24"/>
                <w:szCs w:val="24"/>
                <w:lang w:val="en-US" w:eastAsia="zh-CN"/>
              </w:rPr>
              <w:t>其中，环保投资</w:t>
            </w:r>
            <w:r>
              <w:rPr>
                <w:rFonts w:hint="eastAsia" w:ascii="Times New Roman" w:hAnsi="Times New Roman" w:cs="Times New Roman"/>
                <w:b w:val="0"/>
                <w:bCs/>
                <w:color w:val="auto"/>
                <w:sz w:val="24"/>
                <w:szCs w:val="24"/>
                <w:lang w:val="en-US" w:eastAsia="zh-CN"/>
              </w:rPr>
              <w:t>52.5</w:t>
            </w:r>
            <w:r>
              <w:rPr>
                <w:rFonts w:hint="default" w:ascii="Times New Roman" w:hAnsi="Times New Roman" w:eastAsia="宋体" w:cs="Times New Roman"/>
                <w:b w:val="0"/>
                <w:bCs/>
                <w:color w:val="auto"/>
                <w:sz w:val="24"/>
                <w:szCs w:val="24"/>
                <w:lang w:val="en-US" w:eastAsia="zh-CN"/>
              </w:rPr>
              <w:t>万元，</w:t>
            </w:r>
            <w:r>
              <w:rPr>
                <w:rFonts w:hint="default" w:ascii="Times New Roman" w:hAnsi="Times New Roman" w:eastAsia="宋体" w:cs="Times New Roman"/>
                <w:b w:val="0"/>
                <w:bCs/>
                <w:color w:val="auto"/>
                <w:sz w:val="24"/>
                <w:szCs w:val="24"/>
                <w:lang w:val="zh-CN" w:eastAsia="zh-CN"/>
              </w:rPr>
              <w:t>项目建设资金全部由建设单位自筹解决。</w:t>
            </w:r>
          </w:p>
          <w:p w14:paraId="77BD3DC0">
            <w:pPr>
              <w:pStyle w:val="2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劳动定员：本项目劳动定员为</w:t>
            </w:r>
            <w:r>
              <w:rPr>
                <w:rFonts w:hint="eastAsia" w:ascii="Times New Roman" w:hAnsi="Times New Roman"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人，在厂区内食宿，年工作300d，实行1班制，每班8小时，总工作时间为2400小时。</w:t>
            </w:r>
          </w:p>
          <w:p w14:paraId="4F83330E">
            <w:pPr>
              <w:pStyle w:val="2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outlineLvl w:val="9"/>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项目地理位置图见附图1。</w:t>
            </w:r>
          </w:p>
          <w:p w14:paraId="7A79AB78">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rPr>
            </w:pPr>
            <w:r>
              <w:rPr>
                <w:rFonts w:hint="eastAsia" w:ascii="Times New Roman" w:hAnsi="Times New Roman" w:eastAsia="宋体" w:cs="Times New Roman"/>
                <w:b/>
                <w:bCs/>
                <w:color w:val="auto"/>
                <w:sz w:val="24"/>
                <w:szCs w:val="24"/>
                <w:lang w:val="en-US" w:eastAsia="zh-CN"/>
              </w:rPr>
              <w:t>3、建设内容及规模</w:t>
            </w:r>
          </w:p>
          <w:p w14:paraId="71B2AD32">
            <w:pPr>
              <w:pStyle w:val="13"/>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val="en-US" w:eastAsia="zh-CN"/>
              </w:rPr>
              <w:t>租用</w:t>
            </w:r>
            <w:r>
              <w:rPr>
                <w:rFonts w:hint="eastAsia" w:cs="Times New Roman"/>
                <w:color w:val="auto"/>
                <w:lang w:eastAsia="zh-CN"/>
              </w:rPr>
              <w:t>红塔区北城街道刺桐关社区一组岔箐脑</w:t>
            </w:r>
            <w:r>
              <w:rPr>
                <w:rFonts w:hint="eastAsia" w:cs="Times New Roman"/>
                <w:color w:val="auto"/>
                <w:lang w:val="en-US" w:eastAsia="zh-CN"/>
              </w:rPr>
              <w:t>闲置的封闭厂房和空地进行建设</w:t>
            </w:r>
            <w:r>
              <w:rPr>
                <w:rFonts w:hint="default" w:ascii="Times New Roman" w:hAnsi="Times New Roman" w:cs="Times New Roman"/>
                <w:color w:val="auto"/>
              </w:rPr>
              <w:t>，占地面积</w:t>
            </w:r>
            <w:r>
              <w:rPr>
                <w:rFonts w:hint="eastAsia" w:cs="Times New Roman"/>
                <w:color w:val="auto"/>
                <w:lang w:val="en-US" w:eastAsia="zh-CN"/>
              </w:rPr>
              <w:t>为3240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eastAsia" w:cs="Times New Roman"/>
                <w:color w:val="auto"/>
                <w:lang w:eastAsia="zh-CN"/>
              </w:rPr>
              <w:t>，</w:t>
            </w:r>
            <w:r>
              <w:rPr>
                <w:rFonts w:hint="eastAsia" w:cs="Times New Roman"/>
                <w:color w:val="auto"/>
                <w:lang w:val="en-US" w:eastAsia="zh-CN"/>
              </w:rPr>
              <w:t>整个生产工序布设于彩钢结构的封闭车间内</w:t>
            </w:r>
            <w:r>
              <w:rPr>
                <w:rFonts w:hint="default" w:ascii="Times New Roman" w:hAnsi="Times New Roman" w:cs="Times New Roman"/>
                <w:color w:val="auto"/>
              </w:rPr>
              <w:t>，项目建成后</w:t>
            </w:r>
            <w:r>
              <w:rPr>
                <w:rFonts w:hint="eastAsia" w:cs="Times New Roman"/>
                <w:color w:val="auto"/>
                <w:lang w:val="en-US" w:eastAsia="zh-CN"/>
              </w:rPr>
              <w:t>形成</w:t>
            </w:r>
            <w:r>
              <w:rPr>
                <w:rFonts w:hint="default" w:ascii="Times New Roman" w:hAnsi="Times New Roman" w:cs="Times New Roman"/>
                <w:color w:val="auto"/>
              </w:rPr>
              <w:t>年产</w:t>
            </w:r>
            <w:r>
              <w:rPr>
                <w:rFonts w:hint="eastAsia" w:cs="Times New Roman"/>
                <w:color w:val="auto"/>
                <w:lang w:val="en-US" w:eastAsia="zh-CN"/>
              </w:rPr>
              <w:t>100吨</w:t>
            </w:r>
            <w:r>
              <w:rPr>
                <w:rFonts w:hint="eastAsia" w:cs="Times New Roman"/>
                <w:color w:val="auto"/>
                <w:lang w:eastAsia="zh-CN"/>
              </w:rPr>
              <w:t>EPS泡沫颗粒</w:t>
            </w:r>
            <w:r>
              <w:rPr>
                <w:rFonts w:hint="eastAsia" w:cs="Times New Roman"/>
                <w:color w:val="auto"/>
                <w:lang w:val="en-US" w:eastAsia="zh-CN"/>
              </w:rPr>
              <w:t>的生产规模</w:t>
            </w:r>
            <w:r>
              <w:rPr>
                <w:rFonts w:hint="default" w:ascii="Times New Roman" w:hAnsi="Times New Roman" w:cs="Times New Roman"/>
                <w:color w:val="auto"/>
              </w:rPr>
              <w:t>。项目工程内容见表2-1所示。</w:t>
            </w:r>
          </w:p>
          <w:p w14:paraId="2D56D1C5">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表2-1 项目工程内容一览表</w:t>
            </w:r>
          </w:p>
          <w:tbl>
            <w:tblPr>
              <w:tblStyle w:val="33"/>
              <w:tblW w:w="7917"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584"/>
              <w:gridCol w:w="1282"/>
              <w:gridCol w:w="4223"/>
              <w:gridCol w:w="1109"/>
            </w:tblGrid>
            <w:tr w14:paraId="5221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454" w:type="pct"/>
                  <w:vAlign w:val="center"/>
                </w:tcPr>
                <w:p w14:paraId="6E583A07">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工程内容</w:t>
                  </w:r>
                </w:p>
              </w:tc>
              <w:tc>
                <w:tcPr>
                  <w:tcW w:w="1178" w:type="pct"/>
                  <w:gridSpan w:val="2"/>
                  <w:vAlign w:val="center"/>
                </w:tcPr>
                <w:p w14:paraId="628ABBB5">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名称</w:t>
                  </w:r>
                </w:p>
              </w:tc>
              <w:tc>
                <w:tcPr>
                  <w:tcW w:w="2667" w:type="pct"/>
                  <w:vAlign w:val="center"/>
                </w:tcPr>
                <w:p w14:paraId="417654F5">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建设内容及规模</w:t>
                  </w:r>
                </w:p>
              </w:tc>
              <w:tc>
                <w:tcPr>
                  <w:tcW w:w="700" w:type="pct"/>
                  <w:vAlign w:val="center"/>
                </w:tcPr>
                <w:p w14:paraId="4BF2EECC">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备注</w:t>
                  </w:r>
                </w:p>
              </w:tc>
            </w:tr>
            <w:tr w14:paraId="01D2E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454" w:type="pct"/>
                  <w:vMerge w:val="restart"/>
                  <w:vAlign w:val="center"/>
                </w:tcPr>
                <w:p w14:paraId="1CC4B075">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主体工程</w:t>
                  </w:r>
                </w:p>
              </w:tc>
              <w:tc>
                <w:tcPr>
                  <w:tcW w:w="368" w:type="pct"/>
                  <w:vMerge w:val="restart"/>
                  <w:vAlign w:val="center"/>
                </w:tcPr>
                <w:p w14:paraId="4A259EC6">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生产车间</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 xml:space="preserve"> 1823m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eastAsia="zh-CN"/>
                    </w:rPr>
                    <w:t>）</w:t>
                  </w:r>
                </w:p>
              </w:tc>
              <w:tc>
                <w:tcPr>
                  <w:tcW w:w="809" w:type="pct"/>
                  <w:vAlign w:val="center"/>
                </w:tcPr>
                <w:p w14:paraId="6861E07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原料</w:t>
                  </w:r>
                  <w:r>
                    <w:rPr>
                      <w:rFonts w:hint="default" w:ascii="Times New Roman" w:hAnsi="Times New Roman" w:cs="Times New Roman" w:eastAsiaTheme="minorEastAsia"/>
                      <w:color w:val="auto"/>
                      <w:sz w:val="21"/>
                      <w:szCs w:val="21"/>
                      <w:lang w:eastAsia="zh-CN"/>
                    </w:rPr>
                    <w:t>堆放</w:t>
                  </w:r>
                  <w:r>
                    <w:rPr>
                      <w:rFonts w:hint="default" w:ascii="Times New Roman" w:hAnsi="Times New Roman" w:cs="Times New Roman" w:eastAsiaTheme="minorEastAsia"/>
                      <w:color w:val="auto"/>
                      <w:sz w:val="21"/>
                      <w:szCs w:val="21"/>
                    </w:rPr>
                    <w:t>区</w:t>
                  </w:r>
                </w:p>
              </w:tc>
              <w:tc>
                <w:tcPr>
                  <w:tcW w:w="2667" w:type="pct"/>
                  <w:vAlign w:val="center"/>
                </w:tcPr>
                <w:p w14:paraId="08A356A5">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占地面积350m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主要用于原料的暂存和堆放</w:t>
                  </w:r>
                  <w:r>
                    <w:rPr>
                      <w:rFonts w:hint="eastAsia" w:cs="Times New Roman" w:eastAsiaTheme="minorEastAsia"/>
                      <w:color w:val="auto"/>
                      <w:sz w:val="21"/>
                      <w:szCs w:val="21"/>
                      <w:lang w:eastAsia="zh-CN"/>
                    </w:rPr>
                    <w:t>，</w:t>
                  </w:r>
                  <w:r>
                    <w:rPr>
                      <w:rFonts w:hint="eastAsia" w:cs="Times New Roman" w:eastAsiaTheme="minorEastAsia"/>
                      <w:color w:val="auto"/>
                      <w:sz w:val="21"/>
                      <w:szCs w:val="21"/>
                      <w:lang w:val="en-US" w:eastAsia="zh-CN"/>
                    </w:rPr>
                    <w:t>1次最大暂存量为10t（约400袋左右，每袋重量为25kg），周转量约每月1次</w:t>
                  </w:r>
                </w:p>
              </w:tc>
              <w:tc>
                <w:tcPr>
                  <w:tcW w:w="700" w:type="pct"/>
                  <w:vMerge w:val="restart"/>
                  <w:vAlign w:val="center"/>
                </w:tcPr>
                <w:p w14:paraId="04E7156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依托原有，为封闭</w:t>
                  </w:r>
                  <w:r>
                    <w:rPr>
                      <w:rFonts w:hint="eastAsia" w:cs="Times New Roman" w:eastAsiaTheme="minorEastAsia"/>
                      <w:color w:val="auto"/>
                      <w:sz w:val="21"/>
                      <w:szCs w:val="21"/>
                      <w:lang w:val="en-US" w:eastAsia="zh-CN"/>
                    </w:rPr>
                    <w:t>的</w:t>
                  </w:r>
                  <w:r>
                    <w:rPr>
                      <w:rFonts w:hint="default" w:ascii="Times New Roman" w:hAnsi="Times New Roman" w:cs="Times New Roman" w:eastAsiaTheme="minorEastAsia"/>
                      <w:color w:val="auto"/>
                      <w:sz w:val="21"/>
                      <w:szCs w:val="21"/>
                      <w:lang w:val="en-US" w:eastAsia="zh-CN"/>
                    </w:rPr>
                    <w:t>彩钢结构，1F</w:t>
                  </w:r>
                  <w:r>
                    <w:rPr>
                      <w:rFonts w:hint="eastAsia" w:cs="Times New Roman" w:eastAsiaTheme="minorEastAsia"/>
                      <w:color w:val="auto"/>
                      <w:sz w:val="21"/>
                      <w:szCs w:val="21"/>
                      <w:lang w:val="en-US" w:eastAsia="zh-CN"/>
                    </w:rPr>
                    <w:t>，厂房内部道路进行了水泥硬化，占地面积为</w:t>
                  </w:r>
                  <w:r>
                    <w:rPr>
                      <w:rFonts w:hint="default" w:cs="Times New Roman" w:eastAsiaTheme="minorEastAsia"/>
                      <w:color w:val="auto"/>
                      <w:sz w:val="21"/>
                      <w:szCs w:val="21"/>
                      <w:lang w:val="en-US" w:eastAsia="zh-CN"/>
                    </w:rPr>
                    <w:t>1823m</w:t>
                  </w:r>
                  <w:r>
                    <w:rPr>
                      <w:rFonts w:hint="default" w:cs="Times New Roman" w:eastAsiaTheme="minorEastAsia"/>
                      <w:color w:val="auto"/>
                      <w:sz w:val="21"/>
                      <w:szCs w:val="21"/>
                      <w:vertAlign w:val="superscript"/>
                      <w:lang w:val="en-US" w:eastAsia="zh-CN"/>
                    </w:rPr>
                    <w:t>2</w:t>
                  </w:r>
                </w:p>
              </w:tc>
            </w:tr>
            <w:tr w14:paraId="797B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trPr>
              <w:tc>
                <w:tcPr>
                  <w:tcW w:w="454" w:type="pct"/>
                  <w:vMerge w:val="continue"/>
                  <w:vAlign w:val="center"/>
                </w:tcPr>
                <w:p w14:paraId="7EA2CA38">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2C1F8061">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shd w:val="clear" w:color="auto" w:fill="auto"/>
                  <w:vAlign w:val="center"/>
                </w:tcPr>
                <w:p w14:paraId="7E2F4608">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成品堆放区</w:t>
                  </w:r>
                </w:p>
              </w:tc>
              <w:tc>
                <w:tcPr>
                  <w:tcW w:w="2667" w:type="pct"/>
                  <w:shd w:val="clear" w:color="auto" w:fill="auto"/>
                  <w:vAlign w:val="center"/>
                </w:tcPr>
                <w:p w14:paraId="465ED9EA">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占地面积5</w:t>
                  </w:r>
                  <w:r>
                    <w:rPr>
                      <w:rFonts w:hint="eastAsia" w:cs="Times New Roman" w:eastAsiaTheme="minorEastAsia"/>
                      <w:color w:val="auto"/>
                      <w:sz w:val="21"/>
                      <w:szCs w:val="21"/>
                      <w:lang w:val="en-US" w:eastAsia="zh-CN"/>
                    </w:rPr>
                    <w:t>9</w:t>
                  </w:r>
                  <w:r>
                    <w:rPr>
                      <w:rFonts w:hint="default" w:ascii="Times New Roman" w:hAnsi="Times New Roman" w:cs="Times New Roman" w:eastAsiaTheme="minorEastAsia"/>
                      <w:color w:val="auto"/>
                      <w:sz w:val="21"/>
                      <w:szCs w:val="21"/>
                      <w:lang w:val="en-US" w:eastAsia="zh-CN"/>
                    </w:rPr>
                    <w:t>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，主要用于成品堆存</w:t>
                  </w:r>
                  <w:r>
                    <w:rPr>
                      <w:rFonts w:hint="eastAsia" w:cs="Times New Roman" w:eastAsiaTheme="minorEastAsia"/>
                      <w:color w:val="auto"/>
                      <w:sz w:val="21"/>
                      <w:szCs w:val="21"/>
                      <w:lang w:val="en-US" w:eastAsia="zh-CN"/>
                    </w:rPr>
                    <w:t>，产品采用袋装收集，每袋约为2kg左右，1次最大暂存5t左右（约2500袋左右），周转量约为20d</w:t>
                  </w:r>
                </w:p>
              </w:tc>
              <w:tc>
                <w:tcPr>
                  <w:tcW w:w="700" w:type="pct"/>
                  <w:vMerge w:val="continue"/>
                  <w:vAlign w:val="center"/>
                </w:tcPr>
                <w:p w14:paraId="677DE74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r>
            <w:tr w14:paraId="4C317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454" w:type="pct"/>
                  <w:vMerge w:val="continue"/>
                  <w:vAlign w:val="center"/>
                </w:tcPr>
                <w:p w14:paraId="0918E8F6">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63C50C9A">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shd w:val="clear" w:color="auto" w:fill="auto"/>
                  <w:vAlign w:val="center"/>
                </w:tcPr>
                <w:p w14:paraId="4D74BC36">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rPr>
                    <w:t>生产区</w:t>
                  </w:r>
                </w:p>
              </w:tc>
              <w:tc>
                <w:tcPr>
                  <w:tcW w:w="2667" w:type="pct"/>
                  <w:shd w:val="clear" w:color="auto" w:fill="auto"/>
                  <w:vAlign w:val="center"/>
                </w:tcPr>
                <w:p w14:paraId="5E61DFBA">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占地面积728m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，通过购置发泡机、流化床、</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等设备，建设1条EPS泡沫颗粒生产线，建设完成后达到年产100吨泡沫颗粒的生产规模</w:t>
                  </w:r>
                </w:p>
              </w:tc>
              <w:tc>
                <w:tcPr>
                  <w:tcW w:w="700" w:type="pct"/>
                  <w:vMerge w:val="continue"/>
                  <w:vAlign w:val="center"/>
                </w:tcPr>
                <w:p w14:paraId="432E589E">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r>
            <w:tr w14:paraId="757A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454" w:type="pct"/>
                  <w:vMerge w:val="continue"/>
                  <w:vAlign w:val="center"/>
                </w:tcPr>
                <w:p w14:paraId="1AFEC40E">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4B6D047B">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vAlign w:val="center"/>
                </w:tcPr>
                <w:p w14:paraId="6435FA3F">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b w:val="0"/>
                      <w:color w:val="auto"/>
                      <w:kern w:val="2"/>
                      <w:sz w:val="21"/>
                      <w:szCs w:val="21"/>
                      <w:lang w:val="en-US" w:eastAsia="zh-CN" w:bidi="ar-SA"/>
                    </w:rPr>
                    <w:t>生物质蒸汽发生器</w:t>
                  </w:r>
                  <w:r>
                    <w:rPr>
                      <w:rFonts w:hint="default" w:ascii="Times New Roman" w:hAnsi="Times New Roman" w:cs="Times New Roman" w:eastAsiaTheme="minorEastAsia"/>
                      <w:b w:val="0"/>
                      <w:color w:val="auto"/>
                      <w:kern w:val="2"/>
                      <w:sz w:val="21"/>
                      <w:szCs w:val="21"/>
                      <w:lang w:val="en-US" w:eastAsia="zh-CN" w:bidi="ar-SA"/>
                    </w:rPr>
                    <w:t>区</w:t>
                  </w:r>
                </w:p>
              </w:tc>
              <w:tc>
                <w:tcPr>
                  <w:tcW w:w="2667" w:type="pct"/>
                  <w:vAlign w:val="center"/>
                </w:tcPr>
                <w:p w14:paraId="7577F791">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占地面积80m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rPr>
                    <w:t>设置</w:t>
                  </w: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台</w:t>
                  </w:r>
                  <w:r>
                    <w:rPr>
                      <w:rFonts w:hint="default" w:ascii="Times New Roman" w:hAnsi="Times New Roman" w:cs="Times New Roman" w:eastAsiaTheme="minorEastAsia"/>
                      <w:color w:val="auto"/>
                      <w:sz w:val="21"/>
                      <w:szCs w:val="21"/>
                      <w:lang w:val="en-US" w:eastAsia="zh-CN"/>
                    </w:rPr>
                    <w:t>3t/h的</w:t>
                  </w:r>
                  <w:r>
                    <w:rPr>
                      <w:rFonts w:hint="eastAsia" w:cs="Times New Roman" w:eastAsiaTheme="minorEastAsia"/>
                      <w:color w:val="auto"/>
                      <w:sz w:val="21"/>
                      <w:szCs w:val="21"/>
                      <w:lang w:val="en-US" w:eastAsia="zh-CN"/>
                    </w:rPr>
                    <w:t>生物质蒸汽发生器</w:t>
                  </w:r>
                </w:p>
              </w:tc>
              <w:tc>
                <w:tcPr>
                  <w:tcW w:w="700" w:type="pct"/>
                  <w:vMerge w:val="continue"/>
                  <w:vAlign w:val="center"/>
                </w:tcPr>
                <w:p w14:paraId="3606E2C8">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r>
            <w:tr w14:paraId="5370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454" w:type="pct"/>
                  <w:vMerge w:val="restart"/>
                  <w:vAlign w:val="center"/>
                </w:tcPr>
                <w:p w14:paraId="67014F39">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辅助工程</w:t>
                  </w:r>
                </w:p>
              </w:tc>
              <w:tc>
                <w:tcPr>
                  <w:tcW w:w="1178" w:type="pct"/>
                  <w:gridSpan w:val="2"/>
                  <w:vAlign w:val="center"/>
                </w:tcPr>
                <w:p w14:paraId="4FE93778">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软水制备区</w:t>
                  </w:r>
                </w:p>
              </w:tc>
              <w:tc>
                <w:tcPr>
                  <w:tcW w:w="2667" w:type="pct"/>
                  <w:vAlign w:val="center"/>
                </w:tcPr>
                <w:p w14:paraId="6500B32E">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紧挨</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区，占地面积为</w:t>
                  </w:r>
                  <w:r>
                    <w:rPr>
                      <w:rFonts w:hint="eastAsia" w:cs="Times New Roman" w:eastAsiaTheme="minorEastAsia"/>
                      <w:color w:val="auto"/>
                      <w:sz w:val="21"/>
                      <w:szCs w:val="21"/>
                      <w:lang w:val="en-US" w:eastAsia="zh-CN"/>
                    </w:rPr>
                    <w:t>4</w:t>
                  </w:r>
                  <w:r>
                    <w:rPr>
                      <w:rFonts w:hint="default" w:ascii="Times New Roman" w:hAnsi="Times New Roman" w:cs="Times New Roman" w:eastAsiaTheme="minorEastAsia"/>
                      <w:color w:val="auto"/>
                      <w:sz w:val="21"/>
                      <w:szCs w:val="21"/>
                      <w:lang w:val="en-US" w:eastAsia="zh-CN"/>
                    </w:rPr>
                    <w:t>0m</w:t>
                  </w:r>
                  <w:r>
                    <w:rPr>
                      <w:rFonts w:hint="default" w:ascii="Times New Roman" w:hAnsi="Times New Roman" w:cs="Times New Roman" w:eastAsiaTheme="minorEastAsia"/>
                      <w:color w:val="auto"/>
                      <w:sz w:val="21"/>
                      <w:szCs w:val="21"/>
                      <w:vertAlign w:val="superscript"/>
                      <w:lang w:val="en-US" w:eastAsia="zh-CN"/>
                    </w:rPr>
                    <w:t>2</w:t>
                  </w:r>
                  <w:r>
                    <w:rPr>
                      <w:rFonts w:hint="eastAsia" w:ascii="Times New Roman" w:hAnsi="Times New Roman" w:cs="Times New Roman" w:eastAsiaTheme="minorEastAsia"/>
                      <w:color w:val="auto"/>
                      <w:sz w:val="21"/>
                      <w:szCs w:val="21"/>
                      <w:lang w:val="en-US" w:eastAsia="zh-CN"/>
                    </w:rPr>
                    <w:t>，</w:t>
                  </w:r>
                  <w:r>
                    <w:rPr>
                      <w:rFonts w:hint="eastAsia" w:cs="Times New Roman" w:eastAsiaTheme="minorEastAsia"/>
                      <w:color w:val="auto"/>
                      <w:sz w:val="21"/>
                      <w:szCs w:val="21"/>
                      <w:lang w:val="en-US" w:eastAsia="zh-CN"/>
                    </w:rPr>
                    <w:t>生产能力为3m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/h</w:t>
                  </w:r>
                </w:p>
              </w:tc>
              <w:tc>
                <w:tcPr>
                  <w:tcW w:w="700" w:type="pct"/>
                  <w:vAlign w:val="center"/>
                </w:tcPr>
                <w:p w14:paraId="4B4FB170">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新建</w:t>
                  </w:r>
                  <w:r>
                    <w:rPr>
                      <w:rFonts w:hint="eastAsia" w:cs="Times New Roman" w:eastAsiaTheme="minorEastAsia"/>
                      <w:color w:val="auto"/>
                      <w:sz w:val="21"/>
                      <w:szCs w:val="21"/>
                      <w:lang w:eastAsia="zh-CN"/>
                    </w:rPr>
                    <w:t>，</w:t>
                  </w:r>
                  <w:r>
                    <w:rPr>
                      <w:rFonts w:hint="eastAsia" w:cs="Times New Roman" w:eastAsiaTheme="minorEastAsia"/>
                      <w:color w:val="auto"/>
                      <w:sz w:val="21"/>
                      <w:szCs w:val="21"/>
                      <w:lang w:val="en-US" w:eastAsia="zh-CN"/>
                    </w:rPr>
                    <w:t>位于封闭的车间内</w:t>
                  </w:r>
                </w:p>
              </w:tc>
            </w:tr>
            <w:tr w14:paraId="39C0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54" w:type="pct"/>
                  <w:vMerge w:val="continue"/>
                  <w:vAlign w:val="center"/>
                </w:tcPr>
                <w:p w14:paraId="03EFEEE6">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1178" w:type="pct"/>
                  <w:gridSpan w:val="2"/>
                  <w:shd w:val="clear" w:color="auto" w:fill="auto"/>
                  <w:vAlign w:val="center"/>
                </w:tcPr>
                <w:p w14:paraId="4070671D">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厨房</w:t>
                  </w:r>
                </w:p>
              </w:tc>
              <w:tc>
                <w:tcPr>
                  <w:tcW w:w="2667" w:type="pct"/>
                  <w:shd w:val="clear" w:color="auto" w:fill="auto"/>
                  <w:vAlign w:val="center"/>
                </w:tcPr>
                <w:p w14:paraId="6A4CDA59">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紧挨办公生活区，砖混结构，1F，占地面积为50</w:t>
                  </w: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2</w:t>
                  </w:r>
                </w:p>
              </w:tc>
              <w:tc>
                <w:tcPr>
                  <w:tcW w:w="700" w:type="pct"/>
                  <w:shd w:val="clear" w:color="auto" w:fill="auto"/>
                  <w:vAlign w:val="center"/>
                </w:tcPr>
                <w:p w14:paraId="0788A66D">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新建</w:t>
                  </w:r>
                </w:p>
              </w:tc>
            </w:tr>
            <w:tr w14:paraId="1160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4" w:type="pct"/>
                  <w:vMerge w:val="continue"/>
                  <w:vAlign w:val="center"/>
                </w:tcPr>
                <w:p w14:paraId="7CEDF95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1178" w:type="pct"/>
                  <w:gridSpan w:val="2"/>
                  <w:shd w:val="clear" w:color="auto" w:fill="auto"/>
                  <w:vAlign w:val="center"/>
                </w:tcPr>
                <w:p w14:paraId="0DDF8C88">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办公</w:t>
                  </w:r>
                  <w:r>
                    <w:rPr>
                      <w:rFonts w:hint="eastAsia" w:cs="Times New Roman" w:eastAsiaTheme="minorEastAsia"/>
                      <w:color w:val="auto"/>
                      <w:sz w:val="21"/>
                      <w:szCs w:val="21"/>
                      <w:lang w:val="en-US" w:eastAsia="zh-CN"/>
                    </w:rPr>
                    <w:t>生活</w:t>
                  </w:r>
                  <w:r>
                    <w:rPr>
                      <w:rFonts w:hint="default" w:ascii="Times New Roman" w:hAnsi="Times New Roman" w:cs="Times New Roman" w:eastAsiaTheme="minorEastAsia"/>
                      <w:color w:val="auto"/>
                      <w:sz w:val="21"/>
                      <w:szCs w:val="21"/>
                      <w:lang w:eastAsia="zh-CN"/>
                    </w:rPr>
                    <w:t>区</w:t>
                  </w:r>
                </w:p>
              </w:tc>
              <w:tc>
                <w:tcPr>
                  <w:tcW w:w="2667" w:type="pct"/>
                  <w:shd w:val="clear" w:color="auto" w:fill="auto"/>
                  <w:vAlign w:val="center"/>
                </w:tcPr>
                <w:p w14:paraId="28CB819E">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位于闲置的空地上，采用简易的活动板房，1F，</w:t>
                  </w:r>
                  <w:r>
                    <w:rPr>
                      <w:rFonts w:hint="default" w:ascii="Times New Roman" w:hAnsi="Times New Roman" w:cs="Times New Roman" w:eastAsiaTheme="minorEastAsia"/>
                      <w:color w:val="auto"/>
                      <w:sz w:val="21"/>
                      <w:szCs w:val="21"/>
                      <w:lang w:val="en-US" w:eastAsia="zh-CN"/>
                    </w:rPr>
                    <w:t>占地面积</w:t>
                  </w:r>
                  <w:r>
                    <w:rPr>
                      <w:rFonts w:hint="eastAsia" w:cs="Times New Roman" w:eastAsiaTheme="minorEastAsia"/>
                      <w:color w:val="auto"/>
                      <w:sz w:val="21"/>
                      <w:szCs w:val="21"/>
                      <w:lang w:val="en-US" w:eastAsia="zh-CN"/>
                    </w:rPr>
                    <w:t>30</w:t>
                  </w:r>
                  <w:r>
                    <w:rPr>
                      <w:rFonts w:hint="default" w:ascii="Times New Roman" w:hAnsi="Times New Roman" w:cs="Times New Roman" w:eastAsiaTheme="minorEastAsia"/>
                      <w:color w:val="auto"/>
                      <w:sz w:val="21"/>
                      <w:szCs w:val="21"/>
                      <w:lang w:val="en-US" w:eastAsia="zh-CN"/>
                    </w:rPr>
                    <w:t>0m</w:t>
                  </w:r>
                  <w:r>
                    <w:rPr>
                      <w:rFonts w:hint="default" w:ascii="Times New Roman" w:hAnsi="Times New Roman" w:cs="Times New Roman" w:eastAsiaTheme="minorEastAsia"/>
                      <w:color w:val="auto"/>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eastAsia="zh-CN"/>
                    </w:rPr>
                    <w:t>设置办公、员工休息</w:t>
                  </w:r>
                </w:p>
              </w:tc>
              <w:tc>
                <w:tcPr>
                  <w:tcW w:w="700" w:type="pct"/>
                  <w:shd w:val="clear" w:color="auto" w:fill="auto"/>
                  <w:vAlign w:val="center"/>
                </w:tcPr>
                <w:p w14:paraId="3EC6D10E">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新建</w:t>
                  </w:r>
                </w:p>
              </w:tc>
            </w:tr>
            <w:tr w14:paraId="61D3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4" w:type="pct"/>
                  <w:vMerge w:val="restart"/>
                  <w:vAlign w:val="center"/>
                </w:tcPr>
                <w:p w14:paraId="358C5969">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公用工程</w:t>
                  </w:r>
                </w:p>
              </w:tc>
              <w:tc>
                <w:tcPr>
                  <w:tcW w:w="1178" w:type="pct"/>
                  <w:gridSpan w:val="2"/>
                  <w:vAlign w:val="center"/>
                </w:tcPr>
                <w:p w14:paraId="3797F6A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供水</w:t>
                  </w:r>
                </w:p>
              </w:tc>
              <w:tc>
                <w:tcPr>
                  <w:tcW w:w="2667" w:type="pct"/>
                  <w:vAlign w:val="center"/>
                </w:tcPr>
                <w:p w14:paraId="40BD1ED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rPr>
                    <w:t>玉溪市红塔区北城镇刺桐关村供水管网供给</w:t>
                  </w:r>
                </w:p>
              </w:tc>
              <w:tc>
                <w:tcPr>
                  <w:tcW w:w="700" w:type="pct"/>
                  <w:vAlign w:val="center"/>
                </w:tcPr>
                <w:p w14:paraId="025A8285">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14:paraId="4AAE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trPr>
              <w:tc>
                <w:tcPr>
                  <w:tcW w:w="454" w:type="pct"/>
                  <w:vMerge w:val="continue"/>
                  <w:vAlign w:val="center"/>
                </w:tcPr>
                <w:p w14:paraId="110A075F">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1178" w:type="pct"/>
                  <w:gridSpan w:val="2"/>
                  <w:vAlign w:val="center"/>
                </w:tcPr>
                <w:p w14:paraId="5C66834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排水</w:t>
                  </w:r>
                </w:p>
              </w:tc>
              <w:tc>
                <w:tcPr>
                  <w:tcW w:w="2667" w:type="pct"/>
                  <w:vAlign w:val="center"/>
                </w:tcPr>
                <w:p w14:paraId="40D6E4F7">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本项目采用</w:t>
                  </w:r>
                  <w:r>
                    <w:rPr>
                      <w:rFonts w:hint="default" w:ascii="Times New Roman" w:hAnsi="Times New Roman" w:cs="Times New Roman" w:eastAsiaTheme="minorEastAsia"/>
                      <w:color w:val="auto"/>
                      <w:sz w:val="21"/>
                      <w:szCs w:val="21"/>
                    </w:rPr>
                    <w:t>雨污分流制</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雨水</w:t>
                  </w:r>
                  <w:r>
                    <w:rPr>
                      <w:rFonts w:hint="default" w:ascii="Times New Roman" w:hAnsi="Times New Roman" w:cs="Times New Roman" w:eastAsiaTheme="minorEastAsia"/>
                      <w:color w:val="auto"/>
                      <w:sz w:val="21"/>
                      <w:szCs w:val="21"/>
                    </w:rPr>
                    <w:t>经厂区雨水沟收集后排入附近排水沟</w:t>
                  </w:r>
                  <w:r>
                    <w:rPr>
                      <w:rFonts w:hint="default" w:ascii="Times New Roman" w:hAnsi="Times New Roman" w:cs="Times New Roman" w:eastAsiaTheme="minorEastAsia"/>
                      <w:color w:val="auto"/>
                      <w:sz w:val="21"/>
                      <w:szCs w:val="21"/>
                      <w:lang w:val="en-US" w:eastAsia="zh-CN"/>
                    </w:rPr>
                    <w:t>；本项目</w:t>
                  </w:r>
                  <w:r>
                    <w:rPr>
                      <w:rFonts w:hint="default" w:ascii="Times New Roman" w:hAnsi="Times New Roman" w:cs="Times New Roman" w:eastAsiaTheme="minorEastAsia"/>
                      <w:color w:val="auto"/>
                      <w:sz w:val="21"/>
                      <w:szCs w:val="21"/>
                      <w:lang w:eastAsia="zh-CN"/>
                    </w:rPr>
                    <w:t>软水</w:t>
                  </w:r>
                  <w:r>
                    <w:rPr>
                      <w:rFonts w:hint="default" w:ascii="Times New Roman" w:hAnsi="Times New Roman" w:cs="Times New Roman" w:eastAsiaTheme="minorEastAsia"/>
                      <w:color w:val="auto"/>
                      <w:sz w:val="21"/>
                      <w:szCs w:val="21"/>
                    </w:rPr>
                    <w:t>制备废水及</w:t>
                  </w:r>
                  <w:r>
                    <w:rPr>
                      <w:rFonts w:hint="eastAsia" w:cs="Times New Roman" w:eastAsiaTheme="minorEastAsia"/>
                      <w:color w:val="auto"/>
                      <w:sz w:val="21"/>
                      <w:szCs w:val="21"/>
                      <w:lang w:eastAsia="zh-CN"/>
                    </w:rPr>
                    <w:t>生物质蒸汽发生器</w:t>
                  </w:r>
                  <w:r>
                    <w:rPr>
                      <w:rFonts w:hint="default" w:ascii="Times New Roman" w:hAnsi="Times New Roman" w:cs="Times New Roman" w:eastAsiaTheme="minorEastAsia"/>
                      <w:color w:val="auto"/>
                      <w:sz w:val="21"/>
                      <w:szCs w:val="21"/>
                    </w:rPr>
                    <w:t>排污水经收集后回用于厂区洒水降尘</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不外排</w:t>
                  </w:r>
                  <w:r>
                    <w:rPr>
                      <w:rFonts w:hint="default" w:ascii="Times New Roman" w:hAnsi="Times New Roman" w:cs="Times New Roman" w:eastAsiaTheme="minorEastAsia"/>
                      <w:color w:val="auto"/>
                      <w:sz w:val="21"/>
                      <w:szCs w:val="21"/>
                    </w:rPr>
                    <w:t>，发泡工段蒸汽冷凝水用于</w:t>
                  </w:r>
                  <w:r>
                    <w:rPr>
                      <w:rFonts w:hint="eastAsia" w:cs="Times New Roman" w:eastAsiaTheme="minorEastAsia"/>
                      <w:color w:val="auto"/>
                      <w:sz w:val="21"/>
                      <w:szCs w:val="21"/>
                      <w:lang w:eastAsia="zh-CN"/>
                    </w:rPr>
                    <w:t>生物质蒸汽发生器</w:t>
                  </w:r>
                  <w:r>
                    <w:rPr>
                      <w:rFonts w:hint="default" w:ascii="Times New Roman" w:hAnsi="Times New Roman" w:cs="Times New Roman" w:eastAsiaTheme="minorEastAsia"/>
                      <w:color w:val="auto"/>
                      <w:sz w:val="21"/>
                      <w:szCs w:val="21"/>
                    </w:rPr>
                    <w:t>损耗补充水</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不外排</w:t>
                  </w:r>
                  <w:r>
                    <w:rPr>
                      <w:rFonts w:hint="default" w:ascii="Times New Roman" w:hAnsi="Times New Roman" w:cs="Times New Roman" w:eastAsiaTheme="minorEastAsia"/>
                      <w:color w:val="auto"/>
                      <w:sz w:val="21"/>
                      <w:szCs w:val="21"/>
                    </w:rPr>
                    <w:t>；食堂废水经油水分离器隔油后与其</w:t>
                  </w:r>
                  <w:r>
                    <w:rPr>
                      <w:rFonts w:hint="default" w:ascii="Times New Roman" w:hAnsi="Times New Roman" w:cs="Times New Roman" w:eastAsiaTheme="minorEastAsia"/>
                      <w:color w:val="auto"/>
                      <w:sz w:val="21"/>
                      <w:szCs w:val="21"/>
                      <w:lang w:val="en-US" w:eastAsia="zh-CN"/>
                    </w:rPr>
                    <w:t>它</w:t>
                  </w:r>
                  <w:r>
                    <w:rPr>
                      <w:rFonts w:hint="default" w:ascii="Times New Roman" w:hAnsi="Times New Roman" w:cs="Times New Roman" w:eastAsiaTheme="minorEastAsia"/>
                      <w:color w:val="auto"/>
                      <w:sz w:val="21"/>
                      <w:szCs w:val="21"/>
                    </w:rPr>
                    <w:t>生活污水一起进入化粪池</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经化粪池（</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）预处理后，</w:t>
                  </w:r>
                  <w:r>
                    <w:rPr>
                      <w:rFonts w:hint="eastAsia" w:cs="Times New Roman" w:eastAsiaTheme="minorEastAsia"/>
                      <w:color w:val="auto"/>
                      <w:sz w:val="21"/>
                      <w:szCs w:val="21"/>
                      <w:lang w:val="en-US" w:eastAsia="zh-CN"/>
                    </w:rPr>
                    <w:t>通过泵输送至项目新建的2m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/d的一体化污水处理设施，经处理达标后，晴天回用于厂区绿化或道路清扫，不外排，雨天暂存于中水池，待晴天后，回用于厂区绿化或道路清扫，不外排</w:t>
                  </w:r>
                </w:p>
              </w:tc>
              <w:tc>
                <w:tcPr>
                  <w:tcW w:w="700" w:type="pct"/>
                  <w:vAlign w:val="center"/>
                </w:tcPr>
                <w:p w14:paraId="7292BF64">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14:paraId="3B309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54" w:type="pct"/>
                  <w:vMerge w:val="continue"/>
                  <w:vAlign w:val="center"/>
                </w:tcPr>
                <w:p w14:paraId="21638CBD">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1178" w:type="pct"/>
                  <w:gridSpan w:val="2"/>
                  <w:shd w:val="clear" w:color="auto" w:fill="auto"/>
                  <w:vAlign w:val="center"/>
                </w:tcPr>
                <w:p w14:paraId="6D0DC74E">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蓄水池</w:t>
                  </w:r>
                </w:p>
              </w:tc>
              <w:tc>
                <w:tcPr>
                  <w:tcW w:w="2667" w:type="pct"/>
                  <w:shd w:val="clear" w:color="auto" w:fill="auto"/>
                  <w:vAlign w:val="center"/>
                </w:tcPr>
                <w:p w14:paraId="2B51E4A8">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位于办公生活区中部，占地面积为50m</w:t>
                  </w:r>
                  <w:r>
                    <w:rPr>
                      <w:rFonts w:hint="eastAsia" w:cs="Times New Roman" w:eastAsiaTheme="minorEastAsia"/>
                      <w:color w:val="auto"/>
                      <w:sz w:val="21"/>
                      <w:szCs w:val="21"/>
                      <w:vertAlign w:val="superscript"/>
                      <w:lang w:val="en-US" w:eastAsia="zh-CN"/>
                    </w:rPr>
                    <w:t>2</w:t>
                  </w:r>
                  <w:r>
                    <w:rPr>
                      <w:rFonts w:hint="eastAsia" w:cs="Times New Roman" w:eastAsiaTheme="minorEastAsia"/>
                      <w:color w:val="auto"/>
                      <w:sz w:val="21"/>
                      <w:szCs w:val="21"/>
                      <w:lang w:val="en-US" w:eastAsia="zh-CN"/>
                    </w:rPr>
                    <w:t>，1个容积为100m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的水泥硬化水池</w:t>
                  </w:r>
                </w:p>
              </w:tc>
              <w:tc>
                <w:tcPr>
                  <w:tcW w:w="700" w:type="pct"/>
                  <w:shd w:val="clear" w:color="auto" w:fill="auto"/>
                  <w:vAlign w:val="center"/>
                </w:tcPr>
                <w:p w14:paraId="09D188A6">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新建</w:t>
                  </w:r>
                </w:p>
              </w:tc>
            </w:tr>
            <w:tr w14:paraId="0229A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54" w:type="pct"/>
                  <w:vMerge w:val="continue"/>
                  <w:vAlign w:val="center"/>
                </w:tcPr>
                <w:p w14:paraId="3441B67B">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1178" w:type="pct"/>
                  <w:gridSpan w:val="2"/>
                  <w:shd w:val="clear" w:color="auto" w:fill="auto"/>
                  <w:vAlign w:val="center"/>
                </w:tcPr>
                <w:p w14:paraId="75808982">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道路</w:t>
                  </w:r>
                </w:p>
              </w:tc>
              <w:tc>
                <w:tcPr>
                  <w:tcW w:w="2667" w:type="pct"/>
                  <w:shd w:val="clear" w:color="auto" w:fill="auto"/>
                  <w:vAlign w:val="center"/>
                </w:tcPr>
                <w:p w14:paraId="1571E695">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项目生产区道路全部水泥硬化，生活区由于需要转运物料，仅进行简易的硬化</w:t>
                  </w:r>
                </w:p>
              </w:tc>
              <w:tc>
                <w:tcPr>
                  <w:tcW w:w="700" w:type="pct"/>
                  <w:shd w:val="clear" w:color="auto" w:fill="auto"/>
                  <w:vAlign w:val="center"/>
                </w:tcPr>
                <w:p w14:paraId="7CCD3C24">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新建</w:t>
                  </w:r>
                </w:p>
              </w:tc>
            </w:tr>
            <w:tr w14:paraId="05DEF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54" w:type="pct"/>
                  <w:vMerge w:val="continue"/>
                  <w:vAlign w:val="center"/>
                </w:tcPr>
                <w:p w14:paraId="23EAEDC8">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1178" w:type="pct"/>
                  <w:gridSpan w:val="2"/>
                  <w:vAlign w:val="center"/>
                </w:tcPr>
                <w:p w14:paraId="1D84B1DC">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供电</w:t>
                  </w:r>
                </w:p>
              </w:tc>
              <w:tc>
                <w:tcPr>
                  <w:tcW w:w="2667" w:type="pct"/>
                  <w:vAlign w:val="center"/>
                </w:tcPr>
                <w:p w14:paraId="7E81A27A">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周边供电管网供给</w:t>
                  </w:r>
                </w:p>
              </w:tc>
              <w:tc>
                <w:tcPr>
                  <w:tcW w:w="700" w:type="pct"/>
                  <w:vAlign w:val="center"/>
                </w:tcPr>
                <w:p w14:paraId="14C58115">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r>
            <w:tr w14:paraId="667F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454" w:type="pct"/>
                  <w:vMerge w:val="restart"/>
                  <w:vAlign w:val="center"/>
                </w:tcPr>
                <w:p w14:paraId="1E665CDB">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环保工程</w:t>
                  </w:r>
                </w:p>
              </w:tc>
              <w:tc>
                <w:tcPr>
                  <w:tcW w:w="368" w:type="pct"/>
                  <w:vMerge w:val="restart"/>
                  <w:vAlign w:val="center"/>
                </w:tcPr>
                <w:p w14:paraId="72BF94B5">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w:t>
                  </w:r>
                </w:p>
              </w:tc>
              <w:tc>
                <w:tcPr>
                  <w:tcW w:w="809" w:type="pct"/>
                  <w:vAlign w:val="center"/>
                </w:tcPr>
                <w:p w14:paraId="5F212878">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发泡</w:t>
                  </w:r>
                  <w:r>
                    <w:rPr>
                      <w:rFonts w:hint="default" w:ascii="Times New Roman" w:hAnsi="Times New Roman" w:cs="Times New Roman" w:eastAsiaTheme="minorEastAsia"/>
                      <w:color w:val="auto"/>
                      <w:sz w:val="21"/>
                      <w:szCs w:val="21"/>
                    </w:rPr>
                    <w:t>废气</w:t>
                  </w:r>
                </w:p>
              </w:tc>
              <w:tc>
                <w:tcPr>
                  <w:tcW w:w="2667" w:type="pct"/>
                  <w:vAlign w:val="center"/>
                </w:tcPr>
                <w:p w14:paraId="00EDB774">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Cs/>
                      <w:color w:val="auto"/>
                      <w:sz w:val="21"/>
                      <w:szCs w:val="21"/>
                      <w:highlight w:val="none"/>
                      <w:lang w:val="en-US" w:eastAsia="zh-CN"/>
                    </w:rPr>
                    <w:t>集气罩+两级活性炭吸附装置+15m排气筒（DA001）</w:t>
                  </w:r>
                </w:p>
              </w:tc>
              <w:tc>
                <w:tcPr>
                  <w:tcW w:w="700" w:type="pct"/>
                  <w:vAlign w:val="center"/>
                </w:tcPr>
                <w:p w14:paraId="054634A5">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新建</w:t>
                  </w:r>
                </w:p>
              </w:tc>
            </w:tr>
            <w:tr w14:paraId="02B98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454" w:type="pct"/>
                  <w:vMerge w:val="continue"/>
                  <w:vAlign w:val="center"/>
                </w:tcPr>
                <w:p w14:paraId="6C2BF59A">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7A257BD7">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shd w:val="clear" w:color="auto" w:fill="auto"/>
                  <w:vAlign w:val="center"/>
                </w:tcPr>
                <w:p w14:paraId="68DDE402">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臭气浓度</w:t>
                  </w:r>
                </w:p>
              </w:tc>
              <w:tc>
                <w:tcPr>
                  <w:tcW w:w="2667" w:type="pct"/>
                  <w:shd w:val="clear" w:color="auto" w:fill="auto"/>
                  <w:vAlign w:val="center"/>
                </w:tcPr>
                <w:p w14:paraId="221A1FED">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bCs/>
                      <w:color w:val="auto"/>
                      <w:kern w:val="2"/>
                      <w:sz w:val="21"/>
                      <w:szCs w:val="21"/>
                      <w:highlight w:val="none"/>
                      <w:lang w:val="en-US" w:eastAsia="zh-CN" w:bidi="ar-SA"/>
                    </w:rPr>
                  </w:pPr>
                  <w:r>
                    <w:rPr>
                      <w:rFonts w:hint="default" w:ascii="Times New Roman" w:hAnsi="Times New Roman" w:cs="Times New Roman" w:eastAsiaTheme="minorEastAsia"/>
                      <w:bCs/>
                      <w:color w:val="auto"/>
                      <w:sz w:val="21"/>
                      <w:szCs w:val="21"/>
                      <w:lang w:val="en-US" w:eastAsia="zh-CN"/>
                    </w:rPr>
                    <w:t>集气罩+两级活性炭+15m排气筒（DA001）</w:t>
                  </w:r>
                </w:p>
              </w:tc>
              <w:tc>
                <w:tcPr>
                  <w:tcW w:w="700" w:type="pct"/>
                  <w:shd w:val="clear" w:color="auto" w:fill="auto"/>
                  <w:vAlign w:val="center"/>
                </w:tcPr>
                <w:p w14:paraId="3EB2F316">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新建</w:t>
                  </w:r>
                </w:p>
              </w:tc>
            </w:tr>
            <w:tr w14:paraId="2199C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54" w:type="pct"/>
                  <w:vMerge w:val="continue"/>
                  <w:vAlign w:val="center"/>
                </w:tcPr>
                <w:p w14:paraId="624D7FA6">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3FE78FC4">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shd w:val="clear" w:color="auto" w:fill="auto"/>
                  <w:vAlign w:val="center"/>
                </w:tcPr>
                <w:p w14:paraId="00738C3C">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Cs/>
                      <w:color w:val="auto"/>
                      <w:sz w:val="21"/>
                      <w:szCs w:val="21"/>
                      <w:lang w:val="en-US" w:eastAsia="zh-CN"/>
                    </w:rPr>
                    <w:t>投料颗粒物</w:t>
                  </w:r>
                </w:p>
              </w:tc>
              <w:tc>
                <w:tcPr>
                  <w:tcW w:w="2667" w:type="pct"/>
                  <w:shd w:val="clear" w:color="auto" w:fill="auto"/>
                  <w:vAlign w:val="center"/>
                </w:tcPr>
                <w:p w14:paraId="66D703E6">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cs="Times New Roman" w:eastAsiaTheme="minorEastAsia"/>
                      <w:b w:val="0"/>
                      <w:bCs/>
                      <w:color w:val="auto"/>
                      <w:kern w:val="2"/>
                      <w:sz w:val="21"/>
                      <w:szCs w:val="21"/>
                      <w:lang w:val="en-US" w:eastAsia="zh-CN" w:bidi="ar-SA"/>
                    </w:rPr>
                    <w:t>密闭围挡、密闭车间</w:t>
                  </w:r>
                </w:p>
              </w:tc>
              <w:tc>
                <w:tcPr>
                  <w:tcW w:w="700" w:type="pct"/>
                  <w:shd w:val="clear" w:color="auto" w:fill="auto"/>
                  <w:vAlign w:val="center"/>
                </w:tcPr>
                <w:p w14:paraId="44A1E88B">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新建</w:t>
                  </w:r>
                </w:p>
              </w:tc>
            </w:tr>
            <w:tr w14:paraId="41C6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454" w:type="pct"/>
                  <w:vMerge w:val="continue"/>
                  <w:vAlign w:val="center"/>
                </w:tcPr>
                <w:p w14:paraId="1A9E0FB8">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65690296">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shd w:val="clear" w:color="auto" w:fill="auto"/>
                  <w:vAlign w:val="center"/>
                </w:tcPr>
                <w:p w14:paraId="40353E90">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 w:val="0"/>
                      <w:color w:val="auto"/>
                      <w:kern w:val="2"/>
                      <w:sz w:val="21"/>
                      <w:szCs w:val="21"/>
                      <w:lang w:val="en-US" w:eastAsia="zh-CN" w:bidi="ar-SA"/>
                    </w:rPr>
                    <w:t>生物质蒸汽发生器废气</w:t>
                  </w:r>
                </w:p>
              </w:tc>
              <w:tc>
                <w:tcPr>
                  <w:tcW w:w="2667" w:type="pct"/>
                  <w:shd w:val="clear" w:color="auto" w:fill="auto"/>
                  <w:vAlign w:val="center"/>
                </w:tcPr>
                <w:p w14:paraId="397DD56F">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管道负压+旋风除尘+布袋除尘+30</w:t>
                  </w:r>
                  <w:r>
                    <w:rPr>
                      <w:rFonts w:hint="default" w:ascii="Times New Roman" w:hAnsi="Times New Roman" w:cs="Times New Roman" w:eastAsiaTheme="minorEastAsia"/>
                      <w:bCs/>
                      <w:color w:val="auto"/>
                      <w:sz w:val="21"/>
                      <w:szCs w:val="21"/>
                      <w:lang w:val="en-US" w:eastAsia="zh-CN"/>
                    </w:rPr>
                    <w:t>m排气筒（DA00</w:t>
                  </w:r>
                  <w:r>
                    <w:rPr>
                      <w:rFonts w:hint="eastAsia" w:cs="Times New Roman" w:eastAsiaTheme="minorEastAsia"/>
                      <w:bCs/>
                      <w:color w:val="auto"/>
                      <w:sz w:val="21"/>
                      <w:szCs w:val="21"/>
                      <w:lang w:val="en-US" w:eastAsia="zh-CN"/>
                    </w:rPr>
                    <w:t>2</w:t>
                  </w:r>
                  <w:r>
                    <w:rPr>
                      <w:rFonts w:hint="default" w:ascii="Times New Roman" w:hAnsi="Times New Roman" w:cs="Times New Roman" w:eastAsiaTheme="minorEastAsia"/>
                      <w:bCs/>
                      <w:color w:val="auto"/>
                      <w:sz w:val="21"/>
                      <w:szCs w:val="21"/>
                      <w:lang w:val="en-US" w:eastAsia="zh-CN"/>
                    </w:rPr>
                    <w:t>）</w:t>
                  </w:r>
                </w:p>
              </w:tc>
              <w:tc>
                <w:tcPr>
                  <w:tcW w:w="700" w:type="pct"/>
                  <w:shd w:val="clear" w:color="auto" w:fill="auto"/>
                  <w:vAlign w:val="center"/>
                </w:tcPr>
                <w:p w14:paraId="7CA6CCC1">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新建</w:t>
                  </w:r>
                </w:p>
              </w:tc>
            </w:tr>
            <w:tr w14:paraId="7C5B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54" w:type="pct"/>
                  <w:vMerge w:val="continue"/>
                  <w:vAlign w:val="center"/>
                </w:tcPr>
                <w:p w14:paraId="246EE9EA">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4DB86296">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shd w:val="clear" w:color="auto" w:fill="auto"/>
                  <w:vAlign w:val="center"/>
                </w:tcPr>
                <w:p w14:paraId="353547E1">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厨房油烟</w:t>
                  </w:r>
                </w:p>
              </w:tc>
              <w:tc>
                <w:tcPr>
                  <w:tcW w:w="2667" w:type="pct"/>
                  <w:shd w:val="clear" w:color="auto" w:fill="auto"/>
                  <w:vAlign w:val="center"/>
                </w:tcPr>
                <w:p w14:paraId="5D2804A3">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油烟净化器（1个，风量不低于3000m</w:t>
                  </w:r>
                  <w:r>
                    <w:rPr>
                      <w:rFonts w:hint="eastAsia" w:cs="Times New Roman" w:eastAsiaTheme="minorEastAsia"/>
                      <w:bCs/>
                      <w:color w:val="auto"/>
                      <w:sz w:val="21"/>
                      <w:szCs w:val="21"/>
                      <w:vertAlign w:val="superscript"/>
                      <w:lang w:val="en-US" w:eastAsia="zh-CN"/>
                    </w:rPr>
                    <w:t>3</w:t>
                  </w:r>
                  <w:r>
                    <w:rPr>
                      <w:rFonts w:hint="eastAsia" w:cs="Times New Roman" w:eastAsiaTheme="minorEastAsia"/>
                      <w:bCs/>
                      <w:color w:val="auto"/>
                      <w:sz w:val="21"/>
                      <w:szCs w:val="21"/>
                      <w:lang w:val="en-US" w:eastAsia="zh-CN"/>
                    </w:rPr>
                    <w:t>/h）</w:t>
                  </w:r>
                </w:p>
              </w:tc>
              <w:tc>
                <w:tcPr>
                  <w:tcW w:w="700" w:type="pct"/>
                  <w:shd w:val="clear" w:color="auto" w:fill="auto"/>
                  <w:vAlign w:val="center"/>
                </w:tcPr>
                <w:p w14:paraId="3A1EF535">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新建</w:t>
                  </w:r>
                </w:p>
              </w:tc>
            </w:tr>
            <w:tr w14:paraId="7F0F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454" w:type="pct"/>
                  <w:vMerge w:val="continue"/>
                  <w:vAlign w:val="center"/>
                </w:tcPr>
                <w:p w14:paraId="03A8F78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restart"/>
                  <w:vAlign w:val="center"/>
                </w:tcPr>
                <w:p w14:paraId="43DB11D4">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废水</w:t>
                  </w:r>
                </w:p>
              </w:tc>
              <w:tc>
                <w:tcPr>
                  <w:tcW w:w="809" w:type="pct"/>
                  <w:vMerge w:val="restart"/>
                  <w:vAlign w:val="center"/>
                </w:tcPr>
                <w:p w14:paraId="370ADF06">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生产废水</w:t>
                  </w:r>
                </w:p>
              </w:tc>
              <w:tc>
                <w:tcPr>
                  <w:tcW w:w="2667" w:type="pct"/>
                  <w:vAlign w:val="center"/>
                </w:tcPr>
                <w:p w14:paraId="6DBAE8B8">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冷凝水收集池（收集暂存</w:t>
                  </w:r>
                  <w:r>
                    <w:rPr>
                      <w:rFonts w:hint="default" w:ascii="Times New Roman" w:hAnsi="Times New Roman" w:cs="Times New Roman" w:eastAsiaTheme="minorEastAsia"/>
                      <w:color w:val="auto"/>
                      <w:sz w:val="21"/>
                      <w:szCs w:val="21"/>
                    </w:rPr>
                    <w:t>发泡工段蒸汽冷凝水</w:t>
                  </w:r>
                  <w:r>
                    <w:rPr>
                      <w:rFonts w:hint="default" w:ascii="Times New Roman" w:hAnsi="Times New Roman" w:cs="Times New Roman" w:eastAsiaTheme="minorEastAsia"/>
                      <w:color w:val="auto"/>
                      <w:sz w:val="21"/>
                      <w:szCs w:val="21"/>
                      <w:lang w:val="en-US" w:eastAsia="zh-CN"/>
                    </w:rPr>
                    <w:t>），容积为25</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700" w:type="pct"/>
                  <w:vAlign w:val="center"/>
                </w:tcPr>
                <w:p w14:paraId="3792DAA9">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新建</w:t>
                  </w:r>
                </w:p>
              </w:tc>
            </w:tr>
            <w:tr w14:paraId="4543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54" w:type="pct"/>
                  <w:vMerge w:val="continue"/>
                  <w:vAlign w:val="center"/>
                </w:tcPr>
                <w:p w14:paraId="0A97CA76">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25E153CC">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vMerge w:val="continue"/>
                  <w:vAlign w:val="center"/>
                </w:tcPr>
                <w:p w14:paraId="192A4857">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2667" w:type="pct"/>
                  <w:vAlign w:val="center"/>
                </w:tcPr>
                <w:p w14:paraId="0124C0C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废水收集池，主要收集</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排污水和软水制备废水，容积为15m</w:t>
                  </w:r>
                  <w:r>
                    <w:rPr>
                      <w:rFonts w:hint="default" w:ascii="Times New Roman" w:hAnsi="Times New Roman" w:cs="Times New Roman" w:eastAsiaTheme="minorEastAsia"/>
                      <w:color w:val="auto"/>
                      <w:sz w:val="21"/>
                      <w:szCs w:val="21"/>
                      <w:vertAlign w:val="superscript"/>
                      <w:lang w:val="en-US" w:eastAsia="zh-CN"/>
                    </w:rPr>
                    <w:t>3</w:t>
                  </w:r>
                </w:p>
              </w:tc>
              <w:tc>
                <w:tcPr>
                  <w:tcW w:w="700" w:type="pct"/>
                  <w:vAlign w:val="center"/>
                </w:tcPr>
                <w:p w14:paraId="3B1434D4">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新建</w:t>
                  </w:r>
                </w:p>
              </w:tc>
            </w:tr>
            <w:tr w14:paraId="637A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54" w:type="pct"/>
                  <w:vMerge w:val="continue"/>
                  <w:vAlign w:val="center"/>
                </w:tcPr>
                <w:p w14:paraId="0C20B273">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3E46992A">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vAlign w:val="center"/>
                </w:tcPr>
                <w:p w14:paraId="6083F8F1">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生活污水</w:t>
                  </w:r>
                </w:p>
              </w:tc>
              <w:tc>
                <w:tcPr>
                  <w:tcW w:w="2667" w:type="pct"/>
                  <w:vAlign w:val="center"/>
                </w:tcPr>
                <w:p w14:paraId="2F528E15">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1个容积为</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的化粪池</w:t>
                  </w:r>
                </w:p>
              </w:tc>
              <w:tc>
                <w:tcPr>
                  <w:tcW w:w="700" w:type="pct"/>
                  <w:vAlign w:val="center"/>
                </w:tcPr>
                <w:p w14:paraId="5E3443B6">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新建</w:t>
                  </w:r>
                </w:p>
              </w:tc>
            </w:tr>
            <w:tr w14:paraId="043C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54" w:type="pct"/>
                  <w:vMerge w:val="continue"/>
                  <w:vAlign w:val="center"/>
                </w:tcPr>
                <w:p w14:paraId="78E88A8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7D107299">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shd w:val="clear" w:color="auto" w:fill="auto"/>
                  <w:vAlign w:val="center"/>
                </w:tcPr>
                <w:p w14:paraId="30DC6EC3">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油水分离池</w:t>
                  </w:r>
                </w:p>
              </w:tc>
              <w:tc>
                <w:tcPr>
                  <w:tcW w:w="2667" w:type="pct"/>
                  <w:shd w:val="clear" w:color="auto" w:fill="auto"/>
                  <w:vAlign w:val="center"/>
                </w:tcPr>
                <w:p w14:paraId="76B589BA">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1个容积为</w:t>
                  </w:r>
                  <w:r>
                    <w:rPr>
                      <w:rFonts w:hint="eastAsia" w:ascii="Times New Roman" w:hAnsi="Times New Roman" w:cs="Times New Roman" w:eastAsiaTheme="minorEastAsia"/>
                      <w:color w:val="auto"/>
                      <w:sz w:val="21"/>
                      <w:szCs w:val="21"/>
                      <w:lang w:val="en-US" w:eastAsia="zh-CN"/>
                    </w:rPr>
                    <w:t>0.6</w:t>
                  </w:r>
                  <w:r>
                    <w:rPr>
                      <w:rFonts w:hint="default" w:ascii="Times New Roman" w:hAnsi="Times New Roman" w:cs="Times New Roman" w:eastAsiaTheme="minorEastAsia"/>
                      <w:color w:val="auto"/>
                      <w:sz w:val="21"/>
                      <w:szCs w:val="21"/>
                      <w:lang w:val="en-US" w:eastAsia="zh-CN"/>
                    </w:rPr>
                    <w:t>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的</w:t>
                  </w:r>
                  <w:r>
                    <w:rPr>
                      <w:rFonts w:hint="eastAsia" w:ascii="Times New Roman" w:hAnsi="Times New Roman" w:cs="Times New Roman" w:eastAsiaTheme="minorEastAsia"/>
                      <w:color w:val="auto"/>
                      <w:sz w:val="21"/>
                      <w:szCs w:val="21"/>
                      <w:lang w:val="en-US" w:eastAsia="zh-CN"/>
                    </w:rPr>
                    <w:t>油水分离池</w:t>
                  </w:r>
                </w:p>
              </w:tc>
              <w:tc>
                <w:tcPr>
                  <w:tcW w:w="700" w:type="pct"/>
                  <w:shd w:val="clear" w:color="auto" w:fill="auto"/>
                  <w:vAlign w:val="center"/>
                </w:tcPr>
                <w:p w14:paraId="2001A200">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新建</w:t>
                  </w:r>
                </w:p>
              </w:tc>
            </w:tr>
            <w:tr w14:paraId="2751E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54" w:type="pct"/>
                  <w:vMerge w:val="continue"/>
                  <w:vAlign w:val="center"/>
                </w:tcPr>
                <w:p w14:paraId="2F2E4429">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55EE1CA2">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shd w:val="clear" w:color="auto" w:fill="auto"/>
                  <w:vAlign w:val="center"/>
                </w:tcPr>
                <w:p w14:paraId="48992AB4">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中水池</w:t>
                  </w:r>
                </w:p>
              </w:tc>
              <w:tc>
                <w:tcPr>
                  <w:tcW w:w="2667" w:type="pct"/>
                  <w:shd w:val="clear" w:color="auto" w:fill="auto"/>
                  <w:vAlign w:val="center"/>
                </w:tcPr>
                <w:p w14:paraId="40881CD8">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ascii="Times New Roman" w:hAnsi="Times New Roman" w:eastAsia="宋体" w:cs="Times New Roman"/>
                      <w:color w:val="auto"/>
                      <w:sz w:val="21"/>
                      <w:szCs w:val="21"/>
                      <w:lang w:val="en-US" w:eastAsia="zh-CN"/>
                    </w:rPr>
                    <w:t>容积为</w:t>
                  </w:r>
                  <w:r>
                    <w:rPr>
                      <w:rFonts w:hint="eastAsia" w:eastAsia="宋体"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，配套建设于一体化</w:t>
                  </w:r>
                  <w:r>
                    <w:rPr>
                      <w:rFonts w:hint="eastAsia" w:eastAsia="宋体" w:cs="Times New Roman"/>
                      <w:color w:val="auto"/>
                      <w:sz w:val="21"/>
                      <w:szCs w:val="21"/>
                      <w:lang w:val="en-US" w:eastAsia="zh-CN"/>
                    </w:rPr>
                    <w:t>生活</w:t>
                  </w:r>
                  <w:r>
                    <w:rPr>
                      <w:rFonts w:hint="eastAsia" w:ascii="Times New Roman" w:hAnsi="Times New Roman" w:eastAsia="宋体" w:cs="Times New Roman"/>
                      <w:color w:val="auto"/>
                      <w:sz w:val="21"/>
                      <w:szCs w:val="21"/>
                      <w:lang w:val="en-US" w:eastAsia="zh-CN"/>
                    </w:rPr>
                    <w:t>污水处理设施末端</w:t>
                  </w:r>
                </w:p>
              </w:tc>
              <w:tc>
                <w:tcPr>
                  <w:tcW w:w="700" w:type="pct"/>
                  <w:shd w:val="clear" w:color="auto" w:fill="auto"/>
                  <w:vAlign w:val="center"/>
                </w:tcPr>
                <w:p w14:paraId="6024F2BB">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新建</w:t>
                  </w:r>
                </w:p>
              </w:tc>
            </w:tr>
            <w:tr w14:paraId="6DDA4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54" w:type="pct"/>
                  <w:vMerge w:val="continue"/>
                  <w:vAlign w:val="center"/>
                </w:tcPr>
                <w:p w14:paraId="08ED905C">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573C909C">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shd w:val="clear" w:color="auto" w:fill="auto"/>
                  <w:vAlign w:val="center"/>
                </w:tcPr>
                <w:p w14:paraId="2CBA2A60">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b w:val="0"/>
                      <w:color w:val="auto"/>
                      <w:kern w:val="2"/>
                      <w:sz w:val="21"/>
                      <w:szCs w:val="21"/>
                      <w:lang w:val="en-US" w:eastAsia="zh-CN" w:bidi="ar-SA"/>
                    </w:rPr>
                    <w:t>污水处理设施</w:t>
                  </w:r>
                </w:p>
              </w:tc>
              <w:tc>
                <w:tcPr>
                  <w:tcW w:w="2667" w:type="pct"/>
                  <w:shd w:val="clear" w:color="auto" w:fill="auto"/>
                  <w:vAlign w:val="center"/>
                </w:tcPr>
                <w:p w14:paraId="1C79B755">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b w:val="0"/>
                      <w:color w:val="auto"/>
                      <w:kern w:val="2"/>
                      <w:sz w:val="21"/>
                      <w:szCs w:val="21"/>
                      <w:lang w:val="en-US" w:eastAsia="zh-CN" w:bidi="ar-SA"/>
                    </w:rPr>
                    <w:t>1套处理能力为2m</w:t>
                  </w:r>
                  <w:r>
                    <w:rPr>
                      <w:rFonts w:hint="eastAsia" w:cs="Times New Roman" w:eastAsiaTheme="minorEastAsia"/>
                      <w:b w:val="0"/>
                      <w:color w:val="auto"/>
                      <w:kern w:val="2"/>
                      <w:sz w:val="21"/>
                      <w:szCs w:val="21"/>
                      <w:vertAlign w:val="superscript"/>
                      <w:lang w:val="en-US" w:eastAsia="zh-CN" w:bidi="ar-SA"/>
                    </w:rPr>
                    <w:t>3</w:t>
                  </w:r>
                  <w:r>
                    <w:rPr>
                      <w:rFonts w:hint="eastAsia" w:cs="Times New Roman" w:eastAsiaTheme="minorEastAsia"/>
                      <w:b w:val="0"/>
                      <w:color w:val="auto"/>
                      <w:kern w:val="2"/>
                      <w:sz w:val="21"/>
                      <w:szCs w:val="21"/>
                      <w:lang w:val="en-US" w:eastAsia="zh-CN" w:bidi="ar-SA"/>
                    </w:rPr>
                    <w:t>/d的一体化生活污水处理设施</w:t>
                  </w:r>
                </w:p>
              </w:tc>
              <w:tc>
                <w:tcPr>
                  <w:tcW w:w="700" w:type="pct"/>
                  <w:shd w:val="clear" w:color="auto" w:fill="auto"/>
                  <w:vAlign w:val="center"/>
                </w:tcPr>
                <w:p w14:paraId="6912CAF5">
                  <w:pPr>
                    <w:pStyle w:val="46"/>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新建</w:t>
                  </w:r>
                </w:p>
              </w:tc>
            </w:tr>
            <w:tr w14:paraId="272B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454" w:type="pct"/>
                  <w:vMerge w:val="continue"/>
                  <w:vAlign w:val="center"/>
                </w:tcPr>
                <w:p w14:paraId="2B8368BE">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Align w:val="center"/>
                </w:tcPr>
                <w:p w14:paraId="1A5DCE37">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噪声</w:t>
                  </w:r>
                </w:p>
              </w:tc>
              <w:tc>
                <w:tcPr>
                  <w:tcW w:w="809" w:type="pct"/>
                  <w:vAlign w:val="center"/>
                </w:tcPr>
                <w:p w14:paraId="594445DE">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生产设备</w:t>
                  </w:r>
                </w:p>
              </w:tc>
              <w:tc>
                <w:tcPr>
                  <w:tcW w:w="2667" w:type="pct"/>
                  <w:vAlign w:val="center"/>
                </w:tcPr>
                <w:p w14:paraId="1F61ADFF">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选用低噪声设备、厂房隔声</w:t>
                  </w:r>
                  <w:r>
                    <w:rPr>
                      <w:rStyle w:val="39"/>
                      <w:rFonts w:hint="default" w:ascii="Times New Roman" w:hAnsi="Times New Roman" w:cs="Times New Roman" w:eastAsiaTheme="minorEastAsia"/>
                      <w:color w:val="auto"/>
                      <w:sz w:val="21"/>
                      <w:szCs w:val="21"/>
                    </w:rPr>
                    <w:t>，风机安装消声器</w:t>
                  </w:r>
                </w:p>
              </w:tc>
              <w:tc>
                <w:tcPr>
                  <w:tcW w:w="700" w:type="pct"/>
                  <w:vAlign w:val="center"/>
                </w:tcPr>
                <w:p w14:paraId="4609D314">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新建</w:t>
                  </w:r>
                </w:p>
              </w:tc>
            </w:tr>
            <w:tr w14:paraId="08B82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54" w:type="pct"/>
                  <w:vMerge w:val="continue"/>
                  <w:vAlign w:val="center"/>
                </w:tcPr>
                <w:p w14:paraId="34546DCC">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restart"/>
                  <w:vAlign w:val="center"/>
                </w:tcPr>
                <w:p w14:paraId="40162A70">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固废</w:t>
                  </w:r>
                </w:p>
              </w:tc>
              <w:tc>
                <w:tcPr>
                  <w:tcW w:w="809" w:type="pct"/>
                  <w:vAlign w:val="center"/>
                </w:tcPr>
                <w:p w14:paraId="1D9BC707">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一般固废暂存区</w:t>
                  </w:r>
                </w:p>
              </w:tc>
              <w:tc>
                <w:tcPr>
                  <w:tcW w:w="2667" w:type="pct"/>
                  <w:vAlign w:val="center"/>
                </w:tcPr>
                <w:p w14:paraId="24F21CEA">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rPr>
                    <w:t>厂区内设置</w:t>
                  </w:r>
                  <w:r>
                    <w:rPr>
                      <w:rFonts w:hint="default" w:ascii="Times New Roman" w:hAnsi="Times New Roman" w:cs="Times New Roman" w:eastAsiaTheme="minorEastAsia"/>
                      <w:color w:val="auto"/>
                      <w:sz w:val="21"/>
                      <w:szCs w:val="21"/>
                    </w:rPr>
                    <w:t>不低于</w:t>
                  </w:r>
                  <w:r>
                    <w:rPr>
                      <w:rFonts w:hint="default" w:ascii="Times New Roman" w:hAnsi="Times New Roman" w:cs="Times New Roman" w:eastAsiaTheme="minorEastAsia"/>
                      <w:color w:val="auto"/>
                      <w:sz w:val="21"/>
                      <w:szCs w:val="21"/>
                      <w:lang w:val="en-US" w:eastAsia="zh-CN"/>
                    </w:rPr>
                    <w:t>30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的一般固废暂存</w:t>
                  </w:r>
                  <w:r>
                    <w:rPr>
                      <w:rFonts w:hint="default" w:ascii="Times New Roman" w:hAnsi="Times New Roman" w:cs="Times New Roman" w:eastAsiaTheme="minorEastAsia"/>
                      <w:color w:val="auto"/>
                      <w:sz w:val="21"/>
                      <w:szCs w:val="21"/>
                      <w:lang w:val="en-US" w:eastAsia="zh-CN"/>
                    </w:rPr>
                    <w:t>区</w:t>
                  </w:r>
                  <w:r>
                    <w:rPr>
                      <w:rFonts w:hint="default" w:ascii="Times New Roman" w:hAnsi="Times New Roman" w:cs="Times New Roman" w:eastAsiaTheme="minorEastAsia"/>
                      <w:color w:val="auto"/>
                      <w:sz w:val="21"/>
                      <w:szCs w:val="21"/>
                    </w:rPr>
                    <w:t>，严格按《一般工业固体废物贮存和填埋污染控制标准》（GB18599-2020）要求设置</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kern w:val="0"/>
                      <w:sz w:val="21"/>
                      <w:szCs w:val="21"/>
                      <w:lang w:val="en-US" w:eastAsia="zh-CN" w:bidi="ar"/>
                    </w:rPr>
                    <w:t>其贮存过程应满足相应防渗漏、防雨淋、防扬尘等环境保护要求</w:t>
                  </w:r>
                </w:p>
              </w:tc>
              <w:tc>
                <w:tcPr>
                  <w:tcW w:w="700" w:type="pct"/>
                  <w:vAlign w:val="center"/>
                </w:tcPr>
                <w:p w14:paraId="41B00B1F">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新建</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位于生产车间内</w:t>
                  </w:r>
                </w:p>
              </w:tc>
            </w:tr>
            <w:tr w14:paraId="3E77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trPr>
              <w:tc>
                <w:tcPr>
                  <w:tcW w:w="454" w:type="pct"/>
                  <w:vMerge w:val="continue"/>
                  <w:vAlign w:val="center"/>
                </w:tcPr>
                <w:p w14:paraId="1E585BEC">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368" w:type="pct"/>
                  <w:vMerge w:val="continue"/>
                  <w:vAlign w:val="center"/>
                </w:tcPr>
                <w:p w14:paraId="7F9E3E3D">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p>
              </w:tc>
              <w:tc>
                <w:tcPr>
                  <w:tcW w:w="809" w:type="pct"/>
                  <w:vAlign w:val="center"/>
                </w:tcPr>
                <w:p w14:paraId="459188A9">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危废暂存间</w:t>
                  </w:r>
                </w:p>
              </w:tc>
              <w:tc>
                <w:tcPr>
                  <w:tcW w:w="2667" w:type="pct"/>
                  <w:vAlign w:val="center"/>
                </w:tcPr>
                <w:p w14:paraId="6292BFB9">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lang w:val="en-US" w:eastAsia="zh-CN"/>
                    </w:rPr>
                    <w:t>1间</w:t>
                  </w:r>
                  <w:r>
                    <w:rPr>
                      <w:rFonts w:hint="default" w:ascii="Times New Roman" w:hAnsi="Times New Roman" w:cs="Times New Roman" w:eastAsiaTheme="minorEastAsia"/>
                      <w:color w:val="auto"/>
                      <w:sz w:val="21"/>
                      <w:szCs w:val="21"/>
                    </w:rPr>
                    <w:t>5m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危险废物暂存间</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bCs/>
                      <w:color w:val="auto"/>
                      <w:sz w:val="21"/>
                      <w:szCs w:val="21"/>
                    </w:rPr>
                    <w:t>按《危险废物贮存污染控制标准》（GB18597-2023）的相关要求建设，</w:t>
                  </w:r>
                  <w:r>
                    <w:rPr>
                      <w:rFonts w:hint="default" w:ascii="Times New Roman" w:hAnsi="Times New Roman" w:cs="Times New Roman" w:eastAsiaTheme="minorEastAsia"/>
                      <w:color w:val="auto"/>
                      <w:sz w:val="21"/>
                      <w:szCs w:val="21"/>
                      <w:lang w:val="en-US" w:eastAsia="zh-CN"/>
                    </w:rPr>
                    <w:t>具体为：</w:t>
                  </w:r>
                  <w:r>
                    <w:rPr>
                      <w:rFonts w:hint="default" w:ascii="Times New Roman" w:hAnsi="Times New Roman" w:cs="Times New Roman" w:eastAsiaTheme="minorEastAsia"/>
                      <w:color w:val="auto"/>
                      <w:kern w:val="0"/>
                      <w:sz w:val="21"/>
                      <w:szCs w:val="21"/>
                      <w:lang w:bidi="ar"/>
                    </w:rPr>
                    <w:t>基础必须防渗，防渗层为至少1m厚粘土层（渗透系数≤10</w:t>
                  </w:r>
                  <w:r>
                    <w:rPr>
                      <w:rFonts w:hint="default" w:ascii="Times New Roman" w:hAnsi="Times New Roman" w:cs="Times New Roman" w:eastAsiaTheme="minorEastAsia"/>
                      <w:color w:val="auto"/>
                      <w:kern w:val="0"/>
                      <w:sz w:val="21"/>
                      <w:szCs w:val="21"/>
                      <w:vertAlign w:val="superscript"/>
                      <w:lang w:bidi="ar"/>
                    </w:rPr>
                    <w:t>-7</w:t>
                  </w:r>
                  <w:r>
                    <w:rPr>
                      <w:rFonts w:hint="default" w:ascii="Times New Roman" w:hAnsi="Times New Roman" w:cs="Times New Roman" w:eastAsiaTheme="minorEastAsia"/>
                      <w:color w:val="auto"/>
                      <w:kern w:val="0"/>
                      <w:sz w:val="21"/>
                      <w:szCs w:val="21"/>
                      <w:lang w:bidi="ar"/>
                    </w:rPr>
                    <w:t>cm/s），或2mm厚高密度聚乙烯，或至少2mm厚的其它人工材料，渗透系数≤10</w:t>
                  </w:r>
                  <w:r>
                    <w:rPr>
                      <w:rFonts w:hint="default" w:ascii="Times New Roman" w:hAnsi="Times New Roman" w:cs="Times New Roman" w:eastAsiaTheme="minorEastAsia"/>
                      <w:color w:val="auto"/>
                      <w:kern w:val="0"/>
                      <w:sz w:val="21"/>
                      <w:szCs w:val="21"/>
                      <w:vertAlign w:val="superscript"/>
                      <w:lang w:bidi="ar"/>
                    </w:rPr>
                    <w:t>-10</w:t>
                  </w:r>
                  <w:r>
                    <w:rPr>
                      <w:rFonts w:hint="default" w:ascii="Times New Roman" w:hAnsi="Times New Roman" w:cs="Times New Roman" w:eastAsiaTheme="minorEastAsia"/>
                      <w:color w:val="auto"/>
                      <w:kern w:val="0"/>
                      <w:sz w:val="21"/>
                      <w:szCs w:val="21"/>
                      <w:lang w:bidi="ar"/>
                    </w:rPr>
                    <w:t>cm/s</w:t>
                  </w:r>
                  <w:r>
                    <w:rPr>
                      <w:rFonts w:hint="default" w:ascii="Times New Roman" w:hAnsi="Times New Roman" w:cs="Times New Roman" w:eastAsiaTheme="minorEastAsia"/>
                      <w:color w:val="auto"/>
                      <w:kern w:val="0"/>
                      <w:sz w:val="21"/>
                      <w:szCs w:val="21"/>
                      <w:lang w:eastAsia="zh-CN" w:bidi="ar"/>
                    </w:rPr>
                    <w:t>，</w:t>
                  </w:r>
                  <w:r>
                    <w:rPr>
                      <w:rFonts w:hint="default" w:ascii="Times New Roman" w:hAnsi="Times New Roman" w:cs="Times New Roman" w:eastAsiaTheme="minorEastAsia"/>
                      <w:bCs/>
                      <w:color w:val="auto"/>
                      <w:sz w:val="21"/>
                      <w:szCs w:val="21"/>
                    </w:rPr>
                    <w:t>做好防扬散、防流失、防渗漏等措施</w:t>
                  </w:r>
                </w:p>
              </w:tc>
              <w:tc>
                <w:tcPr>
                  <w:tcW w:w="700" w:type="pct"/>
                  <w:vAlign w:val="center"/>
                </w:tcPr>
                <w:p w14:paraId="12BBD314">
                  <w:pPr>
                    <w:pStyle w:val="4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新建</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位于生产车间内</w:t>
                  </w:r>
                </w:p>
              </w:tc>
            </w:tr>
          </w:tbl>
          <w:p w14:paraId="08F2C4E4">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bookmarkStart w:id="16" w:name="_Toc8687"/>
            <w:r>
              <w:rPr>
                <w:rFonts w:hint="eastAsia" w:cs="Times New Roman"/>
                <w:b/>
                <w:bCs/>
                <w:color w:val="auto"/>
                <w:lang w:val="en-US" w:eastAsia="zh-CN"/>
              </w:rPr>
              <w:t>4</w:t>
            </w:r>
            <w:r>
              <w:rPr>
                <w:rFonts w:hint="default" w:ascii="Times New Roman" w:hAnsi="Times New Roman" w:cs="Times New Roman"/>
                <w:b/>
                <w:bCs/>
                <w:color w:val="auto"/>
                <w:lang w:val="en-US" w:eastAsia="zh-CN"/>
              </w:rPr>
              <w:t>、</w:t>
            </w:r>
            <w:r>
              <w:rPr>
                <w:rFonts w:hint="default" w:ascii="Times New Roman" w:hAnsi="Times New Roman" w:cs="Times New Roman"/>
                <w:b/>
                <w:bCs/>
                <w:color w:val="auto"/>
              </w:rPr>
              <w:t>产品方案及规模</w:t>
            </w:r>
            <w:bookmarkEnd w:id="16"/>
          </w:p>
          <w:p w14:paraId="4EA2C49A">
            <w:pPr>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eastAsia" w:cs="Times New Roman"/>
                <w:color w:val="auto"/>
                <w:lang w:eastAsia="zh-CN"/>
              </w:rPr>
              <w:t>EPS泡沫颗粒</w:t>
            </w:r>
            <w:r>
              <w:rPr>
                <w:rFonts w:hint="default" w:ascii="Times New Roman" w:hAnsi="Times New Roman" w:cs="Times New Roman"/>
                <w:color w:val="auto"/>
              </w:rPr>
              <w:t>生产规模为</w:t>
            </w:r>
            <w:r>
              <w:rPr>
                <w:rFonts w:hint="eastAsia" w:cs="Times New Roman"/>
                <w:color w:val="auto"/>
                <w:lang w:val="en-US" w:eastAsia="zh-CN"/>
              </w:rPr>
              <w:t>100t</w:t>
            </w:r>
            <w:r>
              <w:rPr>
                <w:rFonts w:hint="default" w:ascii="Times New Roman" w:hAnsi="Times New Roman" w:cs="Times New Roman"/>
                <w:color w:val="auto"/>
              </w:rPr>
              <w:t>/a，项目产品规模见表2-2所示。</w:t>
            </w:r>
          </w:p>
          <w:p w14:paraId="683869AF">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w:t>
            </w:r>
            <w:r>
              <w:rPr>
                <w:rFonts w:hint="default" w:ascii="Times New Roman" w:hAnsi="Times New Roman" w:cs="Times New Roman"/>
                <w:color w:val="auto"/>
                <w:sz w:val="24"/>
                <w:szCs w:val="32"/>
                <w:lang w:val="en-US" w:eastAsia="zh-CN"/>
              </w:rPr>
              <w:t>2</w:t>
            </w:r>
            <w:r>
              <w:rPr>
                <w:rFonts w:hint="eastAsia" w:cs="Times New Roman"/>
                <w:color w:val="auto"/>
                <w:sz w:val="24"/>
                <w:szCs w:val="32"/>
                <w:lang w:val="en-US" w:eastAsia="zh-CN"/>
              </w:rPr>
              <w:t xml:space="preserve">  </w:t>
            </w:r>
            <w:r>
              <w:rPr>
                <w:rFonts w:hint="default" w:ascii="Times New Roman" w:hAnsi="Times New Roman" w:cs="Times New Roman"/>
                <w:color w:val="auto"/>
                <w:sz w:val="24"/>
                <w:szCs w:val="32"/>
              </w:rPr>
              <w:t>项目产品规模一览表</w:t>
            </w:r>
          </w:p>
          <w:tbl>
            <w:tblPr>
              <w:tblStyle w:val="33"/>
              <w:tblW w:w="787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684"/>
              <w:gridCol w:w="1115"/>
              <w:gridCol w:w="4043"/>
            </w:tblGrid>
            <w:tr w14:paraId="2214F89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36" w:type="dxa"/>
                  <w:tcBorders>
                    <w:tl2br w:val="nil"/>
                    <w:tr2bl w:val="nil"/>
                  </w:tcBorders>
                  <w:vAlign w:val="center"/>
                </w:tcPr>
                <w:p w14:paraId="5EE126CC">
                  <w:pPr>
                    <w:pStyle w:val="5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val="0"/>
                      <w:color w:val="auto"/>
                      <w:sz w:val="21"/>
                      <w:szCs w:val="21"/>
                      <w:lang w:eastAsia="zh-CN"/>
                    </w:rPr>
                  </w:pPr>
                  <w:bookmarkStart w:id="17" w:name="_Toc31682"/>
                  <w:r>
                    <w:rPr>
                      <w:rFonts w:hint="default" w:ascii="Times New Roman" w:hAnsi="Times New Roman" w:cs="Times New Roman" w:eastAsiaTheme="minorEastAsia"/>
                      <w:b/>
                      <w:bCs w:val="0"/>
                      <w:color w:val="auto"/>
                      <w:sz w:val="21"/>
                      <w:szCs w:val="21"/>
                      <w:lang w:eastAsia="zh-CN"/>
                    </w:rPr>
                    <w:t>序号</w:t>
                  </w:r>
                </w:p>
              </w:tc>
              <w:tc>
                <w:tcPr>
                  <w:tcW w:w="1684" w:type="dxa"/>
                  <w:tcBorders>
                    <w:tl2br w:val="nil"/>
                    <w:tr2bl w:val="nil"/>
                  </w:tcBorders>
                  <w:vAlign w:val="center"/>
                </w:tcPr>
                <w:p w14:paraId="480A1DA2">
                  <w:pPr>
                    <w:pStyle w:val="5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eastAsia="zh-CN"/>
                    </w:rPr>
                    <w:t>产品名称</w:t>
                  </w:r>
                </w:p>
              </w:tc>
              <w:tc>
                <w:tcPr>
                  <w:tcW w:w="1115" w:type="dxa"/>
                  <w:tcBorders>
                    <w:tl2br w:val="nil"/>
                    <w:tr2bl w:val="nil"/>
                  </w:tcBorders>
                  <w:vAlign w:val="center"/>
                </w:tcPr>
                <w:p w14:paraId="210F62B1">
                  <w:pPr>
                    <w:pStyle w:val="5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eastAsia="zh-CN"/>
                    </w:rPr>
                    <w:t>产量</w:t>
                  </w:r>
                </w:p>
              </w:tc>
              <w:tc>
                <w:tcPr>
                  <w:tcW w:w="4043" w:type="dxa"/>
                  <w:tcBorders>
                    <w:tl2br w:val="nil"/>
                    <w:tr2bl w:val="nil"/>
                  </w:tcBorders>
                  <w:vAlign w:val="center"/>
                </w:tcPr>
                <w:p w14:paraId="3FB6CEC8">
                  <w:pPr>
                    <w:pStyle w:val="5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eastAsia="zh-CN"/>
                    </w:rPr>
                    <w:t>规格</w:t>
                  </w:r>
                </w:p>
              </w:tc>
            </w:tr>
            <w:tr w14:paraId="2A5A0C4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98" w:hRule="atLeast"/>
                <w:jc w:val="center"/>
              </w:trPr>
              <w:tc>
                <w:tcPr>
                  <w:tcW w:w="1036" w:type="dxa"/>
                  <w:tcBorders>
                    <w:tl2br w:val="nil"/>
                    <w:tr2bl w:val="nil"/>
                  </w:tcBorders>
                  <w:vAlign w:val="center"/>
                </w:tcPr>
                <w:p w14:paraId="18C10205">
                  <w:pPr>
                    <w:pStyle w:val="5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1</w:t>
                  </w:r>
                </w:p>
              </w:tc>
              <w:tc>
                <w:tcPr>
                  <w:tcW w:w="1684" w:type="dxa"/>
                  <w:tcBorders>
                    <w:tl2br w:val="nil"/>
                    <w:tr2bl w:val="nil"/>
                  </w:tcBorders>
                  <w:vAlign w:val="center"/>
                </w:tcPr>
                <w:p w14:paraId="17A94CEB">
                  <w:pPr>
                    <w:pStyle w:val="5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EPS泡沫颗粒</w:t>
                  </w:r>
                </w:p>
              </w:tc>
              <w:tc>
                <w:tcPr>
                  <w:tcW w:w="1115" w:type="dxa"/>
                  <w:tcBorders>
                    <w:tl2br w:val="nil"/>
                    <w:tr2bl w:val="nil"/>
                  </w:tcBorders>
                  <w:vAlign w:val="center"/>
                </w:tcPr>
                <w:p w14:paraId="2884F007">
                  <w:pPr>
                    <w:pStyle w:val="5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val="en-US" w:eastAsia="zh-CN"/>
                    </w:rPr>
                    <w:t>100</w:t>
                  </w:r>
                  <w:r>
                    <w:rPr>
                      <w:rFonts w:hint="default" w:ascii="Times New Roman" w:hAnsi="Times New Roman" w:cs="Times New Roman" w:eastAsiaTheme="minorEastAsia"/>
                      <w:b w:val="0"/>
                      <w:bCs/>
                      <w:color w:val="auto"/>
                      <w:sz w:val="21"/>
                      <w:szCs w:val="21"/>
                      <w:lang w:eastAsia="zh-CN"/>
                    </w:rPr>
                    <w:t>t/a</w:t>
                  </w:r>
                </w:p>
              </w:tc>
              <w:tc>
                <w:tcPr>
                  <w:tcW w:w="4043" w:type="dxa"/>
                  <w:tcBorders>
                    <w:tl2br w:val="nil"/>
                    <w:tr2bl w:val="nil"/>
                  </w:tcBorders>
                  <w:vAlign w:val="center"/>
                </w:tcPr>
                <w:p w14:paraId="2C4250F0">
                  <w:pPr>
                    <w:pStyle w:val="56"/>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产品粒径为0.7cm~1.0cm，装于0.8m×1.8m规格的包装袋，每袋产品约2kg</w:t>
                  </w:r>
                  <w:r>
                    <w:rPr>
                      <w:rFonts w:hint="eastAsia" w:cs="Times New Roman" w:eastAsiaTheme="minorEastAsia"/>
                      <w:b w:val="0"/>
                      <w:bCs/>
                      <w:color w:val="auto"/>
                      <w:sz w:val="21"/>
                      <w:szCs w:val="21"/>
                      <w:lang w:eastAsia="zh-CN"/>
                    </w:rPr>
                    <w:t>，</w:t>
                  </w:r>
                  <w:r>
                    <w:rPr>
                      <w:rFonts w:hint="eastAsia" w:cs="Times New Roman" w:eastAsiaTheme="minorEastAsia"/>
                      <w:b w:val="0"/>
                      <w:bCs/>
                      <w:color w:val="auto"/>
                      <w:sz w:val="21"/>
                      <w:szCs w:val="21"/>
                      <w:lang w:val="en-US" w:eastAsia="zh-CN"/>
                    </w:rPr>
                    <w:t>产品主要用于快递贵重物品和易碎物品中间空白间隙的填充</w:t>
                  </w:r>
                </w:p>
              </w:tc>
            </w:tr>
          </w:tbl>
          <w:p w14:paraId="7148CA9A">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eastAsia" w:cs="Times New Roman"/>
                <w:b/>
                <w:bCs/>
                <w:color w:val="auto"/>
                <w:lang w:val="en-US" w:eastAsia="zh-CN"/>
              </w:rPr>
              <w:t>5</w:t>
            </w:r>
            <w:r>
              <w:rPr>
                <w:rFonts w:hint="default" w:ascii="Times New Roman" w:hAnsi="Times New Roman" w:cs="Times New Roman"/>
                <w:b/>
                <w:bCs/>
                <w:color w:val="auto"/>
                <w:lang w:val="en-US" w:eastAsia="zh-CN"/>
              </w:rPr>
              <w:t>、</w:t>
            </w:r>
            <w:r>
              <w:rPr>
                <w:rFonts w:hint="default" w:ascii="Times New Roman" w:hAnsi="Times New Roman" w:cs="Times New Roman"/>
                <w:b/>
                <w:bCs/>
                <w:color w:val="auto"/>
              </w:rPr>
              <w:t>主要生产设施及设施参数</w:t>
            </w:r>
            <w:bookmarkEnd w:id="17"/>
          </w:p>
          <w:p w14:paraId="1D769C1A">
            <w:pPr>
              <w:tabs>
                <w:tab w:val="center" w:pos="3885"/>
              </w:tabs>
              <w:ind w:firstLine="480"/>
              <w:rPr>
                <w:rFonts w:hint="default" w:ascii="Times New Roman" w:hAnsi="Times New Roman" w:cs="Times New Roman"/>
                <w:color w:val="auto"/>
              </w:rPr>
            </w:pPr>
            <w:r>
              <w:rPr>
                <w:rFonts w:hint="default" w:ascii="Times New Roman" w:hAnsi="Times New Roman" w:cs="Times New Roman"/>
                <w:color w:val="auto"/>
              </w:rPr>
              <w:t>本项目主要运行设备见表2-3。</w:t>
            </w:r>
            <w:r>
              <w:rPr>
                <w:rFonts w:hint="default" w:ascii="Times New Roman" w:hAnsi="Times New Roman" w:cs="Times New Roman"/>
                <w:color w:val="auto"/>
              </w:rPr>
              <w:tab/>
            </w:r>
          </w:p>
          <w:p w14:paraId="5D116E19">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ascii="Times New Roman" w:hAnsi="Times New Roman" w:cs="Times New Roman"/>
                <w:color w:val="auto"/>
                <w:sz w:val="24"/>
                <w:szCs w:val="32"/>
              </w:rPr>
              <w:t xml:space="preserve">表2-3 </w:t>
            </w:r>
            <w:r>
              <w:rPr>
                <w:rFonts w:hint="eastAsia" w:cs="Times New Roman"/>
                <w:color w:val="auto"/>
                <w:sz w:val="24"/>
                <w:szCs w:val="32"/>
                <w:lang w:val="en-US" w:eastAsia="zh-CN"/>
              </w:rPr>
              <w:t xml:space="preserve"> </w:t>
            </w:r>
            <w:r>
              <w:rPr>
                <w:rFonts w:hint="default" w:ascii="Times New Roman" w:hAnsi="Times New Roman" w:cs="Times New Roman"/>
                <w:color w:val="auto"/>
                <w:sz w:val="24"/>
                <w:szCs w:val="32"/>
              </w:rPr>
              <w:t>主要运行设备一览表</w:t>
            </w:r>
          </w:p>
          <w:tbl>
            <w:tblPr>
              <w:tblStyle w:val="33"/>
              <w:tblW w:w="7858" w:type="dxa"/>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75"/>
              <w:gridCol w:w="1422"/>
              <w:gridCol w:w="700"/>
              <w:gridCol w:w="720"/>
              <w:gridCol w:w="2166"/>
            </w:tblGrid>
            <w:tr w14:paraId="4EC5960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675" w:type="dxa"/>
                  <w:tcBorders>
                    <w:tl2br w:val="nil"/>
                    <w:tr2bl w:val="nil"/>
                  </w:tcBorders>
                  <w:vAlign w:val="center"/>
                </w:tcPr>
                <w:p w14:paraId="21E21EF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lang w:eastAsia="zh-CN"/>
                    </w:rPr>
                  </w:pPr>
                  <w:bookmarkStart w:id="18" w:name="_Toc22776"/>
                  <w:r>
                    <w:rPr>
                      <w:rFonts w:hint="default" w:ascii="Times New Roman" w:hAnsi="Times New Roman" w:cs="Times New Roman" w:eastAsiaTheme="minorEastAsia"/>
                      <w:b/>
                      <w:bCs w:val="0"/>
                      <w:color w:val="auto"/>
                      <w:sz w:val="21"/>
                      <w:szCs w:val="21"/>
                      <w:lang w:eastAsia="zh-CN"/>
                    </w:rPr>
                    <w:t>序号</w:t>
                  </w:r>
                </w:p>
              </w:tc>
              <w:tc>
                <w:tcPr>
                  <w:tcW w:w="2175" w:type="dxa"/>
                  <w:tcBorders>
                    <w:tl2br w:val="nil"/>
                    <w:tr2bl w:val="nil"/>
                  </w:tcBorders>
                  <w:vAlign w:val="center"/>
                </w:tcPr>
                <w:p w14:paraId="4DB9003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eastAsia="zh-CN"/>
                    </w:rPr>
                    <w:t>设备名称</w:t>
                  </w:r>
                </w:p>
              </w:tc>
              <w:tc>
                <w:tcPr>
                  <w:tcW w:w="1422" w:type="dxa"/>
                  <w:tcBorders>
                    <w:tl2br w:val="nil"/>
                    <w:tr2bl w:val="nil"/>
                  </w:tcBorders>
                  <w:vAlign w:val="center"/>
                </w:tcPr>
                <w:p w14:paraId="6AC95BE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eastAsia="zh-CN"/>
                    </w:rPr>
                    <w:t>型号</w:t>
                  </w:r>
                </w:p>
              </w:tc>
              <w:tc>
                <w:tcPr>
                  <w:tcW w:w="700" w:type="dxa"/>
                  <w:tcBorders>
                    <w:tl2br w:val="nil"/>
                    <w:tr2bl w:val="nil"/>
                  </w:tcBorders>
                  <w:vAlign w:val="center"/>
                </w:tcPr>
                <w:p w14:paraId="54AAA12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eastAsia="zh-CN"/>
                    </w:rPr>
                    <w:t>单位</w:t>
                  </w:r>
                </w:p>
              </w:tc>
              <w:tc>
                <w:tcPr>
                  <w:tcW w:w="720" w:type="dxa"/>
                  <w:tcBorders>
                    <w:tl2br w:val="nil"/>
                    <w:tr2bl w:val="nil"/>
                  </w:tcBorders>
                  <w:vAlign w:val="center"/>
                </w:tcPr>
                <w:p w14:paraId="007324D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eastAsia="zh-CN"/>
                    </w:rPr>
                    <w:t>数量</w:t>
                  </w:r>
                </w:p>
              </w:tc>
              <w:tc>
                <w:tcPr>
                  <w:tcW w:w="2166" w:type="dxa"/>
                  <w:tcBorders>
                    <w:tl2br w:val="nil"/>
                    <w:tr2bl w:val="nil"/>
                  </w:tcBorders>
                  <w:vAlign w:val="center"/>
                </w:tcPr>
                <w:p w14:paraId="007900F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lang w:eastAsia="zh-CN"/>
                    </w:rPr>
                    <w:t>备注</w:t>
                  </w:r>
                </w:p>
              </w:tc>
            </w:tr>
            <w:tr w14:paraId="0209913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75" w:type="dxa"/>
                  <w:tcBorders>
                    <w:tl2br w:val="nil"/>
                    <w:tr2bl w:val="nil"/>
                  </w:tcBorders>
                  <w:vAlign w:val="center"/>
                </w:tcPr>
                <w:p w14:paraId="176707D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1</w:t>
                  </w:r>
                </w:p>
              </w:tc>
              <w:tc>
                <w:tcPr>
                  <w:tcW w:w="2175" w:type="dxa"/>
                  <w:tcBorders>
                    <w:tl2br w:val="nil"/>
                    <w:tr2bl w:val="nil"/>
                  </w:tcBorders>
                  <w:vAlign w:val="center"/>
                </w:tcPr>
                <w:p w14:paraId="0F1A515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间歇式预发泡机</w:t>
                  </w:r>
                </w:p>
              </w:tc>
              <w:tc>
                <w:tcPr>
                  <w:tcW w:w="1422" w:type="dxa"/>
                  <w:tcBorders>
                    <w:tl2br w:val="nil"/>
                    <w:tr2bl w:val="nil"/>
                  </w:tcBorders>
                  <w:vAlign w:val="center"/>
                </w:tcPr>
                <w:p w14:paraId="3398A35B">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间歇式</w:t>
                  </w:r>
                </w:p>
              </w:tc>
              <w:tc>
                <w:tcPr>
                  <w:tcW w:w="700" w:type="dxa"/>
                  <w:tcBorders>
                    <w:tl2br w:val="nil"/>
                    <w:tr2bl w:val="nil"/>
                  </w:tcBorders>
                  <w:vAlign w:val="center"/>
                </w:tcPr>
                <w:p w14:paraId="410C7B9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台</w:t>
                  </w:r>
                </w:p>
              </w:tc>
              <w:tc>
                <w:tcPr>
                  <w:tcW w:w="720" w:type="dxa"/>
                  <w:tcBorders>
                    <w:tl2br w:val="nil"/>
                    <w:tr2bl w:val="nil"/>
                  </w:tcBorders>
                  <w:vAlign w:val="center"/>
                </w:tcPr>
                <w:p w14:paraId="364F13E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eastAsia" w:cs="Times New Roman" w:eastAsiaTheme="minorEastAsia"/>
                      <w:b w:val="0"/>
                      <w:bCs/>
                      <w:color w:val="auto"/>
                      <w:sz w:val="21"/>
                      <w:szCs w:val="21"/>
                      <w:lang w:val="en-US" w:eastAsia="zh-CN"/>
                    </w:rPr>
                    <w:t>2</w:t>
                  </w:r>
                </w:p>
              </w:tc>
              <w:tc>
                <w:tcPr>
                  <w:tcW w:w="2166" w:type="dxa"/>
                  <w:tcBorders>
                    <w:tl2br w:val="nil"/>
                    <w:tr2bl w:val="nil"/>
                  </w:tcBorders>
                  <w:vAlign w:val="center"/>
                </w:tcPr>
                <w:p w14:paraId="5AD3AF3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间歇式预发泡机自带输送系统、计量系统</w:t>
                  </w:r>
                </w:p>
              </w:tc>
            </w:tr>
            <w:tr w14:paraId="1E2733A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3D51E3D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2</w:t>
                  </w:r>
                </w:p>
              </w:tc>
              <w:tc>
                <w:tcPr>
                  <w:tcW w:w="2175" w:type="dxa"/>
                  <w:tcBorders>
                    <w:tl2br w:val="nil"/>
                    <w:tr2bl w:val="nil"/>
                  </w:tcBorders>
                  <w:vAlign w:val="center"/>
                </w:tcPr>
                <w:p w14:paraId="5351274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流化床</w:t>
                  </w:r>
                </w:p>
              </w:tc>
              <w:tc>
                <w:tcPr>
                  <w:tcW w:w="1422" w:type="dxa"/>
                  <w:tcBorders>
                    <w:tl2br w:val="nil"/>
                    <w:tr2bl w:val="nil"/>
                  </w:tcBorders>
                  <w:vAlign w:val="center"/>
                </w:tcPr>
                <w:p w14:paraId="0B0FA5E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自然风冷</w:t>
                  </w:r>
                </w:p>
              </w:tc>
              <w:tc>
                <w:tcPr>
                  <w:tcW w:w="700" w:type="dxa"/>
                  <w:tcBorders>
                    <w:tl2br w:val="nil"/>
                    <w:tr2bl w:val="nil"/>
                  </w:tcBorders>
                  <w:vAlign w:val="center"/>
                </w:tcPr>
                <w:p w14:paraId="1232FB9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台</w:t>
                  </w:r>
                </w:p>
              </w:tc>
              <w:tc>
                <w:tcPr>
                  <w:tcW w:w="720" w:type="dxa"/>
                  <w:tcBorders>
                    <w:tl2br w:val="nil"/>
                    <w:tr2bl w:val="nil"/>
                  </w:tcBorders>
                  <w:vAlign w:val="center"/>
                </w:tcPr>
                <w:p w14:paraId="19CDA73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eastAsia" w:cs="Times New Roman" w:eastAsiaTheme="minorEastAsia"/>
                      <w:b w:val="0"/>
                      <w:bCs/>
                      <w:color w:val="auto"/>
                      <w:sz w:val="21"/>
                      <w:szCs w:val="21"/>
                      <w:lang w:val="en-US" w:eastAsia="zh-CN"/>
                    </w:rPr>
                    <w:t>2</w:t>
                  </w:r>
                </w:p>
              </w:tc>
              <w:tc>
                <w:tcPr>
                  <w:tcW w:w="2166" w:type="dxa"/>
                  <w:vMerge w:val="restart"/>
                  <w:tcBorders>
                    <w:tl2br w:val="nil"/>
                    <w:tr2bl w:val="nil"/>
                  </w:tcBorders>
                  <w:vAlign w:val="center"/>
                </w:tcPr>
                <w:p w14:paraId="29E5759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每天运行8h，年运行300d，其中，</w:t>
                  </w:r>
                  <w:r>
                    <w:rPr>
                      <w:rFonts w:hint="default" w:ascii="Times New Roman" w:hAnsi="Times New Roman" w:cs="Times New Roman" w:eastAsiaTheme="minorEastAsia"/>
                      <w:b w:val="0"/>
                      <w:bCs/>
                      <w:color w:val="auto"/>
                      <w:sz w:val="21"/>
                      <w:szCs w:val="21"/>
                      <w:lang w:eastAsia="zh-CN"/>
                    </w:rPr>
                    <w:t>流化床</w:t>
                  </w:r>
                  <w:r>
                    <w:rPr>
                      <w:rFonts w:hint="eastAsia" w:cs="Times New Roman" w:eastAsiaTheme="minorEastAsia"/>
                      <w:b w:val="0"/>
                      <w:bCs/>
                      <w:color w:val="auto"/>
                      <w:sz w:val="21"/>
                      <w:szCs w:val="21"/>
                      <w:lang w:eastAsia="zh-CN"/>
                    </w:rPr>
                    <w:t>、</w:t>
                  </w:r>
                  <w:r>
                    <w:rPr>
                      <w:rFonts w:hint="default" w:ascii="Times New Roman" w:hAnsi="Times New Roman" w:cs="Times New Roman" w:eastAsiaTheme="minorEastAsia"/>
                      <w:b w:val="0"/>
                      <w:bCs/>
                      <w:color w:val="auto"/>
                      <w:sz w:val="21"/>
                      <w:szCs w:val="21"/>
                      <w:lang w:eastAsia="zh-CN"/>
                    </w:rPr>
                    <w:t>熟化仓</w:t>
                  </w:r>
                  <w:r>
                    <w:rPr>
                      <w:rFonts w:hint="eastAsia" w:cs="Times New Roman" w:eastAsiaTheme="minorEastAsia"/>
                      <w:b w:val="0"/>
                      <w:bCs/>
                      <w:color w:val="auto"/>
                      <w:sz w:val="21"/>
                      <w:szCs w:val="21"/>
                      <w:lang w:val="en-US" w:eastAsia="zh-CN"/>
                    </w:rPr>
                    <w:t>和料仓仅用于发泡后的塑料颗粒暂存，不添加任何物料，也不产生污染物</w:t>
                  </w:r>
                </w:p>
              </w:tc>
            </w:tr>
            <w:tr w14:paraId="35DB1AD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1C1E450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3</w:t>
                  </w:r>
                </w:p>
              </w:tc>
              <w:tc>
                <w:tcPr>
                  <w:tcW w:w="2175" w:type="dxa"/>
                  <w:tcBorders>
                    <w:tl2br w:val="nil"/>
                    <w:tr2bl w:val="nil"/>
                  </w:tcBorders>
                  <w:vAlign w:val="center"/>
                </w:tcPr>
                <w:p w14:paraId="510A461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熟化仓</w:t>
                  </w:r>
                </w:p>
              </w:tc>
              <w:tc>
                <w:tcPr>
                  <w:tcW w:w="1422" w:type="dxa"/>
                  <w:tcBorders>
                    <w:tl2br w:val="nil"/>
                    <w:tr2bl w:val="nil"/>
                  </w:tcBorders>
                  <w:vAlign w:val="center"/>
                </w:tcPr>
                <w:p w14:paraId="54225AD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容积3m</w:t>
                  </w:r>
                  <w:r>
                    <w:rPr>
                      <w:rFonts w:hint="default" w:ascii="Times New Roman" w:hAnsi="Times New Roman" w:cs="Times New Roman" w:eastAsiaTheme="minorEastAsia"/>
                      <w:b w:val="0"/>
                      <w:bCs/>
                      <w:color w:val="auto"/>
                      <w:sz w:val="21"/>
                      <w:szCs w:val="21"/>
                      <w:vertAlign w:val="superscript"/>
                      <w:lang w:eastAsia="zh-CN"/>
                    </w:rPr>
                    <w:t>3</w:t>
                  </w:r>
                </w:p>
              </w:tc>
              <w:tc>
                <w:tcPr>
                  <w:tcW w:w="700" w:type="dxa"/>
                  <w:tcBorders>
                    <w:tl2br w:val="nil"/>
                    <w:tr2bl w:val="nil"/>
                  </w:tcBorders>
                  <w:vAlign w:val="center"/>
                </w:tcPr>
                <w:p w14:paraId="4A43B02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个</w:t>
                  </w:r>
                </w:p>
              </w:tc>
              <w:tc>
                <w:tcPr>
                  <w:tcW w:w="720" w:type="dxa"/>
                  <w:tcBorders>
                    <w:tl2br w:val="nil"/>
                    <w:tr2bl w:val="nil"/>
                  </w:tcBorders>
                  <w:vAlign w:val="center"/>
                </w:tcPr>
                <w:p w14:paraId="643D45A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4</w:t>
                  </w:r>
                </w:p>
              </w:tc>
              <w:tc>
                <w:tcPr>
                  <w:tcW w:w="2166" w:type="dxa"/>
                  <w:vMerge w:val="continue"/>
                  <w:tcBorders>
                    <w:tl2br w:val="nil"/>
                    <w:tr2bl w:val="nil"/>
                  </w:tcBorders>
                  <w:vAlign w:val="center"/>
                </w:tcPr>
                <w:p w14:paraId="2942578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p>
              </w:tc>
            </w:tr>
            <w:tr w14:paraId="52A41FC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2BD7E8F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4</w:t>
                  </w:r>
                </w:p>
              </w:tc>
              <w:tc>
                <w:tcPr>
                  <w:tcW w:w="2175" w:type="dxa"/>
                  <w:tcBorders>
                    <w:tl2br w:val="nil"/>
                    <w:tr2bl w:val="nil"/>
                  </w:tcBorders>
                  <w:vAlign w:val="center"/>
                </w:tcPr>
                <w:p w14:paraId="37BBDC7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料仓</w:t>
                  </w:r>
                </w:p>
              </w:tc>
              <w:tc>
                <w:tcPr>
                  <w:tcW w:w="1422" w:type="dxa"/>
                  <w:tcBorders>
                    <w:tl2br w:val="nil"/>
                    <w:tr2bl w:val="nil"/>
                  </w:tcBorders>
                  <w:vAlign w:val="center"/>
                </w:tcPr>
                <w:p w14:paraId="2BADB9F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容积3m</w:t>
                  </w:r>
                  <w:r>
                    <w:rPr>
                      <w:rFonts w:hint="default" w:ascii="Times New Roman" w:hAnsi="Times New Roman" w:cs="Times New Roman" w:eastAsiaTheme="minorEastAsia"/>
                      <w:b w:val="0"/>
                      <w:bCs/>
                      <w:color w:val="auto"/>
                      <w:sz w:val="21"/>
                      <w:szCs w:val="21"/>
                      <w:vertAlign w:val="superscript"/>
                      <w:lang w:eastAsia="zh-CN"/>
                    </w:rPr>
                    <w:t>3</w:t>
                  </w:r>
                </w:p>
              </w:tc>
              <w:tc>
                <w:tcPr>
                  <w:tcW w:w="700" w:type="dxa"/>
                  <w:tcBorders>
                    <w:tl2br w:val="nil"/>
                    <w:tr2bl w:val="nil"/>
                  </w:tcBorders>
                  <w:vAlign w:val="center"/>
                </w:tcPr>
                <w:p w14:paraId="38A3F55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个</w:t>
                  </w:r>
                </w:p>
              </w:tc>
              <w:tc>
                <w:tcPr>
                  <w:tcW w:w="720" w:type="dxa"/>
                  <w:tcBorders>
                    <w:tl2br w:val="nil"/>
                    <w:tr2bl w:val="nil"/>
                  </w:tcBorders>
                  <w:vAlign w:val="center"/>
                </w:tcPr>
                <w:p w14:paraId="45F65EC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25</w:t>
                  </w:r>
                </w:p>
              </w:tc>
              <w:tc>
                <w:tcPr>
                  <w:tcW w:w="2166" w:type="dxa"/>
                  <w:vMerge w:val="continue"/>
                  <w:tcBorders>
                    <w:tl2br w:val="nil"/>
                    <w:tr2bl w:val="nil"/>
                  </w:tcBorders>
                  <w:vAlign w:val="center"/>
                </w:tcPr>
                <w:p w14:paraId="4C62343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p>
              </w:tc>
            </w:tr>
            <w:tr w14:paraId="6C2575A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6758E6C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5</w:t>
                  </w:r>
                </w:p>
              </w:tc>
              <w:tc>
                <w:tcPr>
                  <w:tcW w:w="2175" w:type="dxa"/>
                  <w:tcBorders>
                    <w:tl2br w:val="nil"/>
                    <w:tr2bl w:val="nil"/>
                  </w:tcBorders>
                  <w:vAlign w:val="center"/>
                </w:tcPr>
                <w:p w14:paraId="368932D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eastAsia" w:cs="Times New Roman" w:eastAsiaTheme="minorEastAsia"/>
                      <w:b w:val="0"/>
                      <w:bCs/>
                      <w:color w:val="auto"/>
                      <w:sz w:val="21"/>
                      <w:szCs w:val="21"/>
                      <w:lang w:eastAsia="zh-CN"/>
                    </w:rPr>
                    <w:t>生物质蒸汽发生器</w:t>
                  </w:r>
                </w:p>
              </w:tc>
              <w:tc>
                <w:tcPr>
                  <w:tcW w:w="1422" w:type="dxa"/>
                  <w:tcBorders>
                    <w:tl2br w:val="nil"/>
                    <w:tr2bl w:val="nil"/>
                  </w:tcBorders>
                  <w:vAlign w:val="center"/>
                </w:tcPr>
                <w:p w14:paraId="3037E19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val="en-US" w:eastAsia="zh-CN"/>
                    </w:rPr>
                    <w:t>3</w:t>
                  </w:r>
                  <w:r>
                    <w:rPr>
                      <w:rFonts w:hint="default" w:ascii="Times New Roman" w:hAnsi="Times New Roman" w:cs="Times New Roman" w:eastAsiaTheme="minorEastAsia"/>
                      <w:b w:val="0"/>
                      <w:bCs/>
                      <w:color w:val="auto"/>
                      <w:sz w:val="21"/>
                      <w:szCs w:val="21"/>
                      <w:lang w:eastAsia="zh-CN"/>
                    </w:rPr>
                    <w:t>t/h</w:t>
                  </w:r>
                </w:p>
              </w:tc>
              <w:tc>
                <w:tcPr>
                  <w:tcW w:w="700" w:type="dxa"/>
                  <w:tcBorders>
                    <w:tl2br w:val="nil"/>
                    <w:tr2bl w:val="nil"/>
                  </w:tcBorders>
                  <w:vAlign w:val="center"/>
                </w:tcPr>
                <w:p w14:paraId="0AF1419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套</w:t>
                  </w:r>
                </w:p>
              </w:tc>
              <w:tc>
                <w:tcPr>
                  <w:tcW w:w="720" w:type="dxa"/>
                  <w:tcBorders>
                    <w:tl2br w:val="nil"/>
                    <w:tr2bl w:val="nil"/>
                  </w:tcBorders>
                  <w:vAlign w:val="center"/>
                </w:tcPr>
                <w:p w14:paraId="3CDF49E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val="en-US" w:eastAsia="zh-CN"/>
                    </w:rPr>
                    <w:t>1</w:t>
                  </w:r>
                </w:p>
              </w:tc>
              <w:tc>
                <w:tcPr>
                  <w:tcW w:w="2166" w:type="dxa"/>
                  <w:vMerge w:val="continue"/>
                  <w:tcBorders>
                    <w:tl2br w:val="nil"/>
                    <w:tr2bl w:val="nil"/>
                  </w:tcBorders>
                  <w:vAlign w:val="center"/>
                </w:tcPr>
                <w:p w14:paraId="2FC932D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p>
              </w:tc>
            </w:tr>
            <w:tr w14:paraId="7B13C26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1C120B8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6</w:t>
                  </w:r>
                </w:p>
              </w:tc>
              <w:tc>
                <w:tcPr>
                  <w:tcW w:w="2175" w:type="dxa"/>
                  <w:tcBorders>
                    <w:tl2br w:val="nil"/>
                    <w:tr2bl w:val="nil"/>
                  </w:tcBorders>
                  <w:vAlign w:val="center"/>
                </w:tcPr>
                <w:p w14:paraId="1EDB19B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蒸汽储罐</w:t>
                  </w:r>
                </w:p>
              </w:tc>
              <w:tc>
                <w:tcPr>
                  <w:tcW w:w="1422" w:type="dxa"/>
                  <w:tcBorders>
                    <w:tl2br w:val="nil"/>
                    <w:tr2bl w:val="nil"/>
                  </w:tcBorders>
                  <w:vAlign w:val="center"/>
                </w:tcPr>
                <w:p w14:paraId="443BB31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容积</w:t>
                  </w:r>
                  <w:r>
                    <w:rPr>
                      <w:rFonts w:hint="eastAsia" w:cs="Times New Roman" w:eastAsiaTheme="minorEastAsia"/>
                      <w:b w:val="0"/>
                      <w:bCs/>
                      <w:color w:val="auto"/>
                      <w:sz w:val="21"/>
                      <w:szCs w:val="21"/>
                      <w:lang w:val="en-US" w:eastAsia="zh-CN"/>
                    </w:rPr>
                    <w:t>2</w:t>
                  </w:r>
                  <w:r>
                    <w:rPr>
                      <w:rFonts w:hint="default" w:ascii="Times New Roman" w:hAnsi="Times New Roman" w:cs="Times New Roman" w:eastAsiaTheme="minorEastAsia"/>
                      <w:b w:val="0"/>
                      <w:bCs/>
                      <w:color w:val="auto"/>
                      <w:sz w:val="21"/>
                      <w:szCs w:val="21"/>
                      <w:lang w:eastAsia="zh-CN"/>
                    </w:rPr>
                    <w:t>m</w:t>
                  </w:r>
                  <w:r>
                    <w:rPr>
                      <w:rFonts w:hint="default" w:ascii="Times New Roman" w:hAnsi="Times New Roman" w:cs="Times New Roman" w:eastAsiaTheme="minorEastAsia"/>
                      <w:b w:val="0"/>
                      <w:bCs/>
                      <w:color w:val="auto"/>
                      <w:sz w:val="21"/>
                      <w:szCs w:val="21"/>
                      <w:vertAlign w:val="superscript"/>
                      <w:lang w:eastAsia="zh-CN"/>
                    </w:rPr>
                    <w:t>3</w:t>
                  </w:r>
                </w:p>
              </w:tc>
              <w:tc>
                <w:tcPr>
                  <w:tcW w:w="700" w:type="dxa"/>
                  <w:tcBorders>
                    <w:tl2br w:val="nil"/>
                    <w:tr2bl w:val="nil"/>
                  </w:tcBorders>
                  <w:vAlign w:val="center"/>
                </w:tcPr>
                <w:p w14:paraId="0B9747D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个</w:t>
                  </w:r>
                </w:p>
              </w:tc>
              <w:tc>
                <w:tcPr>
                  <w:tcW w:w="720" w:type="dxa"/>
                  <w:tcBorders>
                    <w:tl2br w:val="nil"/>
                    <w:tr2bl w:val="nil"/>
                  </w:tcBorders>
                  <w:vAlign w:val="center"/>
                </w:tcPr>
                <w:p w14:paraId="3BEF15A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1</w:t>
                  </w:r>
                </w:p>
              </w:tc>
              <w:tc>
                <w:tcPr>
                  <w:tcW w:w="2166" w:type="dxa"/>
                  <w:vMerge w:val="continue"/>
                  <w:tcBorders>
                    <w:tl2br w:val="nil"/>
                    <w:tr2bl w:val="nil"/>
                  </w:tcBorders>
                  <w:vAlign w:val="center"/>
                </w:tcPr>
                <w:p w14:paraId="25B249F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p>
              </w:tc>
            </w:tr>
            <w:tr w14:paraId="3F42CF8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16EDE5C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7</w:t>
                  </w:r>
                </w:p>
              </w:tc>
              <w:tc>
                <w:tcPr>
                  <w:tcW w:w="2175" w:type="dxa"/>
                  <w:tcBorders>
                    <w:tl2br w:val="nil"/>
                    <w:tr2bl w:val="nil"/>
                  </w:tcBorders>
                  <w:vAlign w:val="center"/>
                </w:tcPr>
                <w:p w14:paraId="1D7A979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空气压缩机</w:t>
                  </w:r>
                </w:p>
              </w:tc>
              <w:tc>
                <w:tcPr>
                  <w:tcW w:w="1422" w:type="dxa"/>
                  <w:tcBorders>
                    <w:tl2br w:val="nil"/>
                    <w:tr2bl w:val="nil"/>
                  </w:tcBorders>
                  <w:vAlign w:val="center"/>
                </w:tcPr>
                <w:p w14:paraId="65EAD93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37kW</w:t>
                  </w:r>
                </w:p>
              </w:tc>
              <w:tc>
                <w:tcPr>
                  <w:tcW w:w="700" w:type="dxa"/>
                  <w:tcBorders>
                    <w:tl2br w:val="nil"/>
                    <w:tr2bl w:val="nil"/>
                  </w:tcBorders>
                  <w:vAlign w:val="center"/>
                </w:tcPr>
                <w:p w14:paraId="41831ED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套</w:t>
                  </w:r>
                </w:p>
              </w:tc>
              <w:tc>
                <w:tcPr>
                  <w:tcW w:w="720" w:type="dxa"/>
                  <w:tcBorders>
                    <w:tl2br w:val="nil"/>
                    <w:tr2bl w:val="nil"/>
                  </w:tcBorders>
                  <w:vAlign w:val="center"/>
                </w:tcPr>
                <w:p w14:paraId="6B07797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1</w:t>
                  </w:r>
                </w:p>
              </w:tc>
              <w:tc>
                <w:tcPr>
                  <w:tcW w:w="2166" w:type="dxa"/>
                  <w:vMerge w:val="continue"/>
                  <w:tcBorders>
                    <w:tl2br w:val="nil"/>
                    <w:tr2bl w:val="nil"/>
                  </w:tcBorders>
                  <w:vAlign w:val="center"/>
                </w:tcPr>
                <w:p w14:paraId="7DCE1EC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p>
              </w:tc>
            </w:tr>
            <w:tr w14:paraId="07E66FC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6FC8E51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8</w:t>
                  </w:r>
                </w:p>
              </w:tc>
              <w:tc>
                <w:tcPr>
                  <w:tcW w:w="2175" w:type="dxa"/>
                  <w:tcBorders>
                    <w:tl2br w:val="nil"/>
                    <w:tr2bl w:val="nil"/>
                  </w:tcBorders>
                  <w:vAlign w:val="center"/>
                </w:tcPr>
                <w:p w14:paraId="433EF1B6">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风机</w:t>
                  </w:r>
                </w:p>
              </w:tc>
              <w:tc>
                <w:tcPr>
                  <w:tcW w:w="1422" w:type="dxa"/>
                  <w:tcBorders>
                    <w:tl2br w:val="nil"/>
                    <w:tr2bl w:val="nil"/>
                  </w:tcBorders>
                  <w:vAlign w:val="center"/>
                </w:tcPr>
                <w:p w14:paraId="28A5E6C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w:t>
                  </w:r>
                </w:p>
              </w:tc>
              <w:tc>
                <w:tcPr>
                  <w:tcW w:w="700" w:type="dxa"/>
                  <w:tcBorders>
                    <w:tl2br w:val="nil"/>
                    <w:tr2bl w:val="nil"/>
                  </w:tcBorders>
                  <w:vAlign w:val="center"/>
                </w:tcPr>
                <w:p w14:paraId="53644B96">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台</w:t>
                  </w:r>
                </w:p>
              </w:tc>
              <w:tc>
                <w:tcPr>
                  <w:tcW w:w="720" w:type="dxa"/>
                  <w:tcBorders>
                    <w:tl2br w:val="nil"/>
                    <w:tr2bl w:val="nil"/>
                  </w:tcBorders>
                  <w:vAlign w:val="center"/>
                </w:tcPr>
                <w:p w14:paraId="75B2577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2</w:t>
                  </w:r>
                </w:p>
              </w:tc>
              <w:tc>
                <w:tcPr>
                  <w:tcW w:w="2166" w:type="dxa"/>
                  <w:vMerge w:val="continue"/>
                  <w:tcBorders>
                    <w:tl2br w:val="nil"/>
                    <w:tr2bl w:val="nil"/>
                  </w:tcBorders>
                  <w:vAlign w:val="center"/>
                </w:tcPr>
                <w:p w14:paraId="152D310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p>
              </w:tc>
            </w:tr>
            <w:tr w14:paraId="793B93C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3D78872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9</w:t>
                  </w:r>
                </w:p>
              </w:tc>
              <w:tc>
                <w:tcPr>
                  <w:tcW w:w="2175" w:type="dxa"/>
                  <w:tcBorders>
                    <w:tl2br w:val="nil"/>
                    <w:tr2bl w:val="nil"/>
                  </w:tcBorders>
                  <w:vAlign w:val="center"/>
                </w:tcPr>
                <w:p w14:paraId="6568728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水泵</w:t>
                  </w:r>
                </w:p>
              </w:tc>
              <w:tc>
                <w:tcPr>
                  <w:tcW w:w="1422" w:type="dxa"/>
                  <w:tcBorders>
                    <w:tl2br w:val="nil"/>
                    <w:tr2bl w:val="nil"/>
                  </w:tcBorders>
                  <w:vAlign w:val="center"/>
                </w:tcPr>
                <w:p w14:paraId="3D88FB6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w:t>
                  </w:r>
                </w:p>
              </w:tc>
              <w:tc>
                <w:tcPr>
                  <w:tcW w:w="700" w:type="dxa"/>
                  <w:tcBorders>
                    <w:tl2br w:val="nil"/>
                    <w:tr2bl w:val="nil"/>
                  </w:tcBorders>
                  <w:vAlign w:val="center"/>
                </w:tcPr>
                <w:p w14:paraId="1043C3B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default" w:ascii="Times New Roman" w:hAnsi="Times New Roman" w:cs="Times New Roman" w:eastAsiaTheme="minorEastAsia"/>
                      <w:b w:val="0"/>
                      <w:bCs/>
                      <w:color w:val="auto"/>
                      <w:sz w:val="21"/>
                      <w:szCs w:val="21"/>
                      <w:lang w:eastAsia="zh-CN"/>
                    </w:rPr>
                    <w:t>台</w:t>
                  </w:r>
                </w:p>
              </w:tc>
              <w:tc>
                <w:tcPr>
                  <w:tcW w:w="720" w:type="dxa"/>
                  <w:tcBorders>
                    <w:tl2br w:val="nil"/>
                    <w:tr2bl w:val="nil"/>
                  </w:tcBorders>
                  <w:vAlign w:val="center"/>
                </w:tcPr>
                <w:p w14:paraId="045F658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r>
                    <w:rPr>
                      <w:rFonts w:hint="eastAsia" w:cs="Times New Roman" w:eastAsiaTheme="minorEastAsia"/>
                      <w:b w:val="0"/>
                      <w:bCs/>
                      <w:color w:val="auto"/>
                      <w:sz w:val="21"/>
                      <w:szCs w:val="21"/>
                      <w:lang w:val="en-US" w:eastAsia="zh-CN"/>
                    </w:rPr>
                    <w:t>2</w:t>
                  </w:r>
                </w:p>
              </w:tc>
              <w:tc>
                <w:tcPr>
                  <w:tcW w:w="2166" w:type="dxa"/>
                  <w:vMerge w:val="continue"/>
                  <w:tcBorders>
                    <w:tl2br w:val="nil"/>
                    <w:tr2bl w:val="nil"/>
                  </w:tcBorders>
                  <w:vAlign w:val="center"/>
                </w:tcPr>
                <w:p w14:paraId="3B27E2D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eastAsia="zh-CN"/>
                    </w:rPr>
                  </w:pPr>
                </w:p>
              </w:tc>
            </w:tr>
            <w:tr w14:paraId="4D585D7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752291A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10</w:t>
                  </w:r>
                </w:p>
              </w:tc>
              <w:tc>
                <w:tcPr>
                  <w:tcW w:w="2175" w:type="dxa"/>
                  <w:tcBorders>
                    <w:tl2br w:val="nil"/>
                    <w:tr2bl w:val="nil"/>
                  </w:tcBorders>
                  <w:vAlign w:val="center"/>
                </w:tcPr>
                <w:p w14:paraId="3434711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两级</w:t>
                  </w:r>
                  <w:r>
                    <w:rPr>
                      <w:rFonts w:hint="default" w:ascii="Times New Roman" w:hAnsi="Times New Roman" w:cs="Times New Roman" w:eastAsiaTheme="minorEastAsia"/>
                      <w:b w:val="0"/>
                      <w:bCs/>
                      <w:color w:val="auto"/>
                      <w:sz w:val="21"/>
                      <w:szCs w:val="21"/>
                      <w:lang w:eastAsia="zh-CN"/>
                    </w:rPr>
                    <w:t>活性炭吸附装置</w:t>
                  </w:r>
                </w:p>
              </w:tc>
              <w:tc>
                <w:tcPr>
                  <w:tcW w:w="1422" w:type="dxa"/>
                  <w:tcBorders>
                    <w:tl2br w:val="nil"/>
                    <w:tr2bl w:val="nil"/>
                  </w:tcBorders>
                  <w:vAlign w:val="center"/>
                </w:tcPr>
                <w:p w14:paraId="1080C26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w:t>
                  </w:r>
                </w:p>
              </w:tc>
              <w:tc>
                <w:tcPr>
                  <w:tcW w:w="700" w:type="dxa"/>
                  <w:tcBorders>
                    <w:tl2br w:val="nil"/>
                    <w:tr2bl w:val="nil"/>
                  </w:tcBorders>
                  <w:vAlign w:val="center"/>
                </w:tcPr>
                <w:p w14:paraId="5A8CA32B">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套</w:t>
                  </w:r>
                </w:p>
              </w:tc>
              <w:tc>
                <w:tcPr>
                  <w:tcW w:w="720" w:type="dxa"/>
                  <w:tcBorders>
                    <w:tl2br w:val="nil"/>
                    <w:tr2bl w:val="nil"/>
                  </w:tcBorders>
                  <w:vAlign w:val="center"/>
                </w:tcPr>
                <w:p w14:paraId="13F4719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1</w:t>
                  </w:r>
                </w:p>
              </w:tc>
              <w:tc>
                <w:tcPr>
                  <w:tcW w:w="2166" w:type="dxa"/>
                  <w:vMerge w:val="continue"/>
                  <w:tcBorders>
                    <w:tl2br w:val="nil"/>
                    <w:tr2bl w:val="nil"/>
                  </w:tcBorders>
                  <w:vAlign w:val="center"/>
                </w:tcPr>
                <w:p w14:paraId="68AB7B7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p>
              </w:tc>
            </w:tr>
            <w:tr w14:paraId="574D906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675" w:type="dxa"/>
                  <w:tcBorders>
                    <w:tl2br w:val="nil"/>
                    <w:tr2bl w:val="nil"/>
                  </w:tcBorders>
                  <w:vAlign w:val="center"/>
                </w:tcPr>
                <w:p w14:paraId="603F95F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11</w:t>
                  </w:r>
                </w:p>
              </w:tc>
              <w:tc>
                <w:tcPr>
                  <w:tcW w:w="2175" w:type="dxa"/>
                  <w:tcBorders>
                    <w:tl2br w:val="nil"/>
                    <w:tr2bl w:val="nil"/>
                  </w:tcBorders>
                  <w:vAlign w:val="center"/>
                </w:tcPr>
                <w:p w14:paraId="0F3A8F06">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旋风除尘+布袋除尘</w:t>
                  </w:r>
                </w:p>
              </w:tc>
              <w:tc>
                <w:tcPr>
                  <w:tcW w:w="1422" w:type="dxa"/>
                  <w:tcBorders>
                    <w:tl2br w:val="nil"/>
                    <w:tr2bl w:val="nil"/>
                  </w:tcBorders>
                  <w:vAlign w:val="center"/>
                </w:tcPr>
                <w:p w14:paraId="26C546B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w:t>
                  </w:r>
                </w:p>
              </w:tc>
              <w:tc>
                <w:tcPr>
                  <w:tcW w:w="700" w:type="dxa"/>
                  <w:tcBorders>
                    <w:tl2br w:val="nil"/>
                    <w:tr2bl w:val="nil"/>
                  </w:tcBorders>
                  <w:vAlign w:val="center"/>
                </w:tcPr>
                <w:p w14:paraId="55A2644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套</w:t>
                  </w:r>
                </w:p>
              </w:tc>
              <w:tc>
                <w:tcPr>
                  <w:tcW w:w="720" w:type="dxa"/>
                  <w:tcBorders>
                    <w:tl2br w:val="nil"/>
                    <w:tr2bl w:val="nil"/>
                  </w:tcBorders>
                  <w:vAlign w:val="center"/>
                </w:tcPr>
                <w:p w14:paraId="1C4F612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1</w:t>
                  </w:r>
                </w:p>
              </w:tc>
              <w:tc>
                <w:tcPr>
                  <w:tcW w:w="2166" w:type="dxa"/>
                  <w:tcBorders>
                    <w:tl2br w:val="nil"/>
                    <w:tr2bl w:val="nil"/>
                  </w:tcBorders>
                  <w:vAlign w:val="center"/>
                </w:tcPr>
                <w:p w14:paraId="4106741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w:t>
                  </w:r>
                </w:p>
              </w:tc>
            </w:tr>
            <w:tr w14:paraId="4B7A5332">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75" w:type="dxa"/>
                  <w:tcBorders>
                    <w:tl2br w:val="nil"/>
                    <w:tr2bl w:val="nil"/>
                  </w:tcBorders>
                  <w:vAlign w:val="center"/>
                </w:tcPr>
                <w:p w14:paraId="71605120">
                  <w:pPr>
                    <w:pStyle w:val="56"/>
                    <w:keepNext w:val="0"/>
                    <w:keepLines w:val="0"/>
                    <w:pageBreakBefore w:val="0"/>
                    <w:widowControl w:val="0"/>
                    <w:kinsoku/>
                    <w:wordWrap/>
                    <w:overflowPunct/>
                    <w:topLinePunct w:val="0"/>
                    <w:autoSpaceDE/>
                    <w:autoSpaceDN/>
                    <w:bidi w:val="0"/>
                    <w:adjustRightInd/>
                    <w:snapToGrid/>
                    <w:textAlignment w:val="auto"/>
                    <w:rPr>
                      <w:rFonts w:hint="default"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12</w:t>
                  </w:r>
                </w:p>
              </w:tc>
              <w:tc>
                <w:tcPr>
                  <w:tcW w:w="2175" w:type="dxa"/>
                  <w:tcBorders>
                    <w:tl2br w:val="nil"/>
                    <w:tr2bl w:val="nil"/>
                  </w:tcBorders>
                  <w:vAlign w:val="center"/>
                </w:tcPr>
                <w:p w14:paraId="7398AAE6">
                  <w:pPr>
                    <w:pStyle w:val="56"/>
                    <w:keepNext w:val="0"/>
                    <w:keepLines w:val="0"/>
                    <w:pageBreakBefore w:val="0"/>
                    <w:widowControl w:val="0"/>
                    <w:kinsoku/>
                    <w:wordWrap/>
                    <w:overflowPunct/>
                    <w:topLinePunct w:val="0"/>
                    <w:autoSpaceDE/>
                    <w:autoSpaceDN/>
                    <w:bidi w:val="0"/>
                    <w:adjustRightInd/>
                    <w:snapToGrid/>
                    <w:textAlignment w:val="auto"/>
                    <w:rPr>
                      <w:rFonts w:hint="default"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2m</w:t>
                  </w:r>
                  <w:r>
                    <w:rPr>
                      <w:rFonts w:hint="eastAsia" w:cs="Times New Roman" w:eastAsiaTheme="minorEastAsia"/>
                      <w:b w:val="0"/>
                      <w:bCs/>
                      <w:color w:val="auto"/>
                      <w:sz w:val="21"/>
                      <w:szCs w:val="21"/>
                      <w:vertAlign w:val="superscript"/>
                      <w:lang w:val="en-US" w:eastAsia="zh-CN"/>
                    </w:rPr>
                    <w:t>3</w:t>
                  </w:r>
                  <w:r>
                    <w:rPr>
                      <w:rFonts w:hint="eastAsia" w:cs="Times New Roman" w:eastAsiaTheme="minorEastAsia"/>
                      <w:b w:val="0"/>
                      <w:bCs/>
                      <w:color w:val="auto"/>
                      <w:sz w:val="21"/>
                      <w:szCs w:val="21"/>
                      <w:lang w:val="en-US" w:eastAsia="zh-CN"/>
                    </w:rPr>
                    <w:t>/d的一体化污水处理设施</w:t>
                  </w:r>
                </w:p>
              </w:tc>
              <w:tc>
                <w:tcPr>
                  <w:tcW w:w="1422" w:type="dxa"/>
                  <w:tcBorders>
                    <w:tl2br w:val="nil"/>
                    <w:tr2bl w:val="nil"/>
                  </w:tcBorders>
                  <w:vAlign w:val="center"/>
                </w:tcPr>
                <w:p w14:paraId="4BF71A3B">
                  <w:pPr>
                    <w:pStyle w:val="56"/>
                    <w:keepNext w:val="0"/>
                    <w:keepLines w:val="0"/>
                    <w:pageBreakBefore w:val="0"/>
                    <w:widowControl w:val="0"/>
                    <w:kinsoku/>
                    <w:wordWrap/>
                    <w:overflowPunct/>
                    <w:topLinePunct w:val="0"/>
                    <w:autoSpaceDE/>
                    <w:autoSpaceDN/>
                    <w:bidi w:val="0"/>
                    <w:adjustRightInd/>
                    <w:snapToGrid/>
                    <w:textAlignment w:val="auto"/>
                    <w:rPr>
                      <w:rFonts w:hint="default"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w:t>
                  </w:r>
                </w:p>
              </w:tc>
              <w:tc>
                <w:tcPr>
                  <w:tcW w:w="700" w:type="dxa"/>
                  <w:tcBorders>
                    <w:tl2br w:val="nil"/>
                    <w:tr2bl w:val="nil"/>
                  </w:tcBorders>
                  <w:shd w:val="clear" w:color="auto" w:fill="auto"/>
                  <w:vAlign w:val="center"/>
                </w:tcPr>
                <w:p w14:paraId="6CDF4112">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套</w:t>
                  </w:r>
                </w:p>
              </w:tc>
              <w:tc>
                <w:tcPr>
                  <w:tcW w:w="720" w:type="dxa"/>
                  <w:tcBorders>
                    <w:tl2br w:val="nil"/>
                    <w:tr2bl w:val="nil"/>
                  </w:tcBorders>
                  <w:shd w:val="clear" w:color="auto" w:fill="auto"/>
                  <w:vAlign w:val="center"/>
                </w:tcPr>
                <w:p w14:paraId="65E959F8">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1</w:t>
                  </w:r>
                </w:p>
              </w:tc>
              <w:tc>
                <w:tcPr>
                  <w:tcW w:w="2166" w:type="dxa"/>
                  <w:tcBorders>
                    <w:tl2br w:val="nil"/>
                    <w:tr2bl w:val="nil"/>
                  </w:tcBorders>
                  <w:vAlign w:val="center"/>
                </w:tcPr>
                <w:p w14:paraId="4BBED929">
                  <w:pPr>
                    <w:pStyle w:val="56"/>
                    <w:keepNext w:val="0"/>
                    <w:keepLines w:val="0"/>
                    <w:pageBreakBefore w:val="0"/>
                    <w:widowControl w:val="0"/>
                    <w:kinsoku/>
                    <w:wordWrap/>
                    <w:overflowPunct/>
                    <w:topLinePunct w:val="0"/>
                    <w:autoSpaceDE/>
                    <w:autoSpaceDN/>
                    <w:bidi w:val="0"/>
                    <w:adjustRightInd/>
                    <w:snapToGrid/>
                    <w:textAlignment w:val="auto"/>
                    <w:rPr>
                      <w:rFonts w:hint="default"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处理生活污水</w:t>
                  </w:r>
                </w:p>
              </w:tc>
            </w:tr>
          </w:tbl>
          <w:p w14:paraId="2E4624D9">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eastAsia" w:cs="Times New Roman"/>
                <w:b/>
                <w:bCs/>
                <w:color w:val="auto"/>
                <w:lang w:val="en-US" w:eastAsia="zh-CN"/>
              </w:rPr>
              <w:t>6</w:t>
            </w:r>
            <w:r>
              <w:rPr>
                <w:rFonts w:hint="default" w:ascii="Times New Roman" w:hAnsi="Times New Roman" w:cs="Times New Roman"/>
                <w:b/>
                <w:bCs/>
                <w:color w:val="auto"/>
                <w:lang w:val="en-US" w:eastAsia="zh-CN"/>
              </w:rPr>
              <w:t>、</w:t>
            </w:r>
            <w:r>
              <w:rPr>
                <w:rFonts w:hint="default" w:ascii="Times New Roman" w:hAnsi="Times New Roman" w:cs="Times New Roman"/>
                <w:b/>
                <w:bCs/>
                <w:color w:val="auto"/>
              </w:rPr>
              <w:t>主要原辅材料及用量</w:t>
            </w:r>
            <w:bookmarkEnd w:id="18"/>
          </w:p>
          <w:p w14:paraId="3AB325E8">
            <w:pPr>
              <w:ind w:firstLine="480"/>
              <w:rPr>
                <w:rFonts w:hint="eastAsia" w:ascii="Times New Roman" w:hAnsi="Times New Roman" w:eastAsia="宋体" w:cs="Times New Roman"/>
                <w:b/>
                <w:bCs/>
                <w:color w:val="auto"/>
                <w:lang w:eastAsia="zh-CN"/>
              </w:rPr>
            </w:pPr>
            <w:r>
              <w:rPr>
                <w:rFonts w:hint="eastAsia" w:cs="Times New Roman"/>
                <w:b/>
                <w:bCs/>
                <w:color w:val="auto"/>
                <w:lang w:eastAsia="zh-CN"/>
              </w:rPr>
              <w:t>（</w:t>
            </w:r>
            <w:r>
              <w:rPr>
                <w:rFonts w:hint="eastAsia" w:cs="Times New Roman"/>
                <w:b/>
                <w:bCs/>
                <w:color w:val="auto"/>
                <w:lang w:val="en-US" w:eastAsia="zh-CN"/>
              </w:rPr>
              <w:t>1</w:t>
            </w:r>
            <w:r>
              <w:rPr>
                <w:rFonts w:hint="eastAsia" w:cs="Times New Roman"/>
                <w:b/>
                <w:bCs/>
                <w:color w:val="auto"/>
                <w:lang w:eastAsia="zh-CN"/>
              </w:rPr>
              <w:t>）原辅材料</w:t>
            </w:r>
          </w:p>
          <w:p w14:paraId="1CAEDA92">
            <w:pPr>
              <w:ind w:firstLine="480"/>
              <w:rPr>
                <w:rFonts w:hint="default" w:ascii="Times New Roman" w:hAnsi="Times New Roman" w:cs="Times New Roman"/>
                <w:color w:val="auto"/>
              </w:rPr>
            </w:pPr>
            <w:r>
              <w:rPr>
                <w:rFonts w:hint="eastAsia"/>
                <w:color w:val="auto"/>
                <w:sz w:val="24"/>
              </w:rPr>
              <w:t>泡沫颗粒</w:t>
            </w:r>
            <w:r>
              <w:rPr>
                <w:color w:val="auto"/>
                <w:sz w:val="24"/>
              </w:rPr>
              <w:t>生产过程原辅料主要为可发性聚苯乙烯树脂（EPS）</w:t>
            </w:r>
            <w:r>
              <w:rPr>
                <w:rFonts w:hint="eastAsia"/>
                <w:color w:val="auto"/>
                <w:sz w:val="24"/>
                <w:lang w:eastAsia="zh-CN"/>
              </w:rPr>
              <w:t>，</w:t>
            </w:r>
            <w:r>
              <w:rPr>
                <w:rFonts w:hint="eastAsia"/>
                <w:color w:val="auto"/>
                <w:sz w:val="24"/>
                <w:lang w:val="en-US" w:eastAsia="zh-CN"/>
              </w:rPr>
              <w:t>为新料</w:t>
            </w:r>
            <w:r>
              <w:rPr>
                <w:rFonts w:hint="eastAsia"/>
                <w:color w:val="auto"/>
                <w:sz w:val="24"/>
                <w:lang w:eastAsia="zh-CN"/>
              </w:rPr>
              <w:t>，</w:t>
            </w:r>
            <w:r>
              <w:rPr>
                <w:rFonts w:hint="eastAsia" w:cs="Times New Roman"/>
                <w:color w:val="auto"/>
                <w:lang w:eastAsia="zh-CN"/>
              </w:rPr>
              <w:t>由周边</w:t>
            </w:r>
            <w:r>
              <w:rPr>
                <w:rFonts w:hint="default" w:ascii="Times New Roman" w:hAnsi="Times New Roman" w:cs="Times New Roman"/>
                <w:color w:val="auto"/>
              </w:rPr>
              <w:t>市场经销商进购，项目原料来源有保障</w:t>
            </w:r>
            <w:r>
              <w:rPr>
                <w:color w:val="auto"/>
                <w:sz w:val="24"/>
              </w:rPr>
              <w:t>。</w:t>
            </w:r>
            <w:r>
              <w:rPr>
                <w:bCs/>
                <w:color w:val="auto"/>
                <w:sz w:val="24"/>
              </w:rPr>
              <w:t>项目主要原辅材料及能源消耗情况</w:t>
            </w:r>
            <w:r>
              <w:rPr>
                <w:rFonts w:hint="eastAsia"/>
                <w:bCs/>
                <w:color w:val="auto"/>
                <w:sz w:val="24"/>
                <w:lang w:val="en-US" w:eastAsia="zh-CN"/>
              </w:rPr>
              <w:t>详见</w:t>
            </w:r>
            <w:r>
              <w:rPr>
                <w:rFonts w:hint="eastAsia" w:cs="Times New Roman"/>
                <w:color w:val="auto"/>
                <w:lang w:val="en-US" w:eastAsia="zh-CN"/>
              </w:rPr>
              <w:t>下表</w:t>
            </w:r>
            <w:r>
              <w:rPr>
                <w:rFonts w:hint="default" w:ascii="Times New Roman" w:hAnsi="Times New Roman" w:cs="Times New Roman"/>
                <w:color w:val="auto"/>
              </w:rPr>
              <w:t>2-4。</w:t>
            </w:r>
          </w:p>
          <w:p w14:paraId="3BECF8C1">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表2-4 主要原辅材料一览表</w:t>
            </w:r>
          </w:p>
          <w:tbl>
            <w:tblPr>
              <w:tblStyle w:val="33"/>
              <w:tblW w:w="4980"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72"/>
              <w:gridCol w:w="1324"/>
              <w:gridCol w:w="1455"/>
              <w:gridCol w:w="1215"/>
              <w:gridCol w:w="1557"/>
              <w:gridCol w:w="1895"/>
            </w:tblGrid>
            <w:tr w14:paraId="0EF7FE9D">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72" w:type="dxa"/>
                  <w:tcBorders>
                    <w:tl2br w:val="nil"/>
                    <w:tr2bl w:val="nil"/>
                  </w:tcBorders>
                  <w:vAlign w:val="center"/>
                </w:tcPr>
                <w:p w14:paraId="141D23E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序号</w:t>
                  </w:r>
                </w:p>
              </w:tc>
              <w:tc>
                <w:tcPr>
                  <w:tcW w:w="1324" w:type="dxa"/>
                  <w:tcBorders>
                    <w:tl2br w:val="nil"/>
                    <w:tr2bl w:val="nil"/>
                  </w:tcBorders>
                  <w:vAlign w:val="center"/>
                </w:tcPr>
                <w:p w14:paraId="72073E5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材料名称</w:t>
                  </w:r>
                </w:p>
              </w:tc>
              <w:tc>
                <w:tcPr>
                  <w:tcW w:w="1455" w:type="dxa"/>
                  <w:tcBorders>
                    <w:tl2br w:val="nil"/>
                    <w:tr2bl w:val="nil"/>
                  </w:tcBorders>
                  <w:vAlign w:val="center"/>
                </w:tcPr>
                <w:p w14:paraId="52AAFA2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年耗量（t/a）</w:t>
                  </w:r>
                </w:p>
              </w:tc>
              <w:tc>
                <w:tcPr>
                  <w:tcW w:w="1215" w:type="dxa"/>
                  <w:tcBorders>
                    <w:tl2br w:val="nil"/>
                    <w:tr2bl w:val="nil"/>
                  </w:tcBorders>
                  <w:vAlign w:val="center"/>
                </w:tcPr>
                <w:p w14:paraId="06EC5A8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规格（成分）</w:t>
                  </w:r>
                </w:p>
              </w:tc>
              <w:tc>
                <w:tcPr>
                  <w:tcW w:w="1557" w:type="dxa"/>
                  <w:tcBorders>
                    <w:tl2br w:val="nil"/>
                    <w:tr2bl w:val="nil"/>
                  </w:tcBorders>
                  <w:vAlign w:val="center"/>
                </w:tcPr>
                <w:p w14:paraId="39BF7CD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供应来源</w:t>
                  </w:r>
                </w:p>
              </w:tc>
              <w:tc>
                <w:tcPr>
                  <w:tcW w:w="1895" w:type="dxa"/>
                  <w:tcBorders>
                    <w:tl2br w:val="nil"/>
                    <w:tr2bl w:val="nil"/>
                  </w:tcBorders>
                  <w:vAlign w:val="center"/>
                </w:tcPr>
                <w:p w14:paraId="5D711BD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备注</w:t>
                  </w:r>
                </w:p>
              </w:tc>
            </w:tr>
            <w:tr w14:paraId="5B62AC0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18" w:type="dxa"/>
                  <w:gridSpan w:val="6"/>
                  <w:tcBorders>
                    <w:tl2br w:val="nil"/>
                    <w:tr2bl w:val="nil"/>
                  </w:tcBorders>
                  <w:vAlign w:val="center"/>
                </w:tcPr>
                <w:p w14:paraId="74BBE0D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一、泡沫颗粒主要原辅料</w:t>
                  </w:r>
                </w:p>
              </w:tc>
            </w:tr>
            <w:tr w14:paraId="74B6FA7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dxa"/>
                  <w:tcBorders>
                    <w:tl2br w:val="nil"/>
                    <w:tr2bl w:val="nil"/>
                  </w:tcBorders>
                  <w:vAlign w:val="center"/>
                </w:tcPr>
                <w:p w14:paraId="30A0922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1</w:t>
                  </w:r>
                </w:p>
              </w:tc>
              <w:tc>
                <w:tcPr>
                  <w:tcW w:w="1324" w:type="dxa"/>
                  <w:tcBorders>
                    <w:tl2br w:val="nil"/>
                    <w:tr2bl w:val="nil"/>
                  </w:tcBorders>
                  <w:vAlign w:val="center"/>
                </w:tcPr>
                <w:p w14:paraId="0D0EBBA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可发性聚苯乙烯（EPS）</w:t>
                  </w:r>
                </w:p>
              </w:tc>
              <w:tc>
                <w:tcPr>
                  <w:tcW w:w="1455" w:type="dxa"/>
                  <w:tcBorders>
                    <w:tl2br w:val="nil"/>
                    <w:tr2bl w:val="nil"/>
                  </w:tcBorders>
                  <w:vAlign w:val="center"/>
                </w:tcPr>
                <w:p w14:paraId="145E1C7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1</w:t>
                  </w:r>
                  <w:r>
                    <w:rPr>
                      <w:rFonts w:hint="default" w:ascii="Times New Roman" w:hAnsi="Times New Roman" w:cs="Times New Roman" w:eastAsiaTheme="minorEastAsia"/>
                      <w:b w:val="0"/>
                      <w:bCs/>
                      <w:color w:val="auto"/>
                      <w:sz w:val="21"/>
                      <w:szCs w:val="21"/>
                      <w:lang w:val="en-US" w:eastAsia="zh-CN"/>
                    </w:rPr>
                    <w:t>1</w:t>
                  </w:r>
                  <w:r>
                    <w:rPr>
                      <w:rFonts w:hint="default" w:ascii="Times New Roman" w:hAnsi="Times New Roman" w:cs="Times New Roman" w:eastAsiaTheme="minorEastAsia"/>
                      <w:b w:val="0"/>
                      <w:bCs/>
                      <w:color w:val="auto"/>
                      <w:sz w:val="21"/>
                      <w:szCs w:val="21"/>
                    </w:rPr>
                    <w:t>0</w:t>
                  </w:r>
                </w:p>
              </w:tc>
              <w:tc>
                <w:tcPr>
                  <w:tcW w:w="1215" w:type="dxa"/>
                  <w:tcBorders>
                    <w:tl2br w:val="nil"/>
                    <w:tr2bl w:val="nil"/>
                  </w:tcBorders>
                  <w:vAlign w:val="center"/>
                </w:tcPr>
                <w:p w14:paraId="110DB28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25kg/袋</w:t>
                  </w:r>
                </w:p>
              </w:tc>
              <w:tc>
                <w:tcPr>
                  <w:tcW w:w="1557" w:type="dxa"/>
                  <w:tcBorders>
                    <w:tl2br w:val="nil"/>
                    <w:tr2bl w:val="nil"/>
                  </w:tcBorders>
                  <w:vAlign w:val="center"/>
                </w:tcPr>
                <w:p w14:paraId="6741643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就近外购聚苯乙烯树脂（EPS）新料</w:t>
                  </w:r>
                </w:p>
              </w:tc>
              <w:tc>
                <w:tcPr>
                  <w:tcW w:w="1895" w:type="dxa"/>
                  <w:tcBorders>
                    <w:tl2br w:val="nil"/>
                    <w:tr2bl w:val="nil"/>
                  </w:tcBorders>
                  <w:vAlign w:val="center"/>
                </w:tcPr>
                <w:p w14:paraId="72547BE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eastAsia" w:cs="Times New Roman" w:eastAsiaTheme="minorEastAsia"/>
                      <w:b w:val="0"/>
                      <w:bCs/>
                      <w:color w:val="auto"/>
                      <w:sz w:val="21"/>
                      <w:szCs w:val="21"/>
                      <w:lang w:val="en-US" w:eastAsia="zh-CN"/>
                    </w:rPr>
                    <w:t>暂存于原料堆存区，采用</w:t>
                  </w:r>
                  <w:r>
                    <w:rPr>
                      <w:rFonts w:hint="default" w:ascii="Times New Roman" w:hAnsi="Times New Roman" w:cs="Times New Roman" w:eastAsiaTheme="minorEastAsia"/>
                      <w:b w:val="0"/>
                      <w:bCs/>
                      <w:color w:val="auto"/>
                      <w:sz w:val="21"/>
                      <w:szCs w:val="21"/>
                    </w:rPr>
                    <w:t>袋装</w:t>
                  </w:r>
                  <w:r>
                    <w:rPr>
                      <w:rFonts w:hint="eastAsia" w:cs="Times New Roman" w:eastAsiaTheme="minorEastAsia"/>
                      <w:b w:val="0"/>
                      <w:bCs/>
                      <w:color w:val="auto"/>
                      <w:sz w:val="21"/>
                      <w:szCs w:val="21"/>
                      <w:lang w:val="en-US" w:eastAsia="zh-CN"/>
                    </w:rPr>
                    <w:t>的包装形式，</w:t>
                  </w:r>
                  <w:r>
                    <w:rPr>
                      <w:rFonts w:hint="eastAsia" w:cs="Times New Roman" w:eastAsiaTheme="minorEastAsia"/>
                      <w:color w:val="auto"/>
                      <w:sz w:val="21"/>
                      <w:szCs w:val="21"/>
                      <w:lang w:val="en-US" w:eastAsia="zh-CN"/>
                    </w:rPr>
                    <w:t>1次最大暂存量为10t（约400袋左右，每袋重量为25kg），周转量约每月1次</w:t>
                  </w:r>
                </w:p>
              </w:tc>
            </w:tr>
            <w:tr w14:paraId="7C8087A1">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18" w:type="dxa"/>
                  <w:gridSpan w:val="6"/>
                  <w:tcBorders>
                    <w:tl2br w:val="nil"/>
                    <w:tr2bl w:val="nil"/>
                  </w:tcBorders>
                  <w:vAlign w:val="center"/>
                </w:tcPr>
                <w:p w14:paraId="2A427D3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二、能耗消耗</w:t>
                  </w:r>
                </w:p>
              </w:tc>
            </w:tr>
            <w:tr w14:paraId="3E4B8B9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dxa"/>
                  <w:tcBorders>
                    <w:tl2br w:val="nil"/>
                    <w:tr2bl w:val="nil"/>
                  </w:tcBorders>
                  <w:vAlign w:val="center"/>
                </w:tcPr>
                <w:p w14:paraId="00881BDB">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1</w:t>
                  </w:r>
                </w:p>
              </w:tc>
              <w:tc>
                <w:tcPr>
                  <w:tcW w:w="1324" w:type="dxa"/>
                  <w:tcBorders>
                    <w:tl2br w:val="nil"/>
                    <w:tr2bl w:val="nil"/>
                  </w:tcBorders>
                  <w:vAlign w:val="center"/>
                </w:tcPr>
                <w:p w14:paraId="778490F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新水</w:t>
                  </w:r>
                </w:p>
              </w:tc>
              <w:tc>
                <w:tcPr>
                  <w:tcW w:w="1455" w:type="dxa"/>
                  <w:tcBorders>
                    <w:tl2br w:val="nil"/>
                    <w:tr2bl w:val="nil"/>
                  </w:tcBorders>
                  <w:vAlign w:val="center"/>
                </w:tcPr>
                <w:p w14:paraId="050D8D2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lang w:val="en-US" w:eastAsia="zh-CN"/>
                    </w:rPr>
                    <w:t>1</w:t>
                  </w:r>
                  <w:r>
                    <w:rPr>
                      <w:rFonts w:hint="eastAsia" w:cs="Times New Roman" w:eastAsiaTheme="minorEastAsia"/>
                      <w:b w:val="0"/>
                      <w:bCs/>
                      <w:color w:val="auto"/>
                      <w:sz w:val="21"/>
                      <w:szCs w:val="21"/>
                      <w:lang w:val="en-US" w:eastAsia="zh-CN"/>
                    </w:rPr>
                    <w:t>626</w:t>
                  </w:r>
                  <w:r>
                    <w:rPr>
                      <w:rFonts w:hint="default" w:ascii="Times New Roman" w:hAnsi="Times New Roman" w:cs="Times New Roman" w:eastAsiaTheme="minorEastAsia"/>
                      <w:b w:val="0"/>
                      <w:bCs/>
                      <w:color w:val="auto"/>
                      <w:sz w:val="21"/>
                      <w:szCs w:val="21"/>
                    </w:rPr>
                    <w:t>m</w:t>
                  </w:r>
                  <w:r>
                    <w:rPr>
                      <w:rFonts w:hint="default" w:ascii="Times New Roman" w:hAnsi="Times New Roman" w:cs="Times New Roman" w:eastAsiaTheme="minorEastAsia"/>
                      <w:b w:val="0"/>
                      <w:bCs/>
                      <w:color w:val="auto"/>
                      <w:sz w:val="21"/>
                      <w:szCs w:val="21"/>
                      <w:vertAlign w:val="superscript"/>
                    </w:rPr>
                    <w:t>3</w:t>
                  </w:r>
                  <w:r>
                    <w:rPr>
                      <w:rFonts w:hint="default" w:ascii="Times New Roman" w:hAnsi="Times New Roman" w:cs="Times New Roman" w:eastAsiaTheme="minorEastAsia"/>
                      <w:b w:val="0"/>
                      <w:bCs/>
                      <w:color w:val="auto"/>
                      <w:sz w:val="21"/>
                      <w:szCs w:val="21"/>
                    </w:rPr>
                    <w:t>/a</w:t>
                  </w:r>
                </w:p>
              </w:tc>
              <w:tc>
                <w:tcPr>
                  <w:tcW w:w="1215" w:type="dxa"/>
                  <w:tcBorders>
                    <w:tl2br w:val="nil"/>
                    <w:tr2bl w:val="nil"/>
                  </w:tcBorders>
                  <w:vAlign w:val="center"/>
                </w:tcPr>
                <w:p w14:paraId="6302DF7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w:t>
                  </w:r>
                </w:p>
              </w:tc>
              <w:tc>
                <w:tcPr>
                  <w:tcW w:w="1557" w:type="dxa"/>
                  <w:tcBorders>
                    <w:tl2br w:val="nil"/>
                    <w:tr2bl w:val="nil"/>
                  </w:tcBorders>
                  <w:vAlign w:val="center"/>
                </w:tcPr>
                <w:p w14:paraId="1C826E9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市政管网</w:t>
                  </w:r>
                </w:p>
              </w:tc>
              <w:tc>
                <w:tcPr>
                  <w:tcW w:w="1895" w:type="dxa"/>
                  <w:tcBorders>
                    <w:tl2br w:val="nil"/>
                    <w:tr2bl w:val="nil"/>
                  </w:tcBorders>
                  <w:vAlign w:val="center"/>
                </w:tcPr>
                <w:p w14:paraId="547E65B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w:t>
                  </w:r>
                </w:p>
              </w:tc>
            </w:tr>
            <w:tr w14:paraId="077E99A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dxa"/>
                  <w:tcBorders>
                    <w:tl2br w:val="nil"/>
                    <w:tr2bl w:val="nil"/>
                  </w:tcBorders>
                  <w:vAlign w:val="center"/>
                </w:tcPr>
                <w:p w14:paraId="323163A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2</w:t>
                  </w:r>
                </w:p>
              </w:tc>
              <w:tc>
                <w:tcPr>
                  <w:tcW w:w="1324" w:type="dxa"/>
                  <w:tcBorders>
                    <w:tl2br w:val="nil"/>
                    <w:tr2bl w:val="nil"/>
                  </w:tcBorders>
                  <w:vAlign w:val="center"/>
                </w:tcPr>
                <w:p w14:paraId="6333291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电</w:t>
                  </w:r>
                </w:p>
              </w:tc>
              <w:tc>
                <w:tcPr>
                  <w:tcW w:w="1455" w:type="dxa"/>
                  <w:tcBorders>
                    <w:tl2br w:val="nil"/>
                    <w:tr2bl w:val="nil"/>
                  </w:tcBorders>
                  <w:vAlign w:val="center"/>
                </w:tcPr>
                <w:p w14:paraId="7845517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3.6×104kW·h</w:t>
                  </w:r>
                </w:p>
              </w:tc>
              <w:tc>
                <w:tcPr>
                  <w:tcW w:w="1215" w:type="dxa"/>
                  <w:tcBorders>
                    <w:tl2br w:val="nil"/>
                    <w:tr2bl w:val="nil"/>
                  </w:tcBorders>
                  <w:vAlign w:val="center"/>
                </w:tcPr>
                <w:p w14:paraId="6874886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w:t>
                  </w:r>
                </w:p>
              </w:tc>
              <w:tc>
                <w:tcPr>
                  <w:tcW w:w="1557" w:type="dxa"/>
                  <w:tcBorders>
                    <w:tl2br w:val="nil"/>
                    <w:tr2bl w:val="nil"/>
                  </w:tcBorders>
                  <w:vAlign w:val="center"/>
                </w:tcPr>
                <w:p w14:paraId="6B8AFF5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市政电网</w:t>
                  </w:r>
                </w:p>
              </w:tc>
              <w:tc>
                <w:tcPr>
                  <w:tcW w:w="1895" w:type="dxa"/>
                  <w:tcBorders>
                    <w:tl2br w:val="nil"/>
                    <w:tr2bl w:val="nil"/>
                  </w:tcBorders>
                  <w:vAlign w:val="center"/>
                </w:tcPr>
                <w:p w14:paraId="1180AD5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w:t>
                  </w:r>
                </w:p>
              </w:tc>
            </w:tr>
            <w:tr w14:paraId="7A18A90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72" w:type="dxa"/>
                  <w:tcBorders>
                    <w:tl2br w:val="nil"/>
                    <w:tr2bl w:val="nil"/>
                  </w:tcBorders>
                  <w:vAlign w:val="center"/>
                </w:tcPr>
                <w:p w14:paraId="1242998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3</w:t>
                  </w:r>
                </w:p>
              </w:tc>
              <w:tc>
                <w:tcPr>
                  <w:tcW w:w="1324" w:type="dxa"/>
                  <w:tcBorders>
                    <w:tl2br w:val="nil"/>
                    <w:tr2bl w:val="nil"/>
                  </w:tcBorders>
                  <w:vAlign w:val="center"/>
                </w:tcPr>
                <w:p w14:paraId="462B337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生物质</w:t>
                  </w:r>
                </w:p>
              </w:tc>
              <w:tc>
                <w:tcPr>
                  <w:tcW w:w="1455" w:type="dxa"/>
                  <w:tcBorders>
                    <w:tl2br w:val="nil"/>
                    <w:tr2bl w:val="nil"/>
                  </w:tcBorders>
                  <w:vAlign w:val="center"/>
                </w:tcPr>
                <w:p w14:paraId="5458157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lang w:val="en-US" w:eastAsia="zh-CN"/>
                    </w:rPr>
                    <w:t>1500</w:t>
                  </w:r>
                  <w:r>
                    <w:rPr>
                      <w:rFonts w:hint="default" w:ascii="Times New Roman" w:hAnsi="Times New Roman" w:cs="Times New Roman" w:eastAsiaTheme="minorEastAsia"/>
                      <w:b w:val="0"/>
                      <w:bCs/>
                      <w:color w:val="auto"/>
                      <w:sz w:val="21"/>
                      <w:szCs w:val="21"/>
                    </w:rPr>
                    <w:t>t/a</w:t>
                  </w:r>
                </w:p>
              </w:tc>
              <w:tc>
                <w:tcPr>
                  <w:tcW w:w="1215" w:type="dxa"/>
                  <w:tcBorders>
                    <w:tl2br w:val="nil"/>
                    <w:tr2bl w:val="nil"/>
                  </w:tcBorders>
                  <w:vAlign w:val="center"/>
                </w:tcPr>
                <w:p w14:paraId="3BB6572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w:t>
                  </w:r>
                </w:p>
              </w:tc>
              <w:tc>
                <w:tcPr>
                  <w:tcW w:w="1557" w:type="dxa"/>
                  <w:tcBorders>
                    <w:tl2br w:val="nil"/>
                    <w:tr2bl w:val="nil"/>
                  </w:tcBorders>
                  <w:vAlign w:val="center"/>
                </w:tcPr>
                <w:p w14:paraId="5714EB2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昆明翰朗伯宏能源有限公司</w:t>
                  </w:r>
                </w:p>
              </w:tc>
              <w:tc>
                <w:tcPr>
                  <w:tcW w:w="1895" w:type="dxa"/>
                  <w:tcBorders>
                    <w:tl2br w:val="nil"/>
                    <w:tr2bl w:val="nil"/>
                  </w:tcBorders>
                  <w:vAlign w:val="center"/>
                </w:tcPr>
                <w:p w14:paraId="772163B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暂处于生物质蒸汽发生器区，采用吨袋暂存，</w:t>
                  </w:r>
                  <w:r>
                    <w:rPr>
                      <w:rFonts w:hint="default" w:ascii="Times New Roman" w:hAnsi="Times New Roman" w:cs="Times New Roman" w:eastAsiaTheme="minorEastAsia"/>
                      <w:b w:val="0"/>
                      <w:bCs/>
                      <w:color w:val="auto"/>
                      <w:sz w:val="21"/>
                      <w:szCs w:val="21"/>
                    </w:rPr>
                    <w:t>最大暂存量为1</w:t>
                  </w:r>
                  <w:r>
                    <w:rPr>
                      <w:rFonts w:hint="eastAsia" w:ascii="Times New Roman" w:hAnsi="Times New Roman" w:cs="Times New Roman" w:eastAsiaTheme="minorEastAsia"/>
                      <w:b w:val="0"/>
                      <w:bCs/>
                      <w:color w:val="auto"/>
                      <w:sz w:val="21"/>
                      <w:szCs w:val="21"/>
                      <w:lang w:val="en-US" w:eastAsia="zh-CN"/>
                    </w:rPr>
                    <w:t>80</w:t>
                  </w:r>
                  <w:r>
                    <w:rPr>
                      <w:rFonts w:hint="default" w:ascii="Times New Roman" w:hAnsi="Times New Roman" w:cs="Times New Roman" w:eastAsiaTheme="minorEastAsia"/>
                      <w:b w:val="0"/>
                      <w:bCs/>
                      <w:color w:val="auto"/>
                      <w:sz w:val="21"/>
                      <w:szCs w:val="21"/>
                    </w:rPr>
                    <w:t>t</w:t>
                  </w:r>
                  <w:r>
                    <w:rPr>
                      <w:rFonts w:hint="eastAsia" w:cs="Times New Roman" w:eastAsiaTheme="minorEastAsia"/>
                      <w:b w:val="0"/>
                      <w:bCs/>
                      <w:color w:val="auto"/>
                      <w:sz w:val="21"/>
                      <w:szCs w:val="21"/>
                      <w:lang w:eastAsia="zh-CN"/>
                    </w:rPr>
                    <w:t>，</w:t>
                  </w:r>
                  <w:r>
                    <w:rPr>
                      <w:rFonts w:hint="eastAsia" w:cs="Times New Roman" w:eastAsiaTheme="minorEastAsia"/>
                      <w:b w:val="0"/>
                      <w:bCs/>
                      <w:color w:val="auto"/>
                      <w:sz w:val="21"/>
                      <w:szCs w:val="21"/>
                      <w:lang w:val="en-US" w:eastAsia="zh-CN"/>
                    </w:rPr>
                    <w:t>转运量约</w:t>
                  </w:r>
                  <w:r>
                    <w:rPr>
                      <w:rFonts w:hint="eastAsia" w:cs="Times New Roman" w:eastAsiaTheme="minorEastAsia"/>
                      <w:color w:val="auto"/>
                      <w:sz w:val="21"/>
                      <w:szCs w:val="21"/>
                      <w:lang w:val="en-US" w:eastAsia="zh-CN"/>
                    </w:rPr>
                    <w:t>每月1次</w:t>
                  </w:r>
                </w:p>
              </w:tc>
            </w:tr>
            <w:tr w14:paraId="452A49E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dxa"/>
                  <w:tcBorders>
                    <w:tl2br w:val="nil"/>
                    <w:tr2bl w:val="nil"/>
                  </w:tcBorders>
                  <w:vAlign w:val="center"/>
                </w:tcPr>
                <w:p w14:paraId="165792E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4</w:t>
                  </w:r>
                </w:p>
              </w:tc>
              <w:tc>
                <w:tcPr>
                  <w:tcW w:w="1324" w:type="dxa"/>
                  <w:tcBorders>
                    <w:tl2br w:val="nil"/>
                    <w:tr2bl w:val="nil"/>
                  </w:tcBorders>
                  <w:vAlign w:val="center"/>
                </w:tcPr>
                <w:p w14:paraId="7A66A17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活性炭</w:t>
                  </w:r>
                </w:p>
              </w:tc>
              <w:tc>
                <w:tcPr>
                  <w:tcW w:w="1455" w:type="dxa"/>
                  <w:tcBorders>
                    <w:tl2br w:val="nil"/>
                    <w:tr2bl w:val="nil"/>
                  </w:tcBorders>
                  <w:vAlign w:val="center"/>
                </w:tcPr>
                <w:p w14:paraId="7029DBF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lang w:val="en-US" w:eastAsia="zh-CN"/>
                    </w:rPr>
                    <w:t>1.08</w:t>
                  </w:r>
                  <w:r>
                    <w:rPr>
                      <w:rFonts w:hint="default" w:ascii="Times New Roman" w:hAnsi="Times New Roman" w:cs="Times New Roman" w:eastAsiaTheme="minorEastAsia"/>
                      <w:b w:val="0"/>
                      <w:bCs/>
                      <w:color w:val="auto"/>
                      <w:sz w:val="21"/>
                      <w:szCs w:val="21"/>
                    </w:rPr>
                    <w:t>t/a</w:t>
                  </w:r>
                </w:p>
              </w:tc>
              <w:tc>
                <w:tcPr>
                  <w:tcW w:w="1215" w:type="dxa"/>
                  <w:tcBorders>
                    <w:tl2br w:val="nil"/>
                    <w:tr2bl w:val="nil"/>
                  </w:tcBorders>
                  <w:vAlign w:val="center"/>
                </w:tcPr>
                <w:p w14:paraId="589340B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25kg/箱</w:t>
                  </w:r>
                </w:p>
              </w:tc>
              <w:tc>
                <w:tcPr>
                  <w:tcW w:w="1557" w:type="dxa"/>
                  <w:tcBorders>
                    <w:tl2br w:val="nil"/>
                    <w:tr2bl w:val="nil"/>
                  </w:tcBorders>
                  <w:vAlign w:val="center"/>
                </w:tcPr>
                <w:p w14:paraId="1375C3D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就近购买</w:t>
                  </w:r>
                </w:p>
              </w:tc>
              <w:tc>
                <w:tcPr>
                  <w:tcW w:w="1895" w:type="dxa"/>
                  <w:tcBorders>
                    <w:tl2br w:val="nil"/>
                    <w:tr2bl w:val="nil"/>
                  </w:tcBorders>
                  <w:vAlign w:val="center"/>
                </w:tcPr>
                <w:p w14:paraId="7F1B1E5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val="0"/>
                      <w:bCs/>
                      <w:color w:val="auto"/>
                      <w:sz w:val="21"/>
                      <w:szCs w:val="21"/>
                    </w:rPr>
                  </w:pPr>
                  <w:r>
                    <w:rPr>
                      <w:rFonts w:hint="default" w:ascii="Times New Roman" w:hAnsi="Times New Roman" w:cs="Times New Roman" w:eastAsiaTheme="minorEastAsia"/>
                      <w:b w:val="0"/>
                      <w:bCs/>
                      <w:color w:val="auto"/>
                      <w:sz w:val="21"/>
                      <w:szCs w:val="21"/>
                    </w:rPr>
                    <w:t>/</w:t>
                  </w:r>
                </w:p>
              </w:tc>
            </w:tr>
          </w:tbl>
          <w:p w14:paraId="2505AA2A">
            <w:pPr>
              <w:pStyle w:val="92"/>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eastAsiaTheme="minorEastAsia"/>
                <w:b/>
                <w:bCs/>
                <w:color w:val="auto"/>
              </w:rPr>
            </w:pPr>
            <w:r>
              <w:rPr>
                <w:rFonts w:hint="default" w:ascii="Times New Roman" w:hAnsi="Times New Roman" w:cs="Times New Roman" w:eastAsiaTheme="minorEastAsia"/>
                <w:b/>
                <w:bCs/>
                <w:color w:val="auto"/>
              </w:rPr>
              <w:t>（2）原辅料理化性质</w:t>
            </w:r>
          </w:p>
          <w:p w14:paraId="50E156E8">
            <w:pPr>
              <w:pStyle w:val="92"/>
              <w:keepNext w:val="0"/>
              <w:keepLines w:val="0"/>
              <w:pageBreakBefore w:val="0"/>
              <w:widowControl w:val="0"/>
              <w:kinsoku/>
              <w:wordWrap/>
              <w:overflowPunct/>
              <w:topLinePunct w:val="0"/>
              <w:autoSpaceDE/>
              <w:autoSpaceDN/>
              <w:bidi w:val="0"/>
              <w:spacing w:line="360" w:lineRule="auto"/>
              <w:ind w:firstLine="482"/>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rPr>
              <w:t>①可发性聚苯乙烯（EPS）</w:t>
            </w:r>
          </w:p>
          <w:p w14:paraId="093D1016">
            <w:pPr>
              <w:pStyle w:val="92"/>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cs="Times New Roman" w:eastAsiaTheme="minorEastAsia"/>
                <w:b w:val="0"/>
                <w:bCs w:val="0"/>
                <w:color w:val="auto"/>
              </w:rPr>
            </w:pPr>
            <w:r>
              <w:rPr>
                <w:rFonts w:hint="default" w:ascii="Times New Roman" w:hAnsi="Times New Roman" w:cs="Times New Roman" w:eastAsiaTheme="minorEastAsia"/>
                <w:b w:val="0"/>
                <w:bCs w:val="0"/>
                <w:color w:val="auto"/>
              </w:rPr>
              <w:t>可发性聚苯乙烯，简称EPS，通称聚苯乙烯和苯乙烯系共聚物，是一种树脂与物理性发泡剂和其他添加剂的混合物。原料呈珠粒状，白色，相对密度1.05g/cm</w:t>
            </w:r>
            <w:r>
              <w:rPr>
                <w:rFonts w:hint="default" w:ascii="Times New Roman" w:hAnsi="Times New Roman" w:cs="Times New Roman" w:eastAsiaTheme="minorEastAsia"/>
                <w:b w:val="0"/>
                <w:bCs w:val="0"/>
                <w:color w:val="auto"/>
                <w:vertAlign w:val="superscript"/>
              </w:rPr>
              <w:t>3</w:t>
            </w:r>
            <w:r>
              <w:rPr>
                <w:rFonts w:hint="default" w:ascii="Times New Roman" w:hAnsi="Times New Roman" w:cs="Times New Roman" w:eastAsiaTheme="minorEastAsia"/>
                <w:b w:val="0"/>
                <w:bCs w:val="0"/>
                <w:color w:val="auto"/>
              </w:rPr>
              <w:t>。珠粒内含有发泡剂，发泡剂为戊烷，戊烷含量约为2~7%的重量，发泡剂在珠粒内以液态形式储存。可发性聚苯乙烯热导率低，吸水性小，耐冲击震动、隔热、隔音、防潮、减震，介电性能优良。溶于丙酮、醋酸乙酯、苯、甲苯、二氯乙烷、氯仿，不溶于乙醇、正己烷、溶剂汽油等。单纯的聚苯乙烯是苯乙烯单体经自由基缩聚反应合成的聚合物，是一种无色透明的热塑性塑料，常被用来制作各种需要承受开水温度的一次性容器。普通聚苯乙烯为无毒无臭无色的透明颗粒，似玻璃状脆性材料，其制品具有极高的透明度，电绝缘性能好，易着色，加工流动性好。聚苯乙烯具有加热软化、冷却硬化的特性，加工过程需要加热，聚苯乙烯熔融温度240℃，裂解温度为330℃，裂解产物为苯乙烯。</w:t>
            </w:r>
          </w:p>
          <w:p w14:paraId="76C097E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b w:val="0"/>
                <w:bCs w:val="0"/>
                <w:color w:val="auto"/>
                <w:sz w:val="24"/>
              </w:rPr>
            </w:pPr>
            <w:r>
              <w:rPr>
                <w:rFonts w:hint="default" w:ascii="Times New Roman" w:hAnsi="Times New Roman" w:cs="Times New Roman" w:eastAsiaTheme="minorEastAsia"/>
                <w:b w:val="0"/>
                <w:bCs w:val="0"/>
                <w:color w:val="auto"/>
                <w:sz w:val="24"/>
              </w:rPr>
              <w:t>②生物质颗粒</w:t>
            </w:r>
          </w:p>
          <w:p w14:paraId="4F1EFF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color w:val="auto"/>
                <w:sz w:val="24"/>
                <w:lang w:eastAsia="zh-CN"/>
              </w:rPr>
            </w:pPr>
            <w:r>
              <w:rPr>
                <w:rFonts w:hint="default" w:ascii="Times New Roman" w:hAnsi="Times New Roman" w:cs="Times New Roman" w:eastAsiaTheme="minorEastAsia"/>
                <w:b w:val="0"/>
                <w:bCs w:val="0"/>
                <w:color w:val="auto"/>
                <w:sz w:val="24"/>
              </w:rPr>
              <w:t>由秸秆、稻草、稻壳、花生壳、玉米芯、油茶壳、棉籽壳等以及</w:t>
            </w:r>
            <w:r>
              <w:rPr>
                <w:rFonts w:hint="eastAsia" w:cs="Times New Roman" w:eastAsiaTheme="minorEastAsia"/>
                <w:b w:val="0"/>
                <w:bCs w:val="0"/>
                <w:color w:val="auto"/>
                <w:sz w:val="24"/>
                <w:lang w:eastAsia="zh-CN"/>
              </w:rPr>
              <w:t>“</w:t>
            </w:r>
            <w:r>
              <w:rPr>
                <w:rFonts w:hint="default" w:ascii="Times New Roman" w:hAnsi="Times New Roman" w:cs="Times New Roman" w:eastAsiaTheme="minorEastAsia"/>
                <w:b w:val="0"/>
                <w:bCs w:val="0"/>
                <w:color w:val="auto"/>
                <w:sz w:val="24"/>
              </w:rPr>
              <w:t>三剩物</w:t>
            </w:r>
            <w:r>
              <w:rPr>
                <w:rFonts w:hint="eastAsia" w:cs="Times New Roman" w:eastAsiaTheme="minorEastAsia"/>
                <w:b w:val="0"/>
                <w:bCs w:val="0"/>
                <w:color w:val="auto"/>
                <w:sz w:val="24"/>
                <w:lang w:eastAsia="zh-CN"/>
              </w:rPr>
              <w:t>”</w:t>
            </w:r>
            <w:r>
              <w:rPr>
                <w:rFonts w:hint="default" w:ascii="Times New Roman" w:hAnsi="Times New Roman" w:cs="Times New Roman" w:eastAsiaTheme="minorEastAsia"/>
                <w:b w:val="0"/>
                <w:bCs w:val="0"/>
                <w:color w:val="auto"/>
                <w:sz w:val="24"/>
              </w:rPr>
              <w:t>经过加工产生的柱状环保新能源。生物质颗粒</w:t>
            </w:r>
            <w:r>
              <w:rPr>
                <w:rFonts w:hint="default" w:ascii="Times New Roman" w:hAnsi="Times New Roman" w:cs="Times New Roman" w:eastAsiaTheme="minorEastAsia"/>
                <w:b w:val="0"/>
                <w:bCs w:val="0"/>
                <w:color w:val="auto"/>
                <w:sz w:val="24"/>
                <w:szCs w:val="24"/>
              </w:rPr>
              <w:t>采用直径为8～10mm、长度为25～35mm以木质为主的生物质颗粒作为燃料，其主要技术指标为：直径6～12mm，长度为直径的2～4倍，堆积密度大于600kg/m</w:t>
            </w:r>
            <w:r>
              <w:rPr>
                <w:rFonts w:hint="default" w:ascii="Times New Roman" w:hAnsi="Times New Roman" w:cs="Times New Roman" w:eastAsiaTheme="minorEastAsia"/>
                <w:b w:val="0"/>
                <w:bCs w:val="0"/>
                <w:color w:val="auto"/>
                <w:sz w:val="24"/>
                <w:szCs w:val="24"/>
                <w:vertAlign w:val="superscript"/>
              </w:rPr>
              <w:t>3</w:t>
            </w:r>
            <w:r>
              <w:rPr>
                <w:rFonts w:hint="default" w:ascii="Times New Roman" w:hAnsi="Times New Roman" w:cs="Times New Roman" w:eastAsiaTheme="minorEastAsia"/>
                <w:b w:val="0"/>
                <w:bCs w:val="0"/>
                <w:color w:val="auto"/>
                <w:sz w:val="24"/>
                <w:szCs w:val="24"/>
              </w:rPr>
              <w:t>，破碎率小于1.5%～2.0%，干基含水量小于10%～15%，灰分含量小于1.5%，硫含量和氯含量均小于0.07%，氮含量小于0.5%，热值大于16MJ/kg</w:t>
            </w:r>
            <w:r>
              <w:rPr>
                <w:rFonts w:hint="default" w:ascii="Times New Roman" w:hAnsi="Times New Roman" w:cs="Times New Roman" w:eastAsiaTheme="minorEastAsia"/>
                <w:b w:val="0"/>
                <w:bCs w:val="0"/>
                <w:color w:val="auto"/>
                <w:sz w:val="24"/>
                <w:szCs w:val="24"/>
                <w:lang w:eastAsia="zh-CN"/>
              </w:rPr>
              <w:t>。</w:t>
            </w:r>
          </w:p>
          <w:p w14:paraId="4016747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eastAsiaTheme="minorEastAsia"/>
                <w:b w:val="0"/>
                <w:bCs w:val="0"/>
                <w:color w:val="auto"/>
                <w:sz w:val="24"/>
                <w:lang w:eastAsia="zh-CN"/>
              </w:rPr>
            </w:pPr>
            <w:r>
              <w:rPr>
                <w:rFonts w:hint="default" w:ascii="Times New Roman" w:hAnsi="Times New Roman" w:cs="Times New Roman" w:eastAsiaTheme="minorEastAsia"/>
                <w:b w:val="0"/>
                <w:bCs w:val="0"/>
                <w:color w:val="auto"/>
                <w:sz w:val="24"/>
              </w:rPr>
              <w:t>本项目</w:t>
            </w:r>
            <w:r>
              <w:rPr>
                <w:rFonts w:hint="eastAsia" w:cs="Times New Roman" w:eastAsiaTheme="minorEastAsia"/>
                <w:b w:val="0"/>
                <w:bCs w:val="0"/>
                <w:color w:val="auto"/>
                <w:sz w:val="24"/>
                <w:lang w:eastAsia="zh-CN"/>
              </w:rPr>
              <w:t>生物质蒸汽发生器</w:t>
            </w:r>
            <w:r>
              <w:rPr>
                <w:rFonts w:hint="default" w:ascii="Times New Roman" w:hAnsi="Times New Roman" w:cs="Times New Roman" w:eastAsiaTheme="minorEastAsia"/>
                <w:b w:val="0"/>
                <w:bCs w:val="0"/>
                <w:color w:val="auto"/>
                <w:sz w:val="24"/>
              </w:rPr>
              <w:t>使用的生物质为</w:t>
            </w:r>
            <w:r>
              <w:rPr>
                <w:rFonts w:hint="default" w:ascii="Times New Roman" w:hAnsi="Times New Roman" w:cs="Times New Roman" w:eastAsiaTheme="minorEastAsia"/>
                <w:b w:val="0"/>
                <w:bCs w:val="0"/>
                <w:color w:val="auto"/>
                <w:spacing w:val="6"/>
                <w:sz w:val="24"/>
              </w:rPr>
              <w:t>昆明翰朗伯宏能源有限公司提供</w:t>
            </w:r>
            <w:r>
              <w:rPr>
                <w:rFonts w:hint="default" w:ascii="Times New Roman" w:hAnsi="Times New Roman" w:cs="Times New Roman" w:eastAsiaTheme="minorEastAsia"/>
                <w:b w:val="0"/>
                <w:bCs w:val="0"/>
                <w:color w:val="auto"/>
                <w:sz w:val="24"/>
              </w:rPr>
              <w:t>的成型生物质颗粒，根据</w:t>
            </w:r>
            <w:r>
              <w:rPr>
                <w:rFonts w:hint="default" w:ascii="Times New Roman" w:hAnsi="Times New Roman" w:cs="Times New Roman" w:eastAsiaTheme="minorEastAsia"/>
                <w:b w:val="0"/>
                <w:bCs w:val="0"/>
                <w:color w:val="auto"/>
                <w:spacing w:val="6"/>
                <w:sz w:val="24"/>
              </w:rPr>
              <w:t>昆明翰朗伯宏能源有限公司</w:t>
            </w:r>
            <w:r>
              <w:rPr>
                <w:rFonts w:hint="default" w:ascii="Times New Roman" w:hAnsi="Times New Roman" w:cs="Times New Roman" w:eastAsiaTheme="minorEastAsia"/>
                <w:b w:val="0"/>
                <w:bCs w:val="0"/>
                <w:color w:val="auto"/>
                <w:sz w:val="24"/>
              </w:rPr>
              <w:t>提供的固体生物质的检测报告，主要的参数指标</w:t>
            </w:r>
            <w:r>
              <w:rPr>
                <w:rFonts w:hint="default" w:ascii="Times New Roman" w:hAnsi="Times New Roman" w:cs="Times New Roman" w:eastAsiaTheme="minorEastAsia"/>
                <w:b w:val="0"/>
                <w:bCs w:val="0"/>
                <w:color w:val="auto"/>
                <w:sz w:val="24"/>
                <w:lang w:eastAsia="zh-CN"/>
              </w:rPr>
              <w:t>如下</w:t>
            </w:r>
            <w:r>
              <w:rPr>
                <w:rFonts w:hint="default" w:ascii="Times New Roman" w:hAnsi="Times New Roman" w:cs="Times New Roman" w:eastAsiaTheme="minorEastAsia"/>
                <w:b w:val="0"/>
                <w:bCs w:val="0"/>
                <w:color w:val="auto"/>
                <w:sz w:val="24"/>
              </w:rPr>
              <w:t>表</w:t>
            </w:r>
            <w:r>
              <w:rPr>
                <w:rFonts w:hint="eastAsia" w:ascii="Times New Roman" w:hAnsi="Times New Roman" w:cs="Times New Roman" w:eastAsiaTheme="minorEastAsia"/>
                <w:b w:val="0"/>
                <w:bCs w:val="0"/>
                <w:color w:val="auto"/>
                <w:sz w:val="24"/>
                <w:lang w:eastAsia="zh-CN"/>
              </w:rPr>
              <w:t>。</w:t>
            </w:r>
          </w:p>
          <w:p w14:paraId="167467F8">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w:t>
            </w:r>
            <w:r>
              <w:rPr>
                <w:rFonts w:hint="eastAsia" w:ascii="Times New Roman" w:hAnsi="Times New Roman" w:cs="Times New Roman"/>
                <w:color w:val="auto"/>
                <w:sz w:val="24"/>
                <w:szCs w:val="32"/>
                <w:lang w:val="en-US" w:eastAsia="zh-CN"/>
              </w:rPr>
              <w:t>5</w:t>
            </w:r>
            <w:r>
              <w:rPr>
                <w:rFonts w:hint="default" w:ascii="Times New Roman" w:hAnsi="Times New Roman" w:cs="Times New Roman"/>
                <w:color w:val="auto"/>
                <w:sz w:val="24"/>
                <w:szCs w:val="32"/>
              </w:rPr>
              <w:t xml:space="preserve"> </w:t>
            </w:r>
            <w:r>
              <w:rPr>
                <w:rFonts w:hint="eastAsia" w:ascii="Times New Roman" w:hAnsi="Times New Roman" w:cs="Times New Roman"/>
                <w:color w:val="auto"/>
                <w:sz w:val="24"/>
                <w:szCs w:val="32"/>
              </w:rPr>
              <w:t xml:space="preserve"> </w:t>
            </w:r>
            <w:r>
              <w:rPr>
                <w:rFonts w:hint="default" w:ascii="Times New Roman" w:hAnsi="Times New Roman" w:cs="Times New Roman"/>
                <w:color w:val="auto"/>
                <w:sz w:val="24"/>
                <w:szCs w:val="32"/>
              </w:rPr>
              <w:t>固体生物质燃料参数指标</w:t>
            </w:r>
          </w:p>
          <w:tbl>
            <w:tblPr>
              <w:tblStyle w:val="33"/>
              <w:tblW w:w="5000"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179"/>
              <w:gridCol w:w="982"/>
              <w:gridCol w:w="1146"/>
              <w:gridCol w:w="1248"/>
              <w:gridCol w:w="1323"/>
              <w:gridCol w:w="1170"/>
            </w:tblGrid>
            <w:tr w14:paraId="410C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trPr>
              <w:tc>
                <w:tcPr>
                  <w:tcW w:w="795" w:type="dxa"/>
                  <w:tcBorders>
                    <w:tl2br w:val="nil"/>
                    <w:tr2bl w:val="nil"/>
                  </w:tcBorders>
                  <w:vAlign w:val="center"/>
                </w:tcPr>
                <w:p w14:paraId="7A9F5F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全水分（M</w:t>
                  </w:r>
                  <w:r>
                    <w:rPr>
                      <w:rFonts w:hint="default" w:ascii="Times New Roman" w:hAnsi="Times New Roman" w:cs="Times New Roman" w:eastAsiaTheme="minorEastAsia"/>
                      <w:b/>
                      <w:bCs/>
                      <w:color w:val="auto"/>
                      <w:sz w:val="21"/>
                      <w:szCs w:val="21"/>
                      <w:vertAlign w:val="subscript"/>
                    </w:rPr>
                    <w:t>t</w:t>
                  </w:r>
                  <w:r>
                    <w:rPr>
                      <w:rFonts w:hint="default" w:ascii="Times New Roman" w:hAnsi="Times New Roman" w:cs="Times New Roman" w:eastAsiaTheme="minorEastAsia"/>
                      <w:b/>
                      <w:bCs/>
                      <w:color w:val="auto"/>
                      <w:sz w:val="21"/>
                      <w:szCs w:val="21"/>
                    </w:rPr>
                    <w:t>）</w:t>
                  </w:r>
                </w:p>
              </w:tc>
              <w:tc>
                <w:tcPr>
                  <w:tcW w:w="1179" w:type="dxa"/>
                  <w:tcBorders>
                    <w:tl2br w:val="nil"/>
                    <w:tr2bl w:val="nil"/>
                  </w:tcBorders>
                  <w:vAlign w:val="center"/>
                </w:tcPr>
                <w:p w14:paraId="393349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空气干燥基水分（M</w:t>
                  </w:r>
                  <w:r>
                    <w:rPr>
                      <w:rFonts w:hint="default" w:ascii="Times New Roman" w:hAnsi="Times New Roman" w:cs="Times New Roman" w:eastAsiaTheme="minorEastAsia"/>
                      <w:b/>
                      <w:bCs/>
                      <w:color w:val="auto"/>
                      <w:sz w:val="21"/>
                      <w:szCs w:val="21"/>
                      <w:vertAlign w:val="subscript"/>
                    </w:rPr>
                    <w:t>ad</w:t>
                  </w:r>
                  <w:r>
                    <w:rPr>
                      <w:rFonts w:hint="default" w:ascii="Times New Roman" w:hAnsi="Times New Roman" w:cs="Times New Roman" w:eastAsiaTheme="minorEastAsia"/>
                      <w:b/>
                      <w:bCs/>
                      <w:color w:val="auto"/>
                      <w:sz w:val="21"/>
                      <w:szCs w:val="21"/>
                    </w:rPr>
                    <w:t>）</w:t>
                  </w:r>
                </w:p>
              </w:tc>
              <w:tc>
                <w:tcPr>
                  <w:tcW w:w="982" w:type="dxa"/>
                  <w:tcBorders>
                    <w:tl2br w:val="nil"/>
                    <w:tr2bl w:val="nil"/>
                  </w:tcBorders>
                  <w:vAlign w:val="center"/>
                </w:tcPr>
                <w:p w14:paraId="033BF5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干燥基灰分（A</w:t>
                  </w:r>
                  <w:r>
                    <w:rPr>
                      <w:rFonts w:hint="default" w:ascii="Times New Roman" w:hAnsi="Times New Roman" w:cs="Times New Roman" w:eastAsiaTheme="minorEastAsia"/>
                      <w:b/>
                      <w:bCs/>
                      <w:color w:val="auto"/>
                      <w:sz w:val="21"/>
                      <w:szCs w:val="21"/>
                      <w:vertAlign w:val="subscript"/>
                    </w:rPr>
                    <w:t>d</w:t>
                  </w:r>
                  <w:r>
                    <w:rPr>
                      <w:rFonts w:hint="default" w:ascii="Times New Roman" w:hAnsi="Times New Roman" w:cs="Times New Roman" w:eastAsiaTheme="minorEastAsia"/>
                      <w:b/>
                      <w:bCs/>
                      <w:color w:val="auto"/>
                      <w:sz w:val="21"/>
                      <w:szCs w:val="21"/>
                    </w:rPr>
                    <w:t>）</w:t>
                  </w:r>
                </w:p>
              </w:tc>
              <w:tc>
                <w:tcPr>
                  <w:tcW w:w="1146" w:type="dxa"/>
                  <w:tcBorders>
                    <w:tl2br w:val="nil"/>
                    <w:tr2bl w:val="nil"/>
                  </w:tcBorders>
                  <w:vAlign w:val="center"/>
                </w:tcPr>
                <w:p w14:paraId="271FC3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干燥无灰基挥发分（V</w:t>
                  </w:r>
                  <w:r>
                    <w:rPr>
                      <w:rFonts w:hint="default" w:ascii="Times New Roman" w:hAnsi="Times New Roman" w:cs="Times New Roman" w:eastAsiaTheme="minorEastAsia"/>
                      <w:b/>
                      <w:bCs/>
                      <w:color w:val="auto"/>
                      <w:sz w:val="21"/>
                      <w:szCs w:val="21"/>
                      <w:vertAlign w:val="subscript"/>
                    </w:rPr>
                    <w:t>daf</w:t>
                  </w:r>
                  <w:r>
                    <w:rPr>
                      <w:rFonts w:hint="default" w:ascii="Times New Roman" w:hAnsi="Times New Roman" w:cs="Times New Roman" w:eastAsiaTheme="minorEastAsia"/>
                      <w:b/>
                      <w:bCs/>
                      <w:color w:val="auto"/>
                      <w:sz w:val="21"/>
                      <w:szCs w:val="21"/>
                    </w:rPr>
                    <w:t>）</w:t>
                  </w:r>
                </w:p>
              </w:tc>
              <w:tc>
                <w:tcPr>
                  <w:tcW w:w="1248" w:type="dxa"/>
                  <w:tcBorders>
                    <w:tl2br w:val="nil"/>
                    <w:tr2bl w:val="nil"/>
                  </w:tcBorders>
                  <w:vAlign w:val="center"/>
                </w:tcPr>
                <w:p w14:paraId="320E88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干燥基固定碳（FC</w:t>
                  </w:r>
                  <w:r>
                    <w:rPr>
                      <w:rFonts w:hint="default" w:ascii="Times New Roman" w:hAnsi="Times New Roman" w:cs="Times New Roman" w:eastAsiaTheme="minorEastAsia"/>
                      <w:b/>
                      <w:bCs/>
                      <w:color w:val="auto"/>
                      <w:sz w:val="21"/>
                      <w:szCs w:val="21"/>
                      <w:vertAlign w:val="subscript"/>
                    </w:rPr>
                    <w:t>d</w:t>
                  </w:r>
                  <w:r>
                    <w:rPr>
                      <w:rFonts w:hint="default" w:ascii="Times New Roman" w:hAnsi="Times New Roman" w:cs="Times New Roman" w:eastAsiaTheme="minorEastAsia"/>
                      <w:b/>
                      <w:bCs/>
                      <w:color w:val="auto"/>
                      <w:sz w:val="21"/>
                      <w:szCs w:val="21"/>
                    </w:rPr>
                    <w:t>）</w:t>
                  </w:r>
                </w:p>
              </w:tc>
              <w:tc>
                <w:tcPr>
                  <w:tcW w:w="1323" w:type="dxa"/>
                  <w:tcBorders>
                    <w:tl2br w:val="nil"/>
                    <w:tr2bl w:val="nil"/>
                  </w:tcBorders>
                  <w:vAlign w:val="center"/>
                </w:tcPr>
                <w:p w14:paraId="1ADAA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空气干燥基全硫（S</w:t>
                  </w:r>
                  <w:r>
                    <w:rPr>
                      <w:rFonts w:hint="default" w:ascii="Times New Roman" w:hAnsi="Times New Roman" w:cs="Times New Roman" w:eastAsiaTheme="minorEastAsia"/>
                      <w:b/>
                      <w:bCs/>
                      <w:color w:val="auto"/>
                      <w:sz w:val="21"/>
                      <w:szCs w:val="21"/>
                      <w:vertAlign w:val="subscript"/>
                    </w:rPr>
                    <w:t>t,ad</w:t>
                  </w:r>
                  <w:r>
                    <w:rPr>
                      <w:rFonts w:hint="default" w:ascii="Times New Roman" w:hAnsi="Times New Roman" w:cs="Times New Roman" w:eastAsiaTheme="minorEastAsia"/>
                      <w:b/>
                      <w:bCs/>
                      <w:color w:val="auto"/>
                      <w:sz w:val="21"/>
                      <w:szCs w:val="21"/>
                    </w:rPr>
                    <w:t>）</w:t>
                  </w:r>
                </w:p>
              </w:tc>
              <w:tc>
                <w:tcPr>
                  <w:tcW w:w="1170" w:type="dxa"/>
                  <w:tcBorders>
                    <w:tl2br w:val="nil"/>
                    <w:tr2bl w:val="nil"/>
                  </w:tcBorders>
                  <w:vAlign w:val="center"/>
                </w:tcPr>
                <w:p w14:paraId="136292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空气干燥基氢元素（H</w:t>
                  </w:r>
                  <w:r>
                    <w:rPr>
                      <w:rFonts w:hint="default" w:ascii="Times New Roman" w:hAnsi="Times New Roman" w:cs="Times New Roman" w:eastAsiaTheme="minorEastAsia"/>
                      <w:b/>
                      <w:bCs/>
                      <w:color w:val="auto"/>
                      <w:sz w:val="21"/>
                      <w:szCs w:val="21"/>
                      <w:vertAlign w:val="subscript"/>
                    </w:rPr>
                    <w:t>ad</w:t>
                  </w:r>
                  <w:r>
                    <w:rPr>
                      <w:rFonts w:hint="default" w:ascii="Times New Roman" w:hAnsi="Times New Roman" w:cs="Times New Roman" w:eastAsiaTheme="minorEastAsia"/>
                      <w:b/>
                      <w:bCs/>
                      <w:color w:val="auto"/>
                      <w:sz w:val="21"/>
                      <w:szCs w:val="21"/>
                    </w:rPr>
                    <w:t>）</w:t>
                  </w:r>
                </w:p>
              </w:tc>
            </w:tr>
            <w:tr w14:paraId="26D6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 w:type="dxa"/>
                  <w:tcBorders>
                    <w:tl2br w:val="nil"/>
                    <w:tr2bl w:val="nil"/>
                  </w:tcBorders>
                  <w:vAlign w:val="center"/>
                </w:tcPr>
                <w:p w14:paraId="01BBB5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5.7%</w:t>
                  </w:r>
                </w:p>
              </w:tc>
              <w:tc>
                <w:tcPr>
                  <w:tcW w:w="1179" w:type="dxa"/>
                  <w:tcBorders>
                    <w:tl2br w:val="nil"/>
                    <w:tr2bl w:val="nil"/>
                  </w:tcBorders>
                  <w:vAlign w:val="center"/>
                </w:tcPr>
                <w:p w14:paraId="731EFA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0.91%</w:t>
                  </w:r>
                </w:p>
              </w:tc>
              <w:tc>
                <w:tcPr>
                  <w:tcW w:w="982" w:type="dxa"/>
                  <w:tcBorders>
                    <w:tl2br w:val="nil"/>
                    <w:tr2bl w:val="nil"/>
                  </w:tcBorders>
                  <w:vAlign w:val="center"/>
                </w:tcPr>
                <w:p w14:paraId="2A087E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4.02%</w:t>
                  </w:r>
                </w:p>
              </w:tc>
              <w:tc>
                <w:tcPr>
                  <w:tcW w:w="1146" w:type="dxa"/>
                  <w:tcBorders>
                    <w:tl2br w:val="nil"/>
                    <w:tr2bl w:val="nil"/>
                  </w:tcBorders>
                  <w:vAlign w:val="center"/>
                </w:tcPr>
                <w:p w14:paraId="53EB90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80.37%</w:t>
                  </w:r>
                </w:p>
              </w:tc>
              <w:tc>
                <w:tcPr>
                  <w:tcW w:w="1248" w:type="dxa"/>
                  <w:tcBorders>
                    <w:tl2br w:val="nil"/>
                    <w:tr2bl w:val="nil"/>
                  </w:tcBorders>
                  <w:vAlign w:val="center"/>
                </w:tcPr>
                <w:p w14:paraId="054F93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18.84%</w:t>
                  </w:r>
                </w:p>
              </w:tc>
              <w:tc>
                <w:tcPr>
                  <w:tcW w:w="1323" w:type="dxa"/>
                  <w:tcBorders>
                    <w:tl2br w:val="nil"/>
                    <w:tr2bl w:val="nil"/>
                  </w:tcBorders>
                  <w:vAlign w:val="center"/>
                </w:tcPr>
                <w:p w14:paraId="6F51F2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0.03%</w:t>
                  </w:r>
                </w:p>
              </w:tc>
              <w:tc>
                <w:tcPr>
                  <w:tcW w:w="1170" w:type="dxa"/>
                  <w:tcBorders>
                    <w:tl2br w:val="nil"/>
                    <w:tr2bl w:val="nil"/>
                  </w:tcBorders>
                  <w:vAlign w:val="center"/>
                </w:tcPr>
                <w:p w14:paraId="4BD8CF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5.76%</w:t>
                  </w:r>
                </w:p>
              </w:tc>
            </w:tr>
            <w:tr w14:paraId="67E91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956" w:type="dxa"/>
                  <w:gridSpan w:val="3"/>
                  <w:tcBorders>
                    <w:tl2br w:val="nil"/>
                    <w:tr2bl w:val="nil"/>
                  </w:tcBorders>
                  <w:vAlign w:val="center"/>
                </w:tcPr>
                <w:p w14:paraId="4BF6FF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空气干燥基弹筒发热量（Q</w:t>
                  </w:r>
                  <w:r>
                    <w:rPr>
                      <w:rFonts w:hint="default" w:ascii="Times New Roman" w:hAnsi="Times New Roman" w:cs="Times New Roman" w:eastAsiaTheme="minorEastAsia"/>
                      <w:b w:val="0"/>
                      <w:bCs w:val="0"/>
                      <w:color w:val="auto"/>
                      <w:sz w:val="21"/>
                      <w:szCs w:val="21"/>
                      <w:vertAlign w:val="subscript"/>
                    </w:rPr>
                    <w:t>b,ad</w:t>
                  </w:r>
                  <w:r>
                    <w:rPr>
                      <w:rFonts w:hint="default" w:ascii="Times New Roman" w:hAnsi="Times New Roman" w:cs="Times New Roman" w:eastAsiaTheme="minorEastAsia"/>
                      <w:b w:val="0"/>
                      <w:bCs w:val="0"/>
                      <w:color w:val="auto"/>
                      <w:sz w:val="21"/>
                      <w:szCs w:val="21"/>
                    </w:rPr>
                    <w:t>）</w:t>
                  </w:r>
                </w:p>
                <w:p w14:paraId="15C873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（MJ/kg）</w:t>
                  </w:r>
                </w:p>
              </w:tc>
              <w:tc>
                <w:tcPr>
                  <w:tcW w:w="2394" w:type="dxa"/>
                  <w:gridSpan w:val="2"/>
                  <w:tcBorders>
                    <w:tl2br w:val="nil"/>
                    <w:tr2bl w:val="nil"/>
                  </w:tcBorders>
                  <w:vAlign w:val="center"/>
                </w:tcPr>
                <w:p w14:paraId="75DA6F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空气干燥基高位发热量（Q</w:t>
                  </w:r>
                  <w:r>
                    <w:rPr>
                      <w:rFonts w:hint="default" w:ascii="Times New Roman" w:hAnsi="Times New Roman" w:cs="Times New Roman" w:eastAsiaTheme="minorEastAsia"/>
                      <w:b w:val="0"/>
                      <w:bCs w:val="0"/>
                      <w:color w:val="auto"/>
                      <w:sz w:val="21"/>
                      <w:szCs w:val="21"/>
                      <w:vertAlign w:val="subscript"/>
                    </w:rPr>
                    <w:t>gr,ad</w:t>
                  </w:r>
                  <w:r>
                    <w:rPr>
                      <w:rFonts w:hint="default" w:ascii="Times New Roman" w:hAnsi="Times New Roman" w:cs="Times New Roman" w:eastAsiaTheme="minorEastAsia"/>
                      <w:b w:val="0"/>
                      <w:bCs w:val="0"/>
                      <w:color w:val="auto"/>
                      <w:sz w:val="21"/>
                      <w:szCs w:val="21"/>
                    </w:rPr>
                    <w:t>）</w:t>
                  </w:r>
                </w:p>
              </w:tc>
              <w:tc>
                <w:tcPr>
                  <w:tcW w:w="2493" w:type="dxa"/>
                  <w:gridSpan w:val="2"/>
                  <w:tcBorders>
                    <w:tl2br w:val="nil"/>
                    <w:tr2bl w:val="nil"/>
                  </w:tcBorders>
                  <w:vAlign w:val="center"/>
                </w:tcPr>
                <w:p w14:paraId="01207F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收到基恒容低位发热量（Q</w:t>
                  </w:r>
                  <w:r>
                    <w:rPr>
                      <w:rFonts w:hint="default" w:ascii="Times New Roman" w:hAnsi="Times New Roman" w:cs="Times New Roman" w:eastAsiaTheme="minorEastAsia"/>
                      <w:b w:val="0"/>
                      <w:bCs w:val="0"/>
                      <w:color w:val="auto"/>
                      <w:sz w:val="21"/>
                      <w:szCs w:val="21"/>
                      <w:vertAlign w:val="subscript"/>
                    </w:rPr>
                    <w:t>net,v,ar</w:t>
                  </w:r>
                  <w:r>
                    <w:rPr>
                      <w:rFonts w:hint="default" w:ascii="Times New Roman" w:hAnsi="Times New Roman" w:cs="Times New Roman" w:eastAsiaTheme="minorEastAsia"/>
                      <w:b w:val="0"/>
                      <w:bCs w:val="0"/>
                      <w:color w:val="auto"/>
                      <w:sz w:val="21"/>
                      <w:szCs w:val="21"/>
                    </w:rPr>
                    <w:t>）</w:t>
                  </w:r>
                </w:p>
              </w:tc>
            </w:tr>
            <w:tr w14:paraId="26090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2956" w:type="dxa"/>
                  <w:gridSpan w:val="3"/>
                  <w:tcBorders>
                    <w:tl2br w:val="nil"/>
                    <w:tr2bl w:val="nil"/>
                  </w:tcBorders>
                  <w:vAlign w:val="center"/>
                </w:tcPr>
                <w:p w14:paraId="2C27C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18.92MJ/kg</w:t>
                  </w:r>
                </w:p>
              </w:tc>
              <w:tc>
                <w:tcPr>
                  <w:tcW w:w="2394" w:type="dxa"/>
                  <w:gridSpan w:val="2"/>
                  <w:tcBorders>
                    <w:tl2br w:val="nil"/>
                    <w:tr2bl w:val="nil"/>
                  </w:tcBorders>
                  <w:vAlign w:val="center"/>
                </w:tcPr>
                <w:p w14:paraId="6CE66F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18.89MJ/kg</w:t>
                  </w:r>
                </w:p>
              </w:tc>
              <w:tc>
                <w:tcPr>
                  <w:tcW w:w="2493" w:type="dxa"/>
                  <w:gridSpan w:val="2"/>
                  <w:tcBorders>
                    <w:tl2br w:val="nil"/>
                    <w:tr2bl w:val="nil"/>
                  </w:tcBorders>
                  <w:vAlign w:val="center"/>
                </w:tcPr>
                <w:p w14:paraId="3B60B5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16.72MJ/kg</w:t>
                  </w:r>
                </w:p>
              </w:tc>
            </w:tr>
          </w:tbl>
          <w:p w14:paraId="56CE6B94">
            <w:pPr>
              <w:pStyle w:val="92"/>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auto"/>
              </w:rPr>
            </w:pPr>
            <w:bookmarkStart w:id="19" w:name="_Toc22720"/>
            <w:r>
              <w:rPr>
                <w:rFonts w:hint="default" w:ascii="Times New Roman" w:hAnsi="Times New Roman" w:cs="Times New Roman" w:eastAsiaTheme="minorEastAsia"/>
                <w:color w:val="auto"/>
              </w:rPr>
              <w:t>本项目设置</w:t>
            </w:r>
            <w:r>
              <w:rPr>
                <w:rFonts w:hint="default" w:ascii="Times New Roman" w:hAnsi="Times New Roman" w:cs="Times New Roman" w:eastAsiaTheme="minorEastAsia"/>
                <w:color w:val="auto"/>
                <w:lang w:val="en-US" w:eastAsia="zh-CN"/>
              </w:rPr>
              <w:t>1</w:t>
            </w:r>
            <w:r>
              <w:rPr>
                <w:rFonts w:hint="default" w:ascii="Times New Roman" w:hAnsi="Times New Roman" w:cs="Times New Roman" w:eastAsiaTheme="minorEastAsia"/>
                <w:color w:val="auto"/>
              </w:rPr>
              <w:t>台</w:t>
            </w: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rPr>
              <w:t>t/h的生物质蒸汽</w:t>
            </w:r>
            <w:r>
              <w:rPr>
                <w:rFonts w:hint="eastAsia" w:cs="Times New Roman" w:eastAsiaTheme="minorEastAsia"/>
                <w:color w:val="auto"/>
                <w:lang w:eastAsia="zh-CN"/>
              </w:rPr>
              <w:t>生物质蒸汽发生器</w:t>
            </w:r>
            <w:r>
              <w:rPr>
                <w:rFonts w:hint="default" w:ascii="Times New Roman" w:hAnsi="Times New Roman" w:cs="Times New Roman" w:eastAsiaTheme="minorEastAsia"/>
                <w:color w:val="auto"/>
              </w:rPr>
              <w:t>为发泡过程提供热量，</w:t>
            </w:r>
            <w:r>
              <w:rPr>
                <w:rFonts w:hint="eastAsia" w:cs="Times New Roman" w:eastAsiaTheme="minorEastAsia"/>
                <w:color w:val="auto"/>
                <w:lang w:eastAsia="zh-CN"/>
              </w:rPr>
              <w:t>生物质蒸汽发生器</w:t>
            </w:r>
            <w:r>
              <w:rPr>
                <w:rFonts w:hint="default" w:ascii="Times New Roman" w:hAnsi="Times New Roman" w:cs="Times New Roman" w:eastAsiaTheme="minorEastAsia"/>
                <w:color w:val="auto"/>
              </w:rPr>
              <w:t>使用燃料为生物质成型燃料，</w:t>
            </w:r>
            <w:r>
              <w:rPr>
                <w:rFonts w:hint="eastAsia" w:cs="Times New Roman" w:eastAsiaTheme="minorEastAsia"/>
                <w:color w:val="auto"/>
                <w:lang w:eastAsia="zh-CN"/>
              </w:rPr>
              <w:t>生物质蒸汽发生器</w:t>
            </w:r>
            <w:r>
              <w:rPr>
                <w:rFonts w:hint="default" w:ascii="Times New Roman" w:hAnsi="Times New Roman" w:cs="Times New Roman" w:eastAsiaTheme="minorEastAsia"/>
                <w:color w:val="auto"/>
              </w:rPr>
              <w:t>每年运营300天，每天工作8h，每年工作时间2400h。</w:t>
            </w:r>
            <w:r>
              <w:rPr>
                <w:rFonts w:hint="default" w:ascii="Times New Roman" w:hAnsi="Times New Roman" w:cs="Times New Roman" w:eastAsiaTheme="minorEastAsia"/>
                <w:bCs/>
                <w:color w:val="auto"/>
              </w:rPr>
              <w:t>本项目</w:t>
            </w:r>
            <w:r>
              <w:rPr>
                <w:rFonts w:hint="default" w:ascii="Times New Roman" w:hAnsi="Times New Roman" w:cs="Times New Roman" w:eastAsiaTheme="minorEastAsia"/>
                <w:color w:val="auto"/>
              </w:rPr>
              <w:t>使用的生物质燃料为</w:t>
            </w:r>
            <w:r>
              <w:rPr>
                <w:rFonts w:hint="default" w:ascii="Times New Roman" w:hAnsi="Times New Roman" w:cs="Times New Roman" w:eastAsiaTheme="minorEastAsia"/>
                <w:bCs/>
                <w:color w:val="auto"/>
                <w:spacing w:val="6"/>
              </w:rPr>
              <w:t>昆明翰朗伯宏能源有限公司提供</w:t>
            </w:r>
            <w:r>
              <w:rPr>
                <w:rFonts w:hint="default" w:ascii="Times New Roman" w:hAnsi="Times New Roman" w:cs="Times New Roman" w:eastAsiaTheme="minorEastAsia"/>
                <w:color w:val="auto"/>
              </w:rPr>
              <w:t>的成型生物质颗粒，根据生产厂家提供的生物质</w:t>
            </w:r>
            <w:r>
              <w:rPr>
                <w:rFonts w:hint="default" w:ascii="Times New Roman" w:hAnsi="Times New Roman" w:cs="Times New Roman" w:eastAsiaTheme="minorEastAsia"/>
                <w:color w:val="auto"/>
                <w:lang w:eastAsia="zh-CN"/>
              </w:rPr>
              <w:t>检测</w:t>
            </w:r>
            <w:r>
              <w:rPr>
                <w:rFonts w:hint="default" w:ascii="Times New Roman" w:hAnsi="Times New Roman" w:cs="Times New Roman" w:eastAsiaTheme="minorEastAsia"/>
                <w:color w:val="auto"/>
              </w:rPr>
              <w:t>报告可知生物质燃料各成分见表2-</w:t>
            </w:r>
            <w:r>
              <w:rPr>
                <w:rFonts w:hint="eastAsia" w:cs="Times New Roman" w:eastAsiaTheme="minorEastAsia"/>
                <w:color w:val="auto"/>
                <w:lang w:val="en-US" w:eastAsia="zh-CN"/>
              </w:rPr>
              <w:t>5</w:t>
            </w:r>
            <w:r>
              <w:rPr>
                <w:rFonts w:hint="default" w:ascii="Times New Roman" w:hAnsi="Times New Roman" w:cs="Times New Roman" w:eastAsiaTheme="minorEastAsia"/>
                <w:color w:val="auto"/>
              </w:rPr>
              <w:t>所示。</w:t>
            </w:r>
          </w:p>
          <w:p w14:paraId="28D70A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根据建设单位提供的资料可知，本项目拟安装的</w:t>
            </w:r>
            <w:r>
              <w:rPr>
                <w:rFonts w:hint="eastAsia" w:cs="Times New Roman" w:eastAsiaTheme="minorEastAsia"/>
                <w:color w:val="auto"/>
                <w:sz w:val="24"/>
                <w:lang w:eastAsia="zh-CN"/>
              </w:rPr>
              <w:t>生物质蒸汽发生器</w:t>
            </w:r>
            <w:r>
              <w:rPr>
                <w:rFonts w:hint="default" w:ascii="Times New Roman" w:hAnsi="Times New Roman" w:cs="Times New Roman" w:eastAsiaTheme="minorEastAsia"/>
                <w:color w:val="auto"/>
                <w:sz w:val="24"/>
              </w:rPr>
              <w:t>各参数见表</w:t>
            </w:r>
            <w:r>
              <w:rPr>
                <w:rFonts w:hint="eastAsia" w:cs="Times New Roman" w:eastAsiaTheme="minorEastAsia"/>
                <w:color w:val="auto"/>
                <w:sz w:val="24"/>
                <w:lang w:val="en-US" w:eastAsia="zh-CN"/>
              </w:rPr>
              <w:t>2-6</w:t>
            </w:r>
            <w:r>
              <w:rPr>
                <w:rFonts w:hint="default" w:ascii="Times New Roman" w:hAnsi="Times New Roman" w:cs="Times New Roman" w:eastAsiaTheme="minorEastAsia"/>
                <w:color w:val="auto"/>
                <w:sz w:val="24"/>
              </w:rPr>
              <w:t>所示。</w:t>
            </w:r>
          </w:p>
          <w:p w14:paraId="79775EA3">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ascii="Times New Roman" w:hAnsi="Times New Roman" w:cs="Times New Roman"/>
                <w:color w:val="auto"/>
                <w:sz w:val="24"/>
                <w:szCs w:val="32"/>
              </w:rPr>
              <w:t>表</w:t>
            </w:r>
            <w:r>
              <w:rPr>
                <w:rFonts w:hint="eastAsia" w:cs="Times New Roman"/>
                <w:color w:val="auto"/>
                <w:sz w:val="24"/>
                <w:szCs w:val="32"/>
                <w:lang w:val="en-US" w:eastAsia="zh-CN"/>
              </w:rPr>
              <w:t>2-6</w:t>
            </w:r>
            <w:r>
              <w:rPr>
                <w:rFonts w:hint="default" w:ascii="Times New Roman" w:hAnsi="Times New Roman" w:cs="Times New Roman"/>
                <w:color w:val="auto"/>
                <w:sz w:val="24"/>
                <w:szCs w:val="32"/>
              </w:rPr>
              <w:t xml:space="preserve"> </w:t>
            </w:r>
            <w:r>
              <w:rPr>
                <w:rFonts w:hint="eastAsia" w:cs="Times New Roman"/>
                <w:color w:val="auto"/>
                <w:sz w:val="24"/>
                <w:szCs w:val="32"/>
                <w:lang w:val="en-US" w:eastAsia="zh-CN"/>
              </w:rPr>
              <w:t>生物质蒸汽发生器</w:t>
            </w:r>
            <w:r>
              <w:rPr>
                <w:rFonts w:hint="default" w:ascii="Times New Roman" w:hAnsi="Times New Roman" w:cs="Times New Roman"/>
                <w:color w:val="auto"/>
                <w:sz w:val="24"/>
                <w:szCs w:val="32"/>
              </w:rPr>
              <w:t>基本参数</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199"/>
              <w:gridCol w:w="1123"/>
              <w:gridCol w:w="884"/>
              <w:gridCol w:w="984"/>
              <w:gridCol w:w="959"/>
              <w:gridCol w:w="1273"/>
            </w:tblGrid>
            <w:tr w14:paraId="0BC8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289" w:type="dxa"/>
                  <w:tcBorders>
                    <w:tl2br w:val="nil"/>
                    <w:tr2bl w:val="nil"/>
                  </w:tcBorders>
                  <w:vAlign w:val="center"/>
                </w:tcPr>
                <w:p w14:paraId="42076190">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rPr>
                  </w:pPr>
                  <w:r>
                    <w:rPr>
                      <w:rFonts w:hint="eastAsia" w:cs="Times New Roman" w:eastAsiaTheme="minorEastAsia"/>
                      <w:b/>
                      <w:bCs/>
                      <w:color w:val="auto"/>
                      <w:sz w:val="21"/>
                      <w:szCs w:val="21"/>
                      <w:lang w:eastAsia="zh-CN"/>
                    </w:rPr>
                    <w:t>生物质蒸汽发生器</w:t>
                  </w:r>
                  <w:r>
                    <w:rPr>
                      <w:rFonts w:hint="default" w:ascii="Times New Roman" w:hAnsi="Times New Roman" w:cs="Times New Roman" w:eastAsiaTheme="minorEastAsia"/>
                      <w:b/>
                      <w:bCs/>
                      <w:color w:val="auto"/>
                      <w:sz w:val="21"/>
                      <w:szCs w:val="21"/>
                    </w:rPr>
                    <w:t>型号</w:t>
                  </w:r>
                </w:p>
              </w:tc>
              <w:tc>
                <w:tcPr>
                  <w:tcW w:w="1088" w:type="dxa"/>
                  <w:tcBorders>
                    <w:tl2br w:val="nil"/>
                    <w:tr2bl w:val="nil"/>
                  </w:tcBorders>
                  <w:vAlign w:val="center"/>
                </w:tcPr>
                <w:p w14:paraId="67484958">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额定蒸发量</w:t>
                  </w:r>
                </w:p>
              </w:tc>
              <w:tc>
                <w:tcPr>
                  <w:tcW w:w="1019" w:type="dxa"/>
                  <w:tcBorders>
                    <w:tl2br w:val="nil"/>
                    <w:tr2bl w:val="nil"/>
                  </w:tcBorders>
                  <w:vAlign w:val="center"/>
                </w:tcPr>
                <w:p w14:paraId="0FF25D1A">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额定蒸汽压力</w:t>
                  </w:r>
                </w:p>
              </w:tc>
              <w:tc>
                <w:tcPr>
                  <w:tcW w:w="802" w:type="dxa"/>
                  <w:tcBorders>
                    <w:tl2br w:val="nil"/>
                    <w:tr2bl w:val="nil"/>
                  </w:tcBorders>
                  <w:vAlign w:val="center"/>
                </w:tcPr>
                <w:p w14:paraId="230C6190">
                  <w:pPr>
                    <w:pStyle w:val="19"/>
                    <w:keepNext/>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给水温度</w:t>
                  </w:r>
                </w:p>
              </w:tc>
              <w:tc>
                <w:tcPr>
                  <w:tcW w:w="893" w:type="dxa"/>
                  <w:tcBorders>
                    <w:tl2br w:val="nil"/>
                    <w:tr2bl w:val="nil"/>
                  </w:tcBorders>
                  <w:vAlign w:val="center"/>
                </w:tcPr>
                <w:p w14:paraId="19023DB0">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出口蒸汽温度</w:t>
                  </w:r>
                </w:p>
              </w:tc>
              <w:tc>
                <w:tcPr>
                  <w:tcW w:w="870" w:type="dxa"/>
                  <w:tcBorders>
                    <w:tl2br w:val="nil"/>
                    <w:tr2bl w:val="nil"/>
                  </w:tcBorders>
                  <w:vAlign w:val="center"/>
                </w:tcPr>
                <w:p w14:paraId="65C8CCDE">
                  <w:pPr>
                    <w:pStyle w:val="19"/>
                    <w:keepNext/>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排烟温度</w:t>
                  </w:r>
                </w:p>
              </w:tc>
              <w:tc>
                <w:tcPr>
                  <w:tcW w:w="1154" w:type="dxa"/>
                  <w:tcBorders>
                    <w:tl2br w:val="nil"/>
                    <w:tr2bl w:val="nil"/>
                  </w:tcBorders>
                  <w:vAlign w:val="center"/>
                </w:tcPr>
                <w:p w14:paraId="29A8C496">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rPr>
                  </w:pPr>
                  <w:r>
                    <w:rPr>
                      <w:rFonts w:hint="eastAsia" w:cs="Times New Roman" w:eastAsiaTheme="minorEastAsia"/>
                      <w:b/>
                      <w:bCs/>
                      <w:color w:val="auto"/>
                      <w:sz w:val="21"/>
                      <w:szCs w:val="21"/>
                      <w:lang w:eastAsia="zh-CN"/>
                    </w:rPr>
                    <w:t>生物质蒸汽发生器</w:t>
                  </w:r>
                  <w:r>
                    <w:rPr>
                      <w:rFonts w:hint="default" w:ascii="Times New Roman" w:hAnsi="Times New Roman" w:cs="Times New Roman" w:eastAsiaTheme="minorEastAsia"/>
                      <w:b/>
                      <w:bCs/>
                      <w:color w:val="auto"/>
                      <w:sz w:val="21"/>
                      <w:szCs w:val="21"/>
                    </w:rPr>
                    <w:t>设计热效率</w:t>
                  </w:r>
                </w:p>
              </w:tc>
            </w:tr>
            <w:tr w14:paraId="0CA6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289" w:type="dxa"/>
                  <w:tcBorders>
                    <w:tl2br w:val="nil"/>
                    <w:tr2bl w:val="nil"/>
                  </w:tcBorders>
                  <w:vAlign w:val="center"/>
                </w:tcPr>
                <w:p w14:paraId="08130017">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WHG3.0</w:t>
                  </w:r>
                </w:p>
              </w:tc>
              <w:tc>
                <w:tcPr>
                  <w:tcW w:w="1088" w:type="dxa"/>
                  <w:tcBorders>
                    <w:tl2br w:val="nil"/>
                    <w:tr2bl w:val="nil"/>
                  </w:tcBorders>
                  <w:vAlign w:val="center"/>
                </w:tcPr>
                <w:p w14:paraId="1D9370E3">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t/h</w:t>
                  </w:r>
                </w:p>
              </w:tc>
              <w:tc>
                <w:tcPr>
                  <w:tcW w:w="1019" w:type="dxa"/>
                  <w:tcBorders>
                    <w:tl2br w:val="nil"/>
                    <w:tr2bl w:val="nil"/>
                  </w:tcBorders>
                  <w:vAlign w:val="center"/>
                </w:tcPr>
                <w:p w14:paraId="41EE6040">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1.25Mpa</w:t>
                  </w:r>
                </w:p>
              </w:tc>
              <w:tc>
                <w:tcPr>
                  <w:tcW w:w="802" w:type="dxa"/>
                  <w:tcBorders>
                    <w:tl2br w:val="nil"/>
                    <w:tr2bl w:val="nil"/>
                  </w:tcBorders>
                  <w:vAlign w:val="center"/>
                </w:tcPr>
                <w:p w14:paraId="1DDF2C06">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893" w:type="dxa"/>
                  <w:tcBorders>
                    <w:tl2br w:val="nil"/>
                    <w:tr2bl w:val="nil"/>
                  </w:tcBorders>
                  <w:vAlign w:val="center"/>
                </w:tcPr>
                <w:p w14:paraId="3620685F">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194℃</w:t>
                  </w:r>
                </w:p>
              </w:tc>
              <w:tc>
                <w:tcPr>
                  <w:tcW w:w="870" w:type="dxa"/>
                  <w:tcBorders>
                    <w:tl2br w:val="nil"/>
                    <w:tr2bl w:val="nil"/>
                  </w:tcBorders>
                  <w:vAlign w:val="center"/>
                </w:tcPr>
                <w:p w14:paraId="38FB8CE8">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≤160℃</w:t>
                  </w:r>
                </w:p>
              </w:tc>
              <w:tc>
                <w:tcPr>
                  <w:tcW w:w="1154" w:type="dxa"/>
                  <w:tcBorders>
                    <w:tl2br w:val="nil"/>
                    <w:tr2bl w:val="nil"/>
                  </w:tcBorders>
                  <w:vAlign w:val="center"/>
                </w:tcPr>
                <w:p w14:paraId="141A87BB">
                  <w:pPr>
                    <w:pStyle w:val="19"/>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86.8%</w:t>
                  </w:r>
                </w:p>
              </w:tc>
            </w:tr>
          </w:tbl>
          <w:p w14:paraId="62E42F35">
            <w:pPr>
              <w:spacing w:line="360" w:lineRule="auto"/>
              <w:ind w:firstLine="480" w:firstLineChars="200"/>
              <w:jc w:val="left"/>
              <w:rPr>
                <w:color w:val="auto"/>
                <w:sz w:val="24"/>
              </w:rPr>
            </w:pPr>
            <w:r>
              <w:rPr>
                <w:color w:val="auto"/>
                <w:sz w:val="24"/>
              </w:rPr>
              <w:t>生物质燃料用量根据《环境统计手册》进行计算，其计算方法如下：</w:t>
            </w:r>
          </w:p>
          <w:p w14:paraId="3DD4C568">
            <w:pPr>
              <w:spacing w:line="360" w:lineRule="auto"/>
              <w:ind w:firstLine="1440" w:firstLineChars="600"/>
              <w:jc w:val="both"/>
              <w:rPr>
                <w:color w:val="auto"/>
                <w:sz w:val="24"/>
              </w:rPr>
            </w:pPr>
            <w:r>
              <w:rPr>
                <w:color w:val="auto"/>
                <w:position w:val="-30"/>
                <w:sz w:val="24"/>
              </w:rPr>
              <w:object>
                <v:shape id="_x0000_i1025" o:spt="75" type="#_x0000_t75" style="height:36pt;width:75pt;" o:ole="t" filled="f" o:preferrelative="t" stroked="f" coordsize="21600,21600">
                  <v:path/>
                  <v:fill on="f" focussize="0,0"/>
                  <v:stroke on="f" joinstyle="miter"/>
                  <v:imagedata r:id="rId19" o:title=""/>
                  <o:lock v:ext="edit" aspectratio="t"/>
                  <w10:wrap type="none"/>
                  <w10:anchorlock/>
                </v:shape>
                <o:OLEObject Type="Embed" ProgID="Equation.KSEE3" ShapeID="_x0000_i1025" DrawAspect="Content" ObjectID="_1468075725" r:id="rId18">
                  <o:LockedField>false</o:LockedField>
                </o:OLEObject>
              </w:object>
            </w:r>
            <w:r>
              <w:rPr>
                <w:color w:val="auto"/>
                <w:position w:val="-30"/>
                <w:sz w:val="24"/>
              </w:rPr>
              <w:t xml:space="preserve">    </w:t>
            </w:r>
          </w:p>
          <w:p w14:paraId="1E6C2385">
            <w:pPr>
              <w:spacing w:line="360" w:lineRule="auto"/>
              <w:ind w:firstLine="480" w:firstLineChars="200"/>
              <w:jc w:val="left"/>
              <w:rPr>
                <w:color w:val="auto"/>
                <w:sz w:val="24"/>
              </w:rPr>
            </w:pPr>
            <w:r>
              <w:rPr>
                <w:color w:val="auto"/>
                <w:sz w:val="24"/>
              </w:rPr>
              <w:t>式中：B——</w:t>
            </w:r>
            <w:r>
              <w:rPr>
                <w:rFonts w:hint="eastAsia"/>
                <w:color w:val="auto"/>
                <w:sz w:val="24"/>
                <w:lang w:eastAsia="zh-CN"/>
              </w:rPr>
              <w:t>生物质蒸汽发生器</w:t>
            </w:r>
            <w:r>
              <w:rPr>
                <w:color w:val="auto"/>
                <w:sz w:val="24"/>
              </w:rPr>
              <w:t>燃料耗量（单位kg/h）；</w:t>
            </w:r>
          </w:p>
          <w:p w14:paraId="3C57D8C7">
            <w:pPr>
              <w:spacing w:line="360" w:lineRule="auto"/>
              <w:ind w:firstLine="1200" w:firstLineChars="500"/>
              <w:jc w:val="left"/>
              <w:rPr>
                <w:color w:val="auto"/>
                <w:sz w:val="24"/>
              </w:rPr>
            </w:pPr>
            <w:r>
              <w:rPr>
                <w:color w:val="auto"/>
                <w:sz w:val="24"/>
              </w:rPr>
              <w:t>D——</w:t>
            </w:r>
            <w:r>
              <w:rPr>
                <w:rFonts w:hint="eastAsia"/>
                <w:color w:val="auto"/>
                <w:sz w:val="24"/>
                <w:lang w:eastAsia="zh-CN"/>
              </w:rPr>
              <w:t>生物质蒸汽发生器</w:t>
            </w:r>
            <w:r>
              <w:rPr>
                <w:color w:val="auto"/>
                <w:sz w:val="24"/>
              </w:rPr>
              <w:t>产气量（单位kg/h），本项目</w:t>
            </w:r>
            <w:r>
              <w:rPr>
                <w:rFonts w:hint="eastAsia"/>
                <w:color w:val="auto"/>
                <w:sz w:val="24"/>
                <w:lang w:eastAsia="zh-CN"/>
              </w:rPr>
              <w:t>生物质蒸汽发生器</w:t>
            </w:r>
            <w:r>
              <w:rPr>
                <w:color w:val="auto"/>
                <w:sz w:val="24"/>
              </w:rPr>
              <w:t>为</w:t>
            </w:r>
            <w:r>
              <w:rPr>
                <w:rFonts w:hint="eastAsia"/>
                <w:color w:val="auto"/>
                <w:sz w:val="24"/>
                <w:lang w:val="en-US" w:eastAsia="zh-CN"/>
              </w:rPr>
              <w:t>3</w:t>
            </w:r>
            <w:r>
              <w:rPr>
                <w:color w:val="auto"/>
                <w:sz w:val="24"/>
              </w:rPr>
              <w:t>000kg/h；</w:t>
            </w:r>
          </w:p>
          <w:p w14:paraId="74CC357E">
            <w:pPr>
              <w:spacing w:line="360" w:lineRule="auto"/>
              <w:ind w:firstLine="1200" w:firstLineChars="500"/>
              <w:jc w:val="left"/>
              <w:rPr>
                <w:color w:val="auto"/>
                <w:sz w:val="24"/>
              </w:rPr>
            </w:pPr>
            <w:r>
              <w:rPr>
                <w:color w:val="auto"/>
                <w:sz w:val="24"/>
              </w:rPr>
              <w:t>Q</w:t>
            </w:r>
            <w:r>
              <w:rPr>
                <w:color w:val="auto"/>
                <w:sz w:val="24"/>
                <w:vertAlign w:val="subscript"/>
              </w:rPr>
              <w:t>L</w:t>
            </w:r>
            <w:r>
              <w:rPr>
                <w:color w:val="auto"/>
                <w:sz w:val="24"/>
              </w:rPr>
              <w:t>——燃料的低位发热值（单位kJ/kg）。根据厂家提供的生物质检验报告可知，本项目使用的生物质成型颗粒燃料低位发热值为</w:t>
            </w:r>
            <w:r>
              <w:rPr>
                <w:rFonts w:hint="eastAsia"/>
                <w:color w:val="auto"/>
                <w:sz w:val="24"/>
              </w:rPr>
              <w:t>1672</w:t>
            </w:r>
            <w:r>
              <w:rPr>
                <w:color w:val="auto"/>
                <w:sz w:val="24"/>
              </w:rPr>
              <w:t>0kJ/kg；</w:t>
            </w:r>
          </w:p>
          <w:p w14:paraId="51D6FE35">
            <w:pPr>
              <w:spacing w:line="360" w:lineRule="auto"/>
              <w:ind w:firstLine="1200" w:firstLineChars="500"/>
              <w:jc w:val="left"/>
              <w:rPr>
                <w:color w:val="auto"/>
                <w:sz w:val="24"/>
              </w:rPr>
            </w:pPr>
            <w:r>
              <w:rPr>
                <w:color w:val="auto"/>
                <w:sz w:val="24"/>
              </w:rPr>
              <w:t>n——</w:t>
            </w:r>
            <w:r>
              <w:rPr>
                <w:rFonts w:hint="eastAsia"/>
                <w:color w:val="auto"/>
                <w:sz w:val="24"/>
                <w:lang w:eastAsia="zh-CN"/>
              </w:rPr>
              <w:t>生物质蒸汽发生器</w:t>
            </w:r>
            <w:r>
              <w:rPr>
                <w:color w:val="auto"/>
                <w:sz w:val="24"/>
              </w:rPr>
              <w:t>的热效率，项目</w:t>
            </w:r>
            <w:r>
              <w:rPr>
                <w:rFonts w:hint="eastAsia"/>
                <w:color w:val="auto"/>
                <w:sz w:val="24"/>
                <w:lang w:eastAsia="zh-CN"/>
              </w:rPr>
              <w:t>生物质蒸汽发生器</w:t>
            </w:r>
            <w:r>
              <w:rPr>
                <w:color w:val="auto"/>
                <w:sz w:val="24"/>
              </w:rPr>
              <w:t>热效率为86.8%；</w:t>
            </w:r>
          </w:p>
          <w:p w14:paraId="046B5BE8">
            <w:pPr>
              <w:spacing w:line="360" w:lineRule="auto"/>
              <w:ind w:firstLine="1200" w:firstLineChars="500"/>
              <w:jc w:val="left"/>
              <w:rPr>
                <w:color w:val="auto"/>
                <w:sz w:val="24"/>
              </w:rPr>
            </w:pPr>
            <w:r>
              <w:rPr>
                <w:color w:val="auto"/>
                <w:position w:val="-4"/>
                <w:sz w:val="24"/>
              </w:rPr>
              <w:t>i"</w:t>
            </w:r>
            <w:r>
              <w:rPr>
                <w:color w:val="auto"/>
                <w:sz w:val="24"/>
              </w:rPr>
              <w:t>——</w:t>
            </w:r>
            <w:r>
              <w:rPr>
                <w:rFonts w:hint="eastAsia"/>
                <w:color w:val="auto"/>
                <w:sz w:val="24"/>
                <w:lang w:eastAsia="zh-CN"/>
              </w:rPr>
              <w:t>生物质蒸汽发生器</w:t>
            </w:r>
            <w:r>
              <w:rPr>
                <w:color w:val="auto"/>
                <w:sz w:val="24"/>
              </w:rPr>
              <w:t>在绝对工作压力下的饱和蒸汽热焓值（单位kJ/kg），项目</w:t>
            </w:r>
            <w:r>
              <w:rPr>
                <w:rFonts w:hint="eastAsia"/>
                <w:color w:val="auto"/>
                <w:sz w:val="24"/>
                <w:lang w:eastAsia="zh-CN"/>
              </w:rPr>
              <w:t>生物质蒸汽发生器</w:t>
            </w:r>
            <w:r>
              <w:rPr>
                <w:color w:val="auto"/>
                <w:sz w:val="24"/>
              </w:rPr>
              <w:t>额定蒸汽压力为1.25MPa，经查询蒸汽热焓值为2785.14kJ/kg；</w:t>
            </w:r>
          </w:p>
          <w:p w14:paraId="512A8976">
            <w:pPr>
              <w:spacing w:line="360" w:lineRule="auto"/>
              <w:ind w:firstLine="1200" w:firstLineChars="500"/>
              <w:jc w:val="left"/>
              <w:rPr>
                <w:color w:val="auto"/>
                <w:sz w:val="24"/>
              </w:rPr>
            </w:pPr>
            <w:r>
              <w:rPr>
                <w:color w:val="auto"/>
                <w:position w:val="-4"/>
                <w:sz w:val="24"/>
              </w:rPr>
              <w:t>i’</w:t>
            </w:r>
            <w:r>
              <w:rPr>
                <w:color w:val="auto"/>
                <w:sz w:val="24"/>
              </w:rPr>
              <w:t>——</w:t>
            </w:r>
            <w:r>
              <w:rPr>
                <w:rFonts w:hint="eastAsia"/>
                <w:color w:val="auto"/>
                <w:sz w:val="24"/>
                <w:lang w:eastAsia="zh-CN"/>
              </w:rPr>
              <w:t>生物质蒸汽发生器</w:t>
            </w:r>
            <w:r>
              <w:rPr>
                <w:color w:val="auto"/>
                <w:sz w:val="24"/>
              </w:rPr>
              <w:t>给水热焓值（单位kJ/kg），本项目</w:t>
            </w:r>
            <w:r>
              <w:rPr>
                <w:rFonts w:hint="eastAsia"/>
                <w:color w:val="auto"/>
                <w:sz w:val="24"/>
                <w:lang w:eastAsia="zh-CN"/>
              </w:rPr>
              <w:t>生物质蒸汽发生器</w:t>
            </w:r>
            <w:r>
              <w:rPr>
                <w:color w:val="auto"/>
                <w:sz w:val="24"/>
              </w:rPr>
              <w:t>给水温度为20℃，给水热焓值为83.71kJ/kg；</w:t>
            </w:r>
          </w:p>
          <w:p w14:paraId="45269945">
            <w:pPr>
              <w:pStyle w:val="19"/>
              <w:spacing w:after="0" w:line="348" w:lineRule="auto"/>
              <w:ind w:left="0" w:leftChars="0" w:firstLine="480"/>
              <w:jc w:val="left"/>
              <w:rPr>
                <w:rFonts w:hint="default" w:eastAsia="宋体"/>
                <w:color w:val="auto"/>
                <w:sz w:val="24"/>
                <w:lang w:val="en-US" w:eastAsia="zh-CN"/>
              </w:rPr>
            </w:pPr>
            <w:r>
              <w:rPr>
                <w:color w:val="auto"/>
                <w:sz w:val="24"/>
              </w:rPr>
              <w:t>经以上公式及</w:t>
            </w:r>
            <w:r>
              <w:rPr>
                <w:rFonts w:hint="eastAsia"/>
                <w:color w:val="auto"/>
                <w:sz w:val="24"/>
                <w:lang w:eastAsia="zh-CN"/>
              </w:rPr>
              <w:t>生物质蒸汽发生器</w:t>
            </w:r>
            <w:r>
              <w:rPr>
                <w:color w:val="auto"/>
                <w:sz w:val="24"/>
              </w:rPr>
              <w:t>参数计算得出，本项目</w:t>
            </w:r>
            <w:r>
              <w:rPr>
                <w:rFonts w:hint="eastAsia"/>
                <w:color w:val="auto"/>
                <w:sz w:val="24"/>
                <w:lang w:val="en-US" w:eastAsia="zh-CN"/>
              </w:rPr>
              <w:t>3</w:t>
            </w:r>
            <w:r>
              <w:rPr>
                <w:color w:val="auto"/>
                <w:spacing w:val="6"/>
                <w:sz w:val="24"/>
              </w:rPr>
              <w:t>t/h</w:t>
            </w:r>
            <w:r>
              <w:rPr>
                <w:rFonts w:hint="eastAsia"/>
                <w:color w:val="auto"/>
                <w:spacing w:val="6"/>
                <w:sz w:val="24"/>
                <w:lang w:val="en-US" w:eastAsia="zh-CN"/>
              </w:rPr>
              <w:t>生物质蒸汽发生器</w:t>
            </w:r>
            <w:r>
              <w:rPr>
                <w:color w:val="auto"/>
                <w:sz w:val="24"/>
              </w:rPr>
              <w:t>满负荷运行时生物质燃料用量为</w:t>
            </w:r>
            <w:r>
              <w:rPr>
                <w:rFonts w:hint="eastAsia"/>
                <w:color w:val="auto"/>
                <w:sz w:val="24"/>
                <w:lang w:val="en-US" w:eastAsia="zh-CN"/>
              </w:rPr>
              <w:t>558.42</w:t>
            </w:r>
            <w:r>
              <w:rPr>
                <w:color w:val="auto"/>
                <w:sz w:val="24"/>
              </w:rPr>
              <w:t>kg/h，</w:t>
            </w:r>
            <w:r>
              <w:rPr>
                <w:rFonts w:hint="eastAsia"/>
                <w:color w:val="auto"/>
                <w:sz w:val="24"/>
                <w:lang w:val="en-US" w:eastAsia="zh-CN"/>
              </w:rPr>
              <w:t>4.47</w:t>
            </w:r>
            <w:r>
              <w:rPr>
                <w:color w:val="auto"/>
                <w:sz w:val="24"/>
              </w:rPr>
              <w:t>t/d，</w:t>
            </w:r>
            <w:r>
              <w:rPr>
                <w:rFonts w:hint="eastAsia"/>
                <w:color w:val="auto"/>
                <w:sz w:val="24"/>
                <w:lang w:val="en-US" w:eastAsia="zh-CN"/>
              </w:rPr>
              <w:t>1341</w:t>
            </w:r>
            <w:r>
              <w:rPr>
                <w:color w:val="auto"/>
                <w:sz w:val="24"/>
              </w:rPr>
              <w:t>t/a</w:t>
            </w:r>
            <w:r>
              <w:rPr>
                <w:rFonts w:hint="eastAsia"/>
                <w:color w:val="auto"/>
                <w:sz w:val="24"/>
                <w:lang w:eastAsia="zh-CN"/>
              </w:rPr>
              <w:t>，</w:t>
            </w:r>
            <w:r>
              <w:rPr>
                <w:rFonts w:hint="eastAsia"/>
                <w:color w:val="auto"/>
                <w:sz w:val="24"/>
                <w:lang w:val="en-US" w:eastAsia="zh-CN"/>
              </w:rPr>
              <w:t>考虑损耗情况，本项目生物质燃料按年消耗1500t/a计。</w:t>
            </w:r>
          </w:p>
          <w:p w14:paraId="580DFA32">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w:t>
            </w:r>
            <w:r>
              <w:rPr>
                <w:rFonts w:hint="eastAsia" w:cs="Times New Roman"/>
                <w:b/>
                <w:bCs/>
                <w:color w:val="auto"/>
                <w:lang w:val="en-US" w:eastAsia="zh-CN"/>
              </w:rPr>
              <w:t>3</w:t>
            </w:r>
            <w:r>
              <w:rPr>
                <w:rFonts w:hint="default" w:ascii="Times New Roman" w:hAnsi="Times New Roman" w:eastAsia="宋体" w:cs="Times New Roman"/>
                <w:b/>
                <w:bCs/>
                <w:color w:val="auto"/>
                <w:lang w:eastAsia="zh-CN"/>
              </w:rPr>
              <w:t>）物料平衡</w:t>
            </w:r>
          </w:p>
          <w:p w14:paraId="5B1DD840">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lang w:eastAsia="zh-CN"/>
              </w:rPr>
              <w:t>营运期</w:t>
            </w:r>
            <w:r>
              <w:rPr>
                <w:rFonts w:hint="default" w:ascii="Times New Roman" w:hAnsi="Times New Roman" w:eastAsia="宋体" w:cs="Times New Roman"/>
                <w:color w:val="auto"/>
                <w:lang w:val="en-US" w:eastAsia="zh-CN"/>
              </w:rPr>
              <w:t>原料物料</w:t>
            </w:r>
            <w:r>
              <w:rPr>
                <w:rFonts w:hint="default" w:ascii="Times New Roman" w:hAnsi="Times New Roman" w:eastAsia="宋体" w:cs="Times New Roman"/>
                <w:color w:val="auto"/>
                <w:lang w:eastAsia="zh-CN"/>
              </w:rPr>
              <w:t>平衡表见表 2-</w:t>
            </w:r>
            <w:r>
              <w:rPr>
                <w:rFonts w:hint="eastAsia" w:cs="Times New Roman"/>
                <w:color w:val="auto"/>
                <w:lang w:val="en-US" w:eastAsia="zh-CN"/>
              </w:rPr>
              <w:t>7</w:t>
            </w:r>
            <w:r>
              <w:rPr>
                <w:rFonts w:hint="default" w:ascii="Times New Roman" w:hAnsi="Times New Roman" w:eastAsia="宋体" w:cs="Times New Roman"/>
                <w:color w:val="auto"/>
                <w:lang w:val="en-US" w:eastAsia="zh-CN"/>
              </w:rPr>
              <w:t>，物料平衡图详见下图2-1</w:t>
            </w:r>
            <w:r>
              <w:rPr>
                <w:rFonts w:hint="default" w:ascii="Times New Roman" w:hAnsi="Times New Roman" w:eastAsia="宋体" w:cs="Times New Roman"/>
                <w:color w:val="auto"/>
                <w:lang w:eastAsia="zh-CN"/>
              </w:rPr>
              <w:t>。</w:t>
            </w:r>
          </w:p>
          <w:p w14:paraId="3994C5DA">
            <w:pPr>
              <w:pStyle w:val="15"/>
              <w:ind w:left="0" w:leftChars="0" w:firstLine="0" w:firstLineChars="0"/>
              <w:rPr>
                <w:rFonts w:hint="default" w:ascii="Times New Roman" w:hAnsi="Times New Roman" w:eastAsia="宋体" w:cs="Times New Roman"/>
                <w:b/>
                <w:bCs/>
                <w:color w:val="auto"/>
                <w:sz w:val="24"/>
                <w:szCs w:val="24"/>
                <w:lang w:val="en-US" w:eastAsia="zh-CN"/>
              </w:rPr>
            </w:pPr>
            <w:r>
              <w:rPr>
                <w:rFonts w:hint="eastAsia"/>
                <w:color w:val="auto"/>
                <w:lang w:val="en-US" w:eastAsia="zh-CN"/>
              </w:rPr>
              <w:object>
                <v:shape id="_x0000_i1026" o:spt="75" type="#_x0000_t75" style="height:224.1pt;width:377.8pt;" o:ole="t" filled="f" o:preferrelative="t" stroked="f" coordsize="21600,21600">
                  <v:path/>
                  <v:fill on="f" focussize="0,0"/>
                  <v:stroke on="f"/>
                  <v:imagedata r:id="rId21" o:title=""/>
                  <o:lock v:ext="edit" aspectratio="f"/>
                  <w10:wrap type="none"/>
                  <w10:anchorlock/>
                </v:shape>
                <o:OLEObject Type="Embed" ProgID="Visio.Drawing.11" ShapeID="_x0000_i1026" DrawAspect="Content" ObjectID="_1468075726" r:id="rId20">
                  <o:LockedField>false</o:LockedField>
                </o:OLEObject>
              </w:object>
            </w:r>
          </w:p>
          <w:p w14:paraId="108424F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eastAsiaTheme="minorEastAsia"/>
                <w:b/>
                <w:bCs w:val="0"/>
                <w:color w:val="auto"/>
                <w:kern w:val="2"/>
                <w:sz w:val="24"/>
                <w:szCs w:val="24"/>
                <w:lang w:val="en-US" w:eastAsia="zh-CN" w:bidi="ar-SA"/>
              </w:rPr>
            </w:pPr>
            <w:r>
              <w:rPr>
                <w:rFonts w:hint="default" w:ascii="Times New Roman" w:hAnsi="Times New Roman" w:cs="Times New Roman" w:eastAsiaTheme="minorEastAsia"/>
                <w:b/>
                <w:bCs w:val="0"/>
                <w:color w:val="auto"/>
                <w:kern w:val="2"/>
                <w:sz w:val="24"/>
                <w:szCs w:val="24"/>
                <w:lang w:val="en-US" w:eastAsia="zh-CN" w:bidi="ar-SA"/>
              </w:rPr>
              <w:t>图2-</w:t>
            </w:r>
            <w:r>
              <w:rPr>
                <w:rFonts w:hint="eastAsia" w:ascii="Times New Roman" w:hAnsi="Times New Roman" w:cs="Times New Roman" w:eastAsiaTheme="minorEastAsia"/>
                <w:b/>
                <w:bCs w:val="0"/>
                <w:color w:val="auto"/>
                <w:kern w:val="2"/>
                <w:sz w:val="24"/>
                <w:szCs w:val="24"/>
                <w:lang w:val="en-US" w:eastAsia="zh-CN" w:bidi="ar-SA"/>
              </w:rPr>
              <w:t>1</w:t>
            </w:r>
            <w:r>
              <w:rPr>
                <w:rFonts w:hint="default" w:ascii="Times New Roman" w:hAnsi="Times New Roman" w:cs="Times New Roman" w:eastAsiaTheme="minorEastAsia"/>
                <w:b/>
                <w:bCs w:val="0"/>
                <w:color w:val="auto"/>
                <w:kern w:val="2"/>
                <w:sz w:val="24"/>
                <w:szCs w:val="24"/>
                <w:lang w:val="en-US" w:eastAsia="zh-CN" w:bidi="ar-SA"/>
              </w:rPr>
              <w:t xml:space="preserve"> 物料平衡图</w:t>
            </w:r>
          </w:p>
          <w:p w14:paraId="2F40F175">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color w:val="auto"/>
                <w:lang w:val="en-US" w:eastAsia="zh-CN"/>
              </w:rPr>
            </w:pPr>
            <w:r>
              <w:rPr>
                <w:rFonts w:hint="default" w:ascii="Times New Roman" w:hAnsi="Times New Roman" w:eastAsia="宋体" w:cs="Times New Roman"/>
                <w:color w:val="auto"/>
                <w:sz w:val="24"/>
                <w:lang w:val="en-US" w:eastAsia="zh-CN"/>
              </w:rPr>
              <w:t>项目物料平衡详见下</w:t>
            </w:r>
            <w:r>
              <w:rPr>
                <w:rFonts w:hint="eastAsia" w:cs="Times New Roman"/>
                <w:color w:val="auto"/>
                <w:sz w:val="24"/>
                <w:lang w:val="en-US" w:eastAsia="zh-CN"/>
              </w:rPr>
              <w:t>表</w:t>
            </w:r>
            <w:r>
              <w:rPr>
                <w:rFonts w:hint="default" w:ascii="Times New Roman" w:hAnsi="Times New Roman" w:eastAsia="宋体" w:cs="Times New Roman"/>
                <w:color w:val="auto"/>
                <w:sz w:val="24"/>
                <w:lang w:val="en-US" w:eastAsia="zh-CN"/>
              </w:rPr>
              <w:t>2-</w:t>
            </w:r>
            <w:r>
              <w:rPr>
                <w:rFonts w:hint="eastAsia" w:cs="Times New Roman"/>
                <w:color w:val="auto"/>
                <w:sz w:val="24"/>
                <w:lang w:val="en-US" w:eastAsia="zh-CN"/>
              </w:rPr>
              <w:t>7</w:t>
            </w:r>
            <w:r>
              <w:rPr>
                <w:rFonts w:hint="eastAsia" w:ascii="Times New Roman" w:hAnsi="Times New Roman" w:eastAsia="宋体" w:cs="Times New Roman"/>
                <w:color w:val="auto"/>
                <w:sz w:val="24"/>
                <w:lang w:val="en-US" w:eastAsia="zh-CN"/>
              </w:rPr>
              <w:t>。</w:t>
            </w:r>
          </w:p>
          <w:p w14:paraId="48E53DB2">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表2-</w:t>
            </w:r>
            <w:r>
              <w:rPr>
                <w:rFonts w:hint="eastAsia" w:cs="Times New Roman"/>
                <w:color w:val="auto"/>
                <w:sz w:val="24"/>
                <w:szCs w:val="32"/>
                <w:lang w:val="en-US" w:eastAsia="zh-CN"/>
              </w:rPr>
              <w:t>7</w:t>
            </w:r>
            <w:r>
              <w:rPr>
                <w:rFonts w:hint="default" w:ascii="Times New Roman" w:hAnsi="Times New Roman" w:eastAsia="宋体" w:cs="Times New Roman"/>
                <w:color w:val="auto"/>
                <w:sz w:val="24"/>
                <w:szCs w:val="32"/>
              </w:rPr>
              <w:t xml:space="preserve"> </w:t>
            </w:r>
            <w:r>
              <w:rPr>
                <w:rFonts w:hint="eastAsia" w:cs="Times New Roman"/>
                <w:color w:val="auto"/>
                <w:sz w:val="24"/>
                <w:szCs w:val="32"/>
                <w:lang w:val="en-US" w:eastAsia="zh-CN"/>
              </w:rPr>
              <w:t xml:space="preserve"> </w:t>
            </w:r>
            <w:r>
              <w:rPr>
                <w:rFonts w:hint="default" w:ascii="Times New Roman" w:hAnsi="Times New Roman" w:eastAsia="宋体" w:cs="Times New Roman"/>
                <w:color w:val="auto"/>
                <w:sz w:val="24"/>
                <w:szCs w:val="32"/>
              </w:rPr>
              <w:t>物料平衡表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334"/>
              <w:gridCol w:w="1334"/>
              <w:gridCol w:w="884"/>
              <w:gridCol w:w="1979"/>
              <w:gridCol w:w="1746"/>
            </w:tblGrid>
            <w:tr w14:paraId="494B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restart"/>
                  <w:vAlign w:val="center"/>
                </w:tcPr>
                <w:p w14:paraId="6D7D2AC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车间</w:t>
                  </w:r>
                </w:p>
              </w:tc>
              <w:tc>
                <w:tcPr>
                  <w:tcW w:w="1701" w:type="pct"/>
                  <w:gridSpan w:val="2"/>
                  <w:vAlign w:val="center"/>
                </w:tcPr>
                <w:p w14:paraId="2026C95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投入</w:t>
                  </w:r>
                </w:p>
              </w:tc>
              <w:tc>
                <w:tcPr>
                  <w:tcW w:w="2939" w:type="pct"/>
                  <w:gridSpan w:val="3"/>
                  <w:vAlign w:val="center"/>
                </w:tcPr>
                <w:p w14:paraId="11652CE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产出</w:t>
                  </w:r>
                </w:p>
              </w:tc>
            </w:tr>
            <w:tr w14:paraId="3EBE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59" w:type="pct"/>
                  <w:vMerge w:val="continue"/>
                  <w:vAlign w:val="center"/>
                </w:tcPr>
                <w:p w14:paraId="161A290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p>
              </w:tc>
              <w:tc>
                <w:tcPr>
                  <w:tcW w:w="850" w:type="pct"/>
                  <w:vAlign w:val="center"/>
                </w:tcPr>
                <w:p w14:paraId="5BD4DA9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原料名称</w:t>
                  </w:r>
                </w:p>
              </w:tc>
              <w:tc>
                <w:tcPr>
                  <w:tcW w:w="850" w:type="pct"/>
                  <w:vAlign w:val="center"/>
                </w:tcPr>
                <w:p w14:paraId="375438D6">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使用量（t/a）</w:t>
                  </w:r>
                </w:p>
              </w:tc>
              <w:tc>
                <w:tcPr>
                  <w:tcW w:w="563" w:type="pct"/>
                  <w:vAlign w:val="center"/>
                </w:tcPr>
                <w:p w14:paraId="550BDD1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类别</w:t>
                  </w:r>
                </w:p>
              </w:tc>
              <w:tc>
                <w:tcPr>
                  <w:tcW w:w="1262" w:type="pct"/>
                  <w:vAlign w:val="center"/>
                </w:tcPr>
                <w:p w14:paraId="2767B35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1113" w:type="pct"/>
                  <w:vAlign w:val="center"/>
                </w:tcPr>
                <w:p w14:paraId="4B09C0C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产出量（t/a）</w:t>
                  </w:r>
                </w:p>
              </w:tc>
            </w:tr>
            <w:tr w14:paraId="6AE2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359" w:type="pct"/>
                  <w:vMerge w:val="restart"/>
                  <w:vAlign w:val="center"/>
                </w:tcPr>
                <w:p w14:paraId="795B507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生产区</w:t>
                  </w:r>
                </w:p>
              </w:tc>
              <w:tc>
                <w:tcPr>
                  <w:tcW w:w="850" w:type="pct"/>
                  <w:vMerge w:val="restart"/>
                  <w:vAlign w:val="center"/>
                </w:tcPr>
                <w:p w14:paraId="265F60E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可发性聚苯乙烯（EPS）</w:t>
                  </w:r>
                </w:p>
              </w:tc>
              <w:tc>
                <w:tcPr>
                  <w:tcW w:w="850" w:type="pct"/>
                  <w:vMerge w:val="restart"/>
                  <w:vAlign w:val="center"/>
                </w:tcPr>
                <w:p w14:paraId="79DD4800">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100.3566</w:t>
                  </w:r>
                  <w:r>
                    <w:rPr>
                      <w:rFonts w:hint="default" w:ascii="Times New Roman" w:hAnsi="Times New Roman" w:eastAsia="宋体" w:cs="Times New Roman"/>
                      <w:bCs/>
                      <w:color w:val="auto"/>
                      <w:sz w:val="21"/>
                      <w:szCs w:val="21"/>
                    </w:rPr>
                    <w:t>t/a</w:t>
                  </w:r>
                </w:p>
              </w:tc>
              <w:tc>
                <w:tcPr>
                  <w:tcW w:w="563" w:type="pct"/>
                  <w:vAlign w:val="center"/>
                </w:tcPr>
                <w:p w14:paraId="2D17570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产品</w:t>
                  </w:r>
                </w:p>
              </w:tc>
              <w:tc>
                <w:tcPr>
                  <w:tcW w:w="1262" w:type="pct"/>
                  <w:vAlign w:val="center"/>
                </w:tcPr>
                <w:p w14:paraId="2FBC879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sz w:val="21"/>
                      <w:szCs w:val="21"/>
                      <w:highlight w:val="none"/>
                    </w:rPr>
                    <w:t>EPS</w:t>
                  </w:r>
                  <w:r>
                    <w:rPr>
                      <w:rFonts w:hint="eastAsia" w:ascii="Times New Roman" w:hAnsi="Times New Roman" w:eastAsia="宋体" w:cs="Times New Roman"/>
                      <w:bCs/>
                      <w:color w:val="auto"/>
                      <w:sz w:val="21"/>
                      <w:szCs w:val="21"/>
                      <w:lang w:val="en-US" w:eastAsia="zh-CN"/>
                    </w:rPr>
                    <w:t>塑料颗粒</w:t>
                  </w:r>
                </w:p>
              </w:tc>
              <w:tc>
                <w:tcPr>
                  <w:tcW w:w="1113" w:type="pct"/>
                  <w:vAlign w:val="center"/>
                </w:tcPr>
                <w:p w14:paraId="772C85C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r>
            <w:tr w14:paraId="33267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continue"/>
                  <w:vAlign w:val="center"/>
                </w:tcPr>
                <w:p w14:paraId="1163D99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eastAsia="zh-CN"/>
                    </w:rPr>
                  </w:pPr>
                </w:p>
              </w:tc>
              <w:tc>
                <w:tcPr>
                  <w:tcW w:w="850" w:type="pct"/>
                  <w:vMerge w:val="continue"/>
                  <w:vAlign w:val="center"/>
                </w:tcPr>
                <w:p w14:paraId="3EFC1F5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p>
              </w:tc>
              <w:tc>
                <w:tcPr>
                  <w:tcW w:w="850" w:type="pct"/>
                  <w:vMerge w:val="continue"/>
                  <w:vAlign w:val="center"/>
                </w:tcPr>
                <w:p w14:paraId="437DEDD6">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bCs/>
                      <w:color w:val="auto"/>
                      <w:kern w:val="2"/>
                      <w:sz w:val="21"/>
                      <w:szCs w:val="21"/>
                      <w:lang w:val="en-US" w:eastAsia="zh-CN" w:bidi="ar-SA"/>
                    </w:rPr>
                  </w:pPr>
                </w:p>
              </w:tc>
              <w:tc>
                <w:tcPr>
                  <w:tcW w:w="563" w:type="pct"/>
                  <w:vMerge w:val="restart"/>
                  <w:vAlign w:val="center"/>
                </w:tcPr>
                <w:p w14:paraId="223EA1C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其他</w:t>
                  </w:r>
                </w:p>
              </w:tc>
              <w:tc>
                <w:tcPr>
                  <w:tcW w:w="1262" w:type="pct"/>
                  <w:vAlign w:val="center"/>
                </w:tcPr>
                <w:p w14:paraId="6572EB36">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非甲烷总烃</w:t>
                  </w:r>
                </w:p>
              </w:tc>
              <w:tc>
                <w:tcPr>
                  <w:tcW w:w="1113" w:type="pct"/>
                  <w:vAlign w:val="center"/>
                </w:tcPr>
                <w:p w14:paraId="551E68B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w:t>
                  </w:r>
                </w:p>
              </w:tc>
            </w:tr>
            <w:tr w14:paraId="4F6D3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continue"/>
                  <w:vAlign w:val="center"/>
                </w:tcPr>
                <w:p w14:paraId="735B124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eastAsia="zh-CN"/>
                    </w:rPr>
                  </w:pPr>
                </w:p>
              </w:tc>
              <w:tc>
                <w:tcPr>
                  <w:tcW w:w="850" w:type="pct"/>
                  <w:vAlign w:val="center"/>
                </w:tcPr>
                <w:p w14:paraId="628982EF">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Cs/>
                      <w:color w:val="auto"/>
                      <w:kern w:val="2"/>
                      <w:sz w:val="21"/>
                      <w:szCs w:val="21"/>
                      <w:lang w:val="en-US" w:eastAsia="zh-CN" w:bidi="ar-SA"/>
                    </w:rPr>
                  </w:pPr>
                </w:p>
              </w:tc>
              <w:tc>
                <w:tcPr>
                  <w:tcW w:w="850" w:type="pct"/>
                  <w:vAlign w:val="center"/>
                </w:tcPr>
                <w:p w14:paraId="77708682">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Cs/>
                      <w:color w:val="auto"/>
                      <w:kern w:val="2"/>
                      <w:sz w:val="21"/>
                      <w:szCs w:val="21"/>
                      <w:lang w:val="en-US" w:eastAsia="zh-CN" w:bidi="ar-SA"/>
                    </w:rPr>
                  </w:pPr>
                </w:p>
              </w:tc>
              <w:tc>
                <w:tcPr>
                  <w:tcW w:w="563" w:type="pct"/>
                  <w:vMerge w:val="continue"/>
                  <w:vAlign w:val="center"/>
                </w:tcPr>
                <w:p w14:paraId="31304CC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p>
              </w:tc>
              <w:tc>
                <w:tcPr>
                  <w:tcW w:w="1262" w:type="pct"/>
                  <w:vAlign w:val="center"/>
                </w:tcPr>
                <w:p w14:paraId="7460E18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甲苯</w:t>
                  </w:r>
                </w:p>
              </w:tc>
              <w:tc>
                <w:tcPr>
                  <w:tcW w:w="1113" w:type="pct"/>
                  <w:vAlign w:val="center"/>
                </w:tcPr>
                <w:p w14:paraId="3FCD6BE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0.0042</w:t>
                  </w:r>
                </w:p>
              </w:tc>
            </w:tr>
            <w:tr w14:paraId="3235E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continue"/>
                  <w:vAlign w:val="center"/>
                </w:tcPr>
                <w:p w14:paraId="6AE6401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p>
              </w:tc>
              <w:tc>
                <w:tcPr>
                  <w:tcW w:w="850" w:type="pct"/>
                  <w:vAlign w:val="center"/>
                </w:tcPr>
                <w:p w14:paraId="65F4C9AD">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850" w:type="pct"/>
                  <w:vAlign w:val="center"/>
                </w:tcPr>
                <w:p w14:paraId="75A96AE8">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w:t>
                  </w:r>
                </w:p>
              </w:tc>
              <w:tc>
                <w:tcPr>
                  <w:tcW w:w="563" w:type="pct"/>
                  <w:vMerge w:val="continue"/>
                  <w:vAlign w:val="center"/>
                </w:tcPr>
                <w:p w14:paraId="5B029F8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p>
              </w:tc>
              <w:tc>
                <w:tcPr>
                  <w:tcW w:w="1262" w:type="pct"/>
                  <w:vAlign w:val="center"/>
                </w:tcPr>
                <w:p w14:paraId="7FA133FF">
                  <w:pPr>
                    <w:pStyle w:val="5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乙苯</w:t>
                  </w:r>
                </w:p>
              </w:tc>
              <w:tc>
                <w:tcPr>
                  <w:tcW w:w="1113" w:type="pct"/>
                  <w:vAlign w:val="center"/>
                </w:tcPr>
                <w:p w14:paraId="56742B26">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0.0021</w:t>
                  </w:r>
                </w:p>
              </w:tc>
            </w:tr>
            <w:tr w14:paraId="52C9C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continue"/>
                  <w:vAlign w:val="center"/>
                </w:tcPr>
                <w:p w14:paraId="0D796EB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p>
              </w:tc>
              <w:tc>
                <w:tcPr>
                  <w:tcW w:w="850" w:type="pct"/>
                  <w:vAlign w:val="center"/>
                </w:tcPr>
                <w:p w14:paraId="6B19AB55">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Cs/>
                      <w:color w:val="auto"/>
                      <w:kern w:val="2"/>
                      <w:sz w:val="21"/>
                      <w:szCs w:val="21"/>
                      <w:lang w:val="en-US" w:eastAsia="zh-CN" w:bidi="ar-SA"/>
                    </w:rPr>
                  </w:pPr>
                </w:p>
              </w:tc>
              <w:tc>
                <w:tcPr>
                  <w:tcW w:w="850" w:type="pct"/>
                  <w:vAlign w:val="center"/>
                </w:tcPr>
                <w:p w14:paraId="6B25B9E1">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Cs/>
                      <w:color w:val="auto"/>
                      <w:kern w:val="2"/>
                      <w:sz w:val="21"/>
                      <w:szCs w:val="21"/>
                      <w:lang w:val="en-US" w:eastAsia="zh-CN" w:bidi="ar-SA"/>
                    </w:rPr>
                  </w:pPr>
                </w:p>
              </w:tc>
              <w:tc>
                <w:tcPr>
                  <w:tcW w:w="563" w:type="pct"/>
                  <w:vMerge w:val="continue"/>
                  <w:vAlign w:val="center"/>
                </w:tcPr>
                <w:p w14:paraId="44E14DA6">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p>
              </w:tc>
              <w:tc>
                <w:tcPr>
                  <w:tcW w:w="1262" w:type="pct"/>
                  <w:shd w:val="clear" w:color="auto" w:fill="auto"/>
                  <w:vAlign w:val="center"/>
                </w:tcPr>
                <w:p w14:paraId="4806FD75">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苯乙烯</w:t>
                  </w:r>
                </w:p>
              </w:tc>
              <w:tc>
                <w:tcPr>
                  <w:tcW w:w="1113" w:type="pct"/>
                  <w:shd w:val="clear" w:color="auto" w:fill="auto"/>
                  <w:vAlign w:val="center"/>
                </w:tcPr>
                <w:p w14:paraId="4ABAEA60">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0.0003</w:t>
                  </w:r>
                </w:p>
              </w:tc>
            </w:tr>
            <w:tr w14:paraId="2919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9" w:type="pct"/>
                  <w:vMerge w:val="continue"/>
                  <w:vAlign w:val="center"/>
                </w:tcPr>
                <w:p w14:paraId="58F5825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p>
              </w:tc>
              <w:tc>
                <w:tcPr>
                  <w:tcW w:w="850" w:type="pct"/>
                  <w:vAlign w:val="center"/>
                </w:tcPr>
                <w:p w14:paraId="2C6D1DA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p>
              </w:tc>
              <w:tc>
                <w:tcPr>
                  <w:tcW w:w="850" w:type="pct"/>
                  <w:vAlign w:val="center"/>
                </w:tcPr>
                <w:p w14:paraId="7ECBA67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p>
              </w:tc>
              <w:tc>
                <w:tcPr>
                  <w:tcW w:w="563" w:type="pct"/>
                  <w:vMerge w:val="continue"/>
                  <w:vAlign w:val="center"/>
                </w:tcPr>
                <w:p w14:paraId="39B8874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p>
              </w:tc>
              <w:tc>
                <w:tcPr>
                  <w:tcW w:w="1262" w:type="pct"/>
                  <w:vAlign w:val="center"/>
                </w:tcPr>
                <w:p w14:paraId="7AE373F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颗粒物</w:t>
                  </w:r>
                </w:p>
              </w:tc>
              <w:tc>
                <w:tcPr>
                  <w:tcW w:w="1113" w:type="pct"/>
                  <w:vAlign w:val="center"/>
                </w:tcPr>
                <w:p w14:paraId="5B5B772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0.2</w:t>
                  </w:r>
                </w:p>
              </w:tc>
            </w:tr>
            <w:tr w14:paraId="52C1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trPr>
              <w:tc>
                <w:tcPr>
                  <w:tcW w:w="359" w:type="pct"/>
                  <w:vMerge w:val="continue"/>
                  <w:vAlign w:val="center"/>
                </w:tcPr>
                <w:p w14:paraId="3160E10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p>
              </w:tc>
              <w:tc>
                <w:tcPr>
                  <w:tcW w:w="850" w:type="pct"/>
                  <w:vAlign w:val="center"/>
                </w:tcPr>
                <w:p w14:paraId="208828F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合计</w:t>
                  </w:r>
                </w:p>
              </w:tc>
              <w:tc>
                <w:tcPr>
                  <w:tcW w:w="850" w:type="pct"/>
                  <w:vAlign w:val="center"/>
                </w:tcPr>
                <w:p w14:paraId="632A358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100.3566</w:t>
                  </w:r>
                  <w:r>
                    <w:rPr>
                      <w:rFonts w:hint="default" w:ascii="Times New Roman" w:hAnsi="Times New Roman" w:eastAsia="宋体" w:cs="Times New Roman"/>
                      <w:bCs/>
                      <w:color w:val="auto"/>
                      <w:sz w:val="21"/>
                      <w:szCs w:val="21"/>
                    </w:rPr>
                    <w:t>t/a</w:t>
                  </w:r>
                </w:p>
              </w:tc>
              <w:tc>
                <w:tcPr>
                  <w:tcW w:w="563" w:type="pct"/>
                  <w:vAlign w:val="center"/>
                </w:tcPr>
                <w:p w14:paraId="003421D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合计</w:t>
                  </w:r>
                </w:p>
              </w:tc>
              <w:tc>
                <w:tcPr>
                  <w:tcW w:w="1262" w:type="pct"/>
                  <w:vAlign w:val="center"/>
                </w:tcPr>
                <w:p w14:paraId="23916126">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c>
                <w:tcPr>
                  <w:tcW w:w="1113" w:type="pct"/>
                  <w:vAlign w:val="center"/>
                </w:tcPr>
                <w:p w14:paraId="217EE67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100.3566</w:t>
                  </w:r>
                </w:p>
              </w:tc>
            </w:tr>
            <w:tr w14:paraId="4980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000" w:type="pct"/>
                  <w:gridSpan w:val="6"/>
                  <w:vAlign w:val="center"/>
                </w:tcPr>
                <w:p w14:paraId="39F1DEAF">
                  <w:pPr>
                    <w:pStyle w:val="56"/>
                    <w:keepNext w:val="0"/>
                    <w:keepLines w:val="0"/>
                    <w:pageBreakBefore w:val="0"/>
                    <w:widowControl w:val="0"/>
                    <w:kinsoku/>
                    <w:wordWrap/>
                    <w:overflowPunct/>
                    <w:topLinePunct w:val="0"/>
                    <w:autoSpaceDE/>
                    <w:autoSpaceDN/>
                    <w:bidi w:val="0"/>
                    <w:adjustRightInd/>
                    <w:snapToGrid/>
                    <w:jc w:val="both"/>
                    <w:textAlignment w:val="auto"/>
                    <w:rPr>
                      <w:rFonts w:hint="eastAsia" w:ascii="Times New Roman" w:hAnsi="Times New Roman" w:cs="Times New Roman" w:eastAsiaTheme="minorEastAsia"/>
                      <w:bCs/>
                      <w:color w:val="auto"/>
                      <w:sz w:val="21"/>
                      <w:szCs w:val="21"/>
                      <w:lang w:val="en-US" w:eastAsia="zh-CN"/>
                    </w:rPr>
                  </w:pPr>
                  <w:r>
                    <w:rPr>
                      <w:rFonts w:hint="eastAsia" w:ascii="Times New Roman" w:hAnsi="Times New Roman" w:cs="Times New Roman" w:eastAsiaTheme="minorEastAsia"/>
                      <w:b/>
                      <w:bCs w:val="0"/>
                      <w:color w:val="auto"/>
                      <w:sz w:val="21"/>
                      <w:szCs w:val="21"/>
                      <w:lang w:val="en-US" w:eastAsia="zh-CN"/>
                    </w:rPr>
                    <w:t>备注：</w:t>
                  </w:r>
                  <w:r>
                    <w:rPr>
                      <w:rFonts w:hint="eastAsia" w:ascii="Times New Roman" w:hAnsi="Times New Roman" w:cs="Times New Roman" w:eastAsiaTheme="minorEastAsia"/>
                      <w:bCs/>
                      <w:color w:val="auto"/>
                      <w:sz w:val="21"/>
                      <w:szCs w:val="21"/>
                      <w:lang w:val="en-US" w:eastAsia="zh-CN"/>
                    </w:rPr>
                    <w:t>1、</w:t>
                  </w:r>
                  <w:r>
                    <w:rPr>
                      <w:rFonts w:hint="default" w:ascii="Times New Roman" w:hAnsi="Times New Roman" w:cs="Times New Roman" w:eastAsiaTheme="minorEastAsia"/>
                      <w:bCs/>
                      <w:color w:val="auto"/>
                      <w:sz w:val="21"/>
                      <w:szCs w:val="21"/>
                      <w:lang w:val="en-US" w:eastAsia="zh-CN"/>
                    </w:rPr>
                    <w:t>根据建设单位提供的资料，可发性聚苯乙烯（EPS）年购入量约为</w:t>
                  </w:r>
                  <w:r>
                    <w:rPr>
                      <w:rFonts w:hint="eastAsia" w:ascii="Times New Roman" w:hAnsi="Times New Roman" w:cs="Times New Roman" w:eastAsiaTheme="minorEastAsia"/>
                      <w:bCs/>
                      <w:color w:val="auto"/>
                      <w:sz w:val="21"/>
                      <w:szCs w:val="21"/>
                      <w:lang w:val="en-US" w:eastAsia="zh-CN"/>
                    </w:rPr>
                    <w:t>110</w:t>
                  </w:r>
                  <w:r>
                    <w:rPr>
                      <w:rFonts w:hint="default" w:ascii="Times New Roman" w:hAnsi="Times New Roman" w:cs="Times New Roman" w:eastAsiaTheme="minorEastAsia"/>
                      <w:bCs/>
                      <w:color w:val="auto"/>
                      <w:sz w:val="21"/>
                      <w:szCs w:val="21"/>
                      <w:lang w:val="en-US" w:eastAsia="zh-CN"/>
                    </w:rPr>
                    <w:t>吨，生产时根据需要进行投加，投加量约为</w:t>
                  </w:r>
                  <w:r>
                    <w:rPr>
                      <w:rFonts w:hint="eastAsia" w:ascii="Times New Roman" w:hAnsi="Times New Roman" w:cs="Times New Roman" w:eastAsiaTheme="minorEastAsia"/>
                      <w:bCs/>
                      <w:color w:val="auto"/>
                      <w:sz w:val="21"/>
                      <w:szCs w:val="21"/>
                      <w:lang w:val="en-US" w:eastAsia="zh-CN"/>
                    </w:rPr>
                    <w:t>100.3566</w:t>
                  </w:r>
                  <w:r>
                    <w:rPr>
                      <w:rFonts w:hint="default" w:ascii="Times New Roman" w:hAnsi="Times New Roman" w:cs="Times New Roman" w:eastAsiaTheme="minorEastAsia"/>
                      <w:bCs/>
                      <w:color w:val="auto"/>
                      <w:sz w:val="21"/>
                      <w:szCs w:val="21"/>
                      <w:lang w:val="en-US" w:eastAsia="zh-CN"/>
                    </w:rPr>
                    <w:t>吨，剩余的物料并入下一年的生产</w:t>
                  </w:r>
                  <w:r>
                    <w:rPr>
                      <w:rFonts w:hint="eastAsia" w:ascii="Times New Roman" w:hAnsi="Times New Roman" w:cs="Times New Roman" w:eastAsiaTheme="minorEastAsia"/>
                      <w:bCs/>
                      <w:color w:val="auto"/>
                      <w:sz w:val="21"/>
                      <w:szCs w:val="21"/>
                      <w:lang w:val="en-US" w:eastAsia="zh-CN"/>
                    </w:rPr>
                    <w:t>；</w:t>
                  </w:r>
                </w:p>
                <w:p w14:paraId="424B0BE0">
                  <w:pPr>
                    <w:pStyle w:val="56"/>
                    <w:keepNext w:val="0"/>
                    <w:keepLines w:val="0"/>
                    <w:pageBreakBefore w:val="0"/>
                    <w:widowControl w:val="0"/>
                    <w:kinsoku/>
                    <w:wordWrap/>
                    <w:overflowPunct/>
                    <w:topLinePunct w:val="0"/>
                    <w:autoSpaceDE/>
                    <w:autoSpaceDN/>
                    <w:bidi w:val="0"/>
                    <w:adjustRightInd/>
                    <w:snapToGrid/>
                    <w:ind w:firstLine="630" w:firstLineChars="300"/>
                    <w:jc w:val="both"/>
                    <w:textAlignment w:val="auto"/>
                    <w:rPr>
                      <w:rFonts w:hint="default"/>
                      <w:color w:val="auto"/>
                      <w:lang w:val="en-US" w:eastAsia="zh-CN"/>
                    </w:rPr>
                  </w:pPr>
                  <w:r>
                    <w:rPr>
                      <w:rFonts w:hint="eastAsia" w:ascii="Times New Roman" w:hAnsi="Times New Roman" w:cs="Times New Roman" w:eastAsiaTheme="minorEastAsia"/>
                      <w:bCs/>
                      <w:color w:val="auto"/>
                      <w:sz w:val="21"/>
                      <w:szCs w:val="21"/>
                      <w:lang w:val="en-US" w:eastAsia="zh-CN"/>
                    </w:rPr>
                    <w:t>2、颗粒物产生量为0.5t/a，其中，无组织排放量为0.2t/a，其余0.3t/a经车间内自然沉降，经人工清扫收集后，回用于生产，不外排</w:t>
                  </w:r>
                </w:p>
              </w:tc>
            </w:tr>
          </w:tbl>
          <w:p w14:paraId="164FD29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7</w:t>
            </w:r>
            <w:r>
              <w:rPr>
                <w:rFonts w:hint="default" w:ascii="Times New Roman" w:hAnsi="Times New Roman" w:eastAsia="宋体" w:cs="Times New Roman"/>
                <w:b/>
                <w:bCs/>
                <w:color w:val="auto"/>
                <w:lang w:val="en-US" w:eastAsia="zh-CN"/>
              </w:rPr>
              <w:t>、水平衡</w:t>
            </w:r>
            <w:bookmarkEnd w:id="19"/>
          </w:p>
          <w:p w14:paraId="17FCF362">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本项目采用</w:t>
            </w:r>
            <w:r>
              <w:rPr>
                <w:rFonts w:hint="default" w:ascii="Times New Roman" w:hAnsi="Times New Roman" w:eastAsia="宋体" w:cs="Times New Roman"/>
                <w:color w:val="auto"/>
                <w:sz w:val="24"/>
              </w:rPr>
              <w:t>雨污分流制</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雨水</w:t>
            </w:r>
            <w:r>
              <w:rPr>
                <w:rFonts w:hint="default" w:ascii="Times New Roman" w:hAnsi="Times New Roman" w:eastAsia="宋体" w:cs="Times New Roman"/>
                <w:color w:val="auto"/>
                <w:sz w:val="24"/>
              </w:rPr>
              <w:t>经厂区雨水沟收集后排入附近排水沟</w:t>
            </w:r>
            <w:r>
              <w:rPr>
                <w:rFonts w:hint="eastAsia" w:ascii="Times New Roman" w:hAnsi="Times New Roman" w:eastAsia="宋体" w:cs="Times New Roman"/>
                <w:color w:val="auto"/>
                <w:sz w:val="24"/>
                <w:lang w:val="en-US" w:eastAsia="zh-CN"/>
              </w:rPr>
              <w:t>；本项目</w:t>
            </w:r>
            <w:r>
              <w:rPr>
                <w:rFonts w:hint="eastAsia" w:cs="Times New Roman"/>
                <w:color w:val="auto"/>
                <w:sz w:val="24"/>
                <w:lang w:eastAsia="zh-CN"/>
              </w:rPr>
              <w:t>软水</w:t>
            </w:r>
            <w:r>
              <w:rPr>
                <w:rFonts w:hint="eastAsia" w:ascii="Times New Roman" w:hAnsi="Times New Roman" w:eastAsia="宋体" w:cs="Times New Roman"/>
                <w:color w:val="auto"/>
                <w:sz w:val="24"/>
              </w:rPr>
              <w:t>制备废水</w:t>
            </w:r>
            <w:r>
              <w:rPr>
                <w:rFonts w:hint="eastAsia"/>
                <w:color w:val="auto"/>
              </w:rPr>
              <w:t>及</w:t>
            </w:r>
            <w:r>
              <w:rPr>
                <w:rFonts w:hint="eastAsia"/>
                <w:color w:val="auto"/>
                <w:lang w:eastAsia="zh-CN"/>
              </w:rPr>
              <w:t>生物质蒸汽发生器</w:t>
            </w:r>
            <w:r>
              <w:rPr>
                <w:rFonts w:hint="eastAsia"/>
                <w:color w:val="auto"/>
              </w:rPr>
              <w:t>排污水经收集后回用于厂区洒水降尘</w:t>
            </w:r>
            <w:r>
              <w:rPr>
                <w:rFonts w:hint="eastAsia"/>
                <w:color w:val="auto"/>
                <w:lang w:eastAsia="zh-CN"/>
              </w:rPr>
              <w:t>，</w:t>
            </w:r>
            <w:r>
              <w:rPr>
                <w:rFonts w:hint="eastAsia"/>
                <w:color w:val="auto"/>
                <w:lang w:val="en-US" w:eastAsia="zh-CN"/>
              </w:rPr>
              <w:t>不外排</w:t>
            </w:r>
            <w:r>
              <w:rPr>
                <w:rFonts w:hint="eastAsia"/>
                <w:color w:val="auto"/>
              </w:rPr>
              <w:t>，发泡工段蒸汽冷凝水用于</w:t>
            </w:r>
            <w:r>
              <w:rPr>
                <w:rFonts w:hint="eastAsia"/>
                <w:color w:val="auto"/>
                <w:lang w:eastAsia="zh-CN"/>
              </w:rPr>
              <w:t>生物质蒸汽发生器</w:t>
            </w:r>
            <w:r>
              <w:rPr>
                <w:rFonts w:hint="eastAsia"/>
                <w:color w:val="auto"/>
              </w:rPr>
              <w:t>损耗补充水</w:t>
            </w:r>
            <w:r>
              <w:rPr>
                <w:rFonts w:hint="eastAsia"/>
                <w:color w:val="auto"/>
                <w:lang w:eastAsia="zh-CN"/>
              </w:rPr>
              <w:t>，</w:t>
            </w:r>
            <w:r>
              <w:rPr>
                <w:rFonts w:hint="eastAsia"/>
                <w:color w:val="auto"/>
                <w:lang w:val="en-US" w:eastAsia="zh-CN"/>
              </w:rPr>
              <w:t>不外排</w:t>
            </w:r>
            <w:r>
              <w:rPr>
                <w:rFonts w:hint="eastAsia"/>
                <w:color w:val="auto"/>
              </w:rPr>
              <w:t>；</w:t>
            </w:r>
            <w:r>
              <w:rPr>
                <w:rFonts w:hint="default" w:ascii="Times New Roman" w:hAnsi="Times New Roman" w:cs="Times New Roman" w:eastAsiaTheme="minorEastAsia"/>
                <w:color w:val="auto"/>
                <w:sz w:val="24"/>
                <w:szCs w:val="24"/>
              </w:rPr>
              <w:t>食堂废水经油水分离器隔油后与其</w:t>
            </w:r>
            <w:r>
              <w:rPr>
                <w:rFonts w:hint="default" w:ascii="Times New Roman" w:hAnsi="Times New Roman" w:cs="Times New Roman" w:eastAsiaTheme="minorEastAsia"/>
                <w:color w:val="auto"/>
                <w:sz w:val="24"/>
                <w:szCs w:val="24"/>
                <w:lang w:val="en-US" w:eastAsia="zh-CN"/>
              </w:rPr>
              <w:t>它</w:t>
            </w:r>
            <w:r>
              <w:rPr>
                <w:rFonts w:hint="default" w:ascii="Times New Roman" w:hAnsi="Times New Roman" w:cs="Times New Roman" w:eastAsiaTheme="minorEastAsia"/>
                <w:color w:val="auto"/>
                <w:sz w:val="24"/>
                <w:szCs w:val="24"/>
              </w:rPr>
              <w:t>生活污水一起进入化粪池</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经化粪池（</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）预处理后，</w:t>
            </w:r>
            <w:r>
              <w:rPr>
                <w:rFonts w:hint="eastAsia" w:cs="Times New Roman" w:eastAsiaTheme="minorEastAsia"/>
                <w:color w:val="auto"/>
                <w:sz w:val="24"/>
                <w:szCs w:val="24"/>
                <w:lang w:val="en-US" w:eastAsia="zh-CN"/>
              </w:rPr>
              <w:t>通过泵输送至项目新建的2m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/d的一体化污水处理设施，</w:t>
            </w:r>
            <w:r>
              <w:rPr>
                <w:rFonts w:hint="eastAsia" w:ascii="Times New Roman" w:hAnsi="Times New Roman" w:eastAsia="宋体" w:cs="Times New Roman"/>
                <w:color w:val="auto"/>
                <w:sz w:val="24"/>
                <w:lang w:val="en-US" w:eastAsia="zh-CN"/>
              </w:rPr>
              <w:t>经处理达标后，晴天回用于厂区绿化或道路清扫，不外排，雨天</w:t>
            </w:r>
            <w:r>
              <w:rPr>
                <w:rFonts w:hint="eastAsia" w:cs="Times New Roman"/>
                <w:color w:val="auto"/>
                <w:sz w:val="24"/>
                <w:lang w:val="en-US" w:eastAsia="zh-CN"/>
              </w:rPr>
              <w:t>暂存</w:t>
            </w:r>
            <w:r>
              <w:rPr>
                <w:rFonts w:hint="eastAsia" w:ascii="Times New Roman" w:hAnsi="Times New Roman" w:eastAsia="宋体" w:cs="Times New Roman"/>
                <w:color w:val="auto"/>
                <w:sz w:val="24"/>
                <w:lang w:val="en-US" w:eastAsia="zh-CN"/>
              </w:rPr>
              <w:t>于中水池，</w:t>
            </w:r>
            <w:r>
              <w:rPr>
                <w:rFonts w:hint="eastAsia" w:cs="Times New Roman"/>
                <w:color w:val="auto"/>
                <w:sz w:val="24"/>
                <w:lang w:val="en-US" w:eastAsia="zh-CN"/>
              </w:rPr>
              <w:t>待晴天后，</w:t>
            </w:r>
            <w:r>
              <w:rPr>
                <w:rFonts w:hint="eastAsia" w:ascii="Times New Roman" w:hAnsi="Times New Roman" w:eastAsia="宋体" w:cs="Times New Roman"/>
                <w:color w:val="auto"/>
                <w:sz w:val="24"/>
                <w:lang w:val="en-US" w:eastAsia="zh-CN"/>
              </w:rPr>
              <w:t>回用于厂区绿化或道路清扫，不外排。</w:t>
            </w:r>
          </w:p>
          <w:p w14:paraId="77C764BA">
            <w:pPr>
              <w:pStyle w:val="92"/>
              <w:ind w:firstLine="482"/>
              <w:rPr>
                <w:b/>
                <w:bCs/>
                <w:color w:val="auto"/>
              </w:rPr>
            </w:pPr>
            <w:r>
              <w:rPr>
                <w:rFonts w:hint="eastAsia"/>
                <w:b/>
                <w:bCs/>
                <w:color w:val="auto"/>
              </w:rPr>
              <w:t>（1）软水</w:t>
            </w:r>
            <w:r>
              <w:rPr>
                <w:b/>
                <w:bCs/>
                <w:color w:val="auto"/>
              </w:rPr>
              <w:t>制备废水、</w:t>
            </w:r>
            <w:r>
              <w:rPr>
                <w:rFonts w:hint="eastAsia"/>
                <w:b/>
                <w:bCs/>
                <w:color w:val="auto"/>
                <w:lang w:eastAsia="zh-CN"/>
              </w:rPr>
              <w:t>生物质蒸汽发生器</w:t>
            </w:r>
            <w:r>
              <w:rPr>
                <w:b/>
                <w:bCs/>
                <w:color w:val="auto"/>
              </w:rPr>
              <w:t>排污水及蒸汽冷凝水</w:t>
            </w:r>
          </w:p>
          <w:p w14:paraId="718F0390">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项目拟设置</w:t>
            </w:r>
            <w:r>
              <w:rPr>
                <w:rFonts w:hint="eastAsia" w:ascii="Times New Roman" w:hAnsi="Times New Roman" w:eastAsia="宋体" w:cs="Times New Roman"/>
                <w:color w:val="auto"/>
                <w:sz w:val="24"/>
                <w:lang w:val="en-US" w:eastAsia="zh-CN"/>
              </w:rPr>
              <w:t>1台3</w:t>
            </w:r>
            <w:r>
              <w:rPr>
                <w:rFonts w:hint="default" w:ascii="Times New Roman" w:hAnsi="Times New Roman" w:eastAsia="宋体" w:cs="Times New Roman"/>
                <w:color w:val="auto"/>
                <w:sz w:val="24"/>
                <w:lang w:val="en-US" w:eastAsia="zh-CN"/>
              </w:rPr>
              <w:t>t/h的</w:t>
            </w:r>
            <w:r>
              <w:rPr>
                <w:rFonts w:hint="eastAsia" w:cs="Times New Roman"/>
                <w:color w:val="auto"/>
                <w:sz w:val="24"/>
                <w:lang w:val="en-US" w:eastAsia="zh-CN"/>
              </w:rPr>
              <w:t>生物质蒸汽发生器</w:t>
            </w:r>
            <w:r>
              <w:rPr>
                <w:rFonts w:hint="default" w:ascii="Times New Roman" w:hAnsi="Times New Roman" w:eastAsia="宋体" w:cs="Times New Roman"/>
                <w:color w:val="auto"/>
                <w:sz w:val="24"/>
                <w:lang w:val="en-US" w:eastAsia="zh-CN"/>
              </w:rPr>
              <w:t>为泡沫</w:t>
            </w:r>
            <w:r>
              <w:rPr>
                <w:rFonts w:hint="eastAsia" w:cs="Times New Roman"/>
                <w:color w:val="auto"/>
                <w:sz w:val="24"/>
                <w:lang w:val="en-US" w:eastAsia="zh-CN"/>
              </w:rPr>
              <w:t>颗粒</w:t>
            </w:r>
            <w:r>
              <w:rPr>
                <w:rFonts w:hint="default" w:ascii="Times New Roman" w:hAnsi="Times New Roman" w:eastAsia="宋体" w:cs="Times New Roman"/>
                <w:color w:val="auto"/>
                <w:sz w:val="24"/>
                <w:lang w:val="en-US" w:eastAsia="zh-CN"/>
              </w:rPr>
              <w:t>生产过程提供所需的蒸汽，</w:t>
            </w:r>
            <w:r>
              <w:rPr>
                <w:rFonts w:hint="eastAsia" w:cs="Times New Roman"/>
                <w:color w:val="auto"/>
                <w:sz w:val="24"/>
                <w:lang w:val="en-US" w:eastAsia="zh-CN"/>
              </w:rPr>
              <w:t>生物质蒸汽发生器</w:t>
            </w:r>
            <w:r>
              <w:rPr>
                <w:rFonts w:hint="default" w:ascii="Times New Roman" w:hAnsi="Times New Roman" w:eastAsia="宋体" w:cs="Times New Roman"/>
                <w:color w:val="auto"/>
                <w:sz w:val="24"/>
                <w:lang w:val="en-US" w:eastAsia="zh-CN"/>
              </w:rPr>
              <w:t>用水需对自来水进行除泥沙、除铁锰、除钙镁、降低浊度和总硬度处理。项目共设置1套软水制备系统对自来水进行处理，采用离子交换树脂进行处理后对</w:t>
            </w:r>
            <w:r>
              <w:rPr>
                <w:rFonts w:hint="eastAsia" w:cs="Times New Roman"/>
                <w:color w:val="auto"/>
                <w:sz w:val="24"/>
                <w:lang w:val="en-US" w:eastAsia="zh-CN"/>
              </w:rPr>
              <w:t>生物质蒸汽发生器</w:t>
            </w:r>
            <w:r>
              <w:rPr>
                <w:rFonts w:hint="default" w:ascii="Times New Roman" w:hAnsi="Times New Roman" w:eastAsia="宋体" w:cs="Times New Roman"/>
                <w:color w:val="auto"/>
                <w:sz w:val="24"/>
                <w:lang w:val="en-US" w:eastAsia="zh-CN"/>
              </w:rPr>
              <w:t>进行供水。最大制水量为</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3</w:t>
            </w:r>
            <w:r>
              <w:rPr>
                <w:rFonts w:hint="default" w:ascii="Times New Roman" w:hAnsi="Times New Roman" w:eastAsia="宋体" w:cs="Times New Roman"/>
                <w:color w:val="auto"/>
                <w:sz w:val="24"/>
                <w:lang w:val="en-US" w:eastAsia="zh-CN"/>
              </w:rPr>
              <w:t>/h。</w:t>
            </w:r>
          </w:p>
          <w:p w14:paraId="464BE454">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生物质蒸汽发生器</w:t>
            </w:r>
            <w:r>
              <w:rPr>
                <w:rFonts w:hint="default" w:ascii="Times New Roman" w:hAnsi="Times New Roman" w:eastAsia="宋体" w:cs="Times New Roman"/>
                <w:color w:val="auto"/>
                <w:sz w:val="24"/>
                <w:lang w:val="en-US" w:eastAsia="zh-CN"/>
              </w:rPr>
              <w:t>排污水及</w:t>
            </w:r>
            <w:r>
              <w:rPr>
                <w:rFonts w:hint="eastAsia" w:ascii="Times New Roman" w:hAnsi="Times New Roman" w:eastAsia="宋体" w:cs="Times New Roman"/>
                <w:color w:val="auto"/>
                <w:sz w:val="24"/>
                <w:lang w:val="en-US" w:eastAsia="zh-CN"/>
              </w:rPr>
              <w:t>软水</w:t>
            </w:r>
            <w:r>
              <w:rPr>
                <w:rFonts w:hint="default" w:ascii="Times New Roman" w:hAnsi="Times New Roman" w:eastAsia="宋体" w:cs="Times New Roman"/>
                <w:color w:val="auto"/>
                <w:sz w:val="24"/>
                <w:lang w:val="en-US" w:eastAsia="zh-CN"/>
              </w:rPr>
              <w:t>制备废水参照中华人民共和国生态环境部2021年6月11日发布的《排放源统计调查产排污核算方法和系数手册》（公告2021年第24号）中《锅炉产排污量核算系数手册》4430工业锅炉（热力生产和供应行业）产排污系数表-工业废水量和</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化学需氧量</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中生物质工业锅炉的产排污系数进行计算，产排污系数见表2-</w:t>
            </w:r>
            <w:r>
              <w:rPr>
                <w:rFonts w:hint="eastAsia" w:cs="Times New Roman"/>
                <w:color w:val="auto"/>
                <w:sz w:val="24"/>
                <w:lang w:val="en-US" w:eastAsia="zh-CN"/>
              </w:rPr>
              <w:t>8</w:t>
            </w:r>
            <w:r>
              <w:rPr>
                <w:rFonts w:hint="default" w:ascii="Times New Roman" w:hAnsi="Times New Roman" w:eastAsia="宋体" w:cs="Times New Roman"/>
                <w:color w:val="auto"/>
                <w:sz w:val="24"/>
                <w:lang w:val="en-US" w:eastAsia="zh-CN"/>
              </w:rPr>
              <w:t>。</w:t>
            </w:r>
          </w:p>
          <w:p w14:paraId="49F62624">
            <w:pPr>
              <w:pStyle w:val="47"/>
              <w:widowControl w:val="0"/>
              <w:snapToGrid/>
              <w:spacing w:line="240" w:lineRule="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表2-</w:t>
            </w:r>
            <w:r>
              <w:rPr>
                <w:rFonts w:hint="eastAsia" w:cs="Times New Roman"/>
                <w:color w:val="auto"/>
                <w:sz w:val="24"/>
                <w:szCs w:val="32"/>
                <w:lang w:val="en-US" w:eastAsia="zh-CN"/>
              </w:rPr>
              <w:t>8</w:t>
            </w:r>
            <w:r>
              <w:rPr>
                <w:rFonts w:hint="default" w:ascii="Times New Roman" w:hAnsi="Times New Roman" w:eastAsia="宋体" w:cs="Times New Roman"/>
                <w:color w:val="auto"/>
                <w:sz w:val="24"/>
                <w:szCs w:val="32"/>
              </w:rPr>
              <w:t xml:space="preserve">  工业锅炉（热力生产和供应行业）产排污系数表</w:t>
            </w:r>
          </w:p>
          <w:tbl>
            <w:tblPr>
              <w:tblStyle w:val="33"/>
              <w:tblW w:w="7856" w:type="dxa"/>
              <w:tblInd w:w="-1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59"/>
              <w:gridCol w:w="727"/>
              <w:gridCol w:w="1240"/>
              <w:gridCol w:w="742"/>
              <w:gridCol w:w="879"/>
              <w:gridCol w:w="818"/>
              <w:gridCol w:w="1652"/>
              <w:gridCol w:w="1039"/>
            </w:tblGrid>
            <w:tr w14:paraId="1F3BBFA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83" w:type="pct"/>
                  <w:tcBorders>
                    <w:tl2br w:val="nil"/>
                    <w:tr2bl w:val="nil"/>
                  </w:tcBorders>
                  <w:vAlign w:val="center"/>
                </w:tcPr>
                <w:p w14:paraId="54104AB6">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b/>
                      <w:bCs/>
                      <w:i w:val="0"/>
                      <w:iCs w:val="0"/>
                      <w:color w:val="auto"/>
                      <w:sz w:val="21"/>
                      <w:szCs w:val="21"/>
                    </w:rPr>
                  </w:pPr>
                  <w:r>
                    <w:rPr>
                      <w:rFonts w:hint="default" w:ascii="Times New Roman" w:hAnsi="Times New Roman" w:cs="Times New Roman" w:eastAsiaTheme="minorEastAsia"/>
                      <w:b/>
                      <w:bCs/>
                      <w:i w:val="0"/>
                      <w:iCs w:val="0"/>
                      <w:color w:val="auto"/>
                      <w:sz w:val="21"/>
                      <w:szCs w:val="21"/>
                    </w:rPr>
                    <w:t>产品名称</w:t>
                  </w:r>
                </w:p>
              </w:tc>
              <w:tc>
                <w:tcPr>
                  <w:tcW w:w="462" w:type="pct"/>
                  <w:tcBorders>
                    <w:tl2br w:val="nil"/>
                    <w:tr2bl w:val="nil"/>
                  </w:tcBorders>
                  <w:vAlign w:val="center"/>
                </w:tcPr>
                <w:p w14:paraId="7A20F084">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b/>
                      <w:bCs/>
                      <w:i w:val="0"/>
                      <w:iCs w:val="0"/>
                      <w:color w:val="auto"/>
                      <w:sz w:val="21"/>
                      <w:szCs w:val="21"/>
                    </w:rPr>
                  </w:pPr>
                  <w:r>
                    <w:rPr>
                      <w:rFonts w:hint="default" w:ascii="Times New Roman" w:hAnsi="Times New Roman" w:cs="Times New Roman" w:eastAsiaTheme="minorEastAsia"/>
                      <w:b/>
                      <w:bCs/>
                      <w:i w:val="0"/>
                      <w:iCs w:val="0"/>
                      <w:color w:val="auto"/>
                      <w:sz w:val="21"/>
                      <w:szCs w:val="21"/>
                    </w:rPr>
                    <w:t>原料名称</w:t>
                  </w:r>
                </w:p>
              </w:tc>
              <w:tc>
                <w:tcPr>
                  <w:tcW w:w="789" w:type="pct"/>
                  <w:tcBorders>
                    <w:tl2br w:val="nil"/>
                    <w:tr2bl w:val="nil"/>
                  </w:tcBorders>
                  <w:vAlign w:val="center"/>
                </w:tcPr>
                <w:p w14:paraId="08483637">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b/>
                      <w:bCs/>
                      <w:i w:val="0"/>
                      <w:iCs w:val="0"/>
                      <w:color w:val="auto"/>
                      <w:sz w:val="21"/>
                      <w:szCs w:val="21"/>
                    </w:rPr>
                  </w:pPr>
                  <w:r>
                    <w:rPr>
                      <w:rFonts w:hint="default" w:ascii="Times New Roman" w:hAnsi="Times New Roman" w:cs="Times New Roman" w:eastAsiaTheme="minorEastAsia"/>
                      <w:b/>
                      <w:bCs/>
                      <w:i w:val="0"/>
                      <w:iCs w:val="0"/>
                      <w:color w:val="auto"/>
                      <w:sz w:val="21"/>
                      <w:szCs w:val="21"/>
                    </w:rPr>
                    <w:t>工艺名称</w:t>
                  </w:r>
                </w:p>
              </w:tc>
              <w:tc>
                <w:tcPr>
                  <w:tcW w:w="472" w:type="pct"/>
                  <w:tcBorders>
                    <w:tl2br w:val="nil"/>
                    <w:tr2bl w:val="nil"/>
                  </w:tcBorders>
                  <w:vAlign w:val="center"/>
                </w:tcPr>
                <w:p w14:paraId="34B7972D">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b/>
                      <w:bCs/>
                      <w:i w:val="0"/>
                      <w:iCs w:val="0"/>
                      <w:color w:val="auto"/>
                      <w:sz w:val="21"/>
                      <w:szCs w:val="21"/>
                    </w:rPr>
                  </w:pPr>
                  <w:r>
                    <w:rPr>
                      <w:rFonts w:hint="default" w:ascii="Times New Roman" w:hAnsi="Times New Roman" w:cs="Times New Roman" w:eastAsiaTheme="minorEastAsia"/>
                      <w:b/>
                      <w:bCs/>
                      <w:i w:val="0"/>
                      <w:iCs w:val="0"/>
                      <w:color w:val="auto"/>
                      <w:sz w:val="21"/>
                      <w:szCs w:val="21"/>
                    </w:rPr>
                    <w:t>规模等级</w:t>
                  </w:r>
                </w:p>
              </w:tc>
              <w:tc>
                <w:tcPr>
                  <w:tcW w:w="559" w:type="pct"/>
                  <w:tcBorders>
                    <w:tl2br w:val="nil"/>
                    <w:tr2bl w:val="nil"/>
                  </w:tcBorders>
                  <w:vAlign w:val="center"/>
                </w:tcPr>
                <w:p w14:paraId="7545D0BE">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b/>
                      <w:bCs/>
                      <w:i w:val="0"/>
                      <w:iCs w:val="0"/>
                      <w:color w:val="auto"/>
                      <w:sz w:val="21"/>
                      <w:szCs w:val="21"/>
                    </w:rPr>
                  </w:pPr>
                  <w:r>
                    <w:rPr>
                      <w:rFonts w:hint="default" w:ascii="Times New Roman" w:hAnsi="Times New Roman" w:cs="Times New Roman" w:eastAsiaTheme="minorEastAsia"/>
                      <w:b/>
                      <w:bCs/>
                      <w:i w:val="0"/>
                      <w:iCs w:val="0"/>
                      <w:color w:val="auto"/>
                      <w:sz w:val="21"/>
                      <w:szCs w:val="21"/>
                    </w:rPr>
                    <w:t>污染物指标</w:t>
                  </w:r>
                </w:p>
              </w:tc>
              <w:tc>
                <w:tcPr>
                  <w:tcW w:w="520" w:type="pct"/>
                  <w:tcBorders>
                    <w:tl2br w:val="nil"/>
                    <w:tr2bl w:val="nil"/>
                  </w:tcBorders>
                  <w:vAlign w:val="center"/>
                </w:tcPr>
                <w:p w14:paraId="516FFB16">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b/>
                      <w:bCs/>
                      <w:i w:val="0"/>
                      <w:iCs w:val="0"/>
                      <w:color w:val="auto"/>
                      <w:sz w:val="21"/>
                      <w:szCs w:val="21"/>
                    </w:rPr>
                  </w:pPr>
                  <w:r>
                    <w:rPr>
                      <w:rFonts w:hint="default" w:ascii="Times New Roman" w:hAnsi="Times New Roman" w:cs="Times New Roman" w:eastAsiaTheme="minorEastAsia"/>
                      <w:b/>
                      <w:bCs/>
                      <w:i w:val="0"/>
                      <w:iCs w:val="0"/>
                      <w:color w:val="auto"/>
                      <w:sz w:val="21"/>
                      <w:szCs w:val="21"/>
                    </w:rPr>
                    <w:t>单位</w:t>
                  </w:r>
                </w:p>
              </w:tc>
              <w:tc>
                <w:tcPr>
                  <w:tcW w:w="1712" w:type="pct"/>
                  <w:gridSpan w:val="2"/>
                  <w:tcBorders>
                    <w:tl2br w:val="nil"/>
                    <w:tr2bl w:val="nil"/>
                  </w:tcBorders>
                  <w:vAlign w:val="center"/>
                </w:tcPr>
                <w:p w14:paraId="4503AF83">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b/>
                      <w:bCs/>
                      <w:i w:val="0"/>
                      <w:iCs w:val="0"/>
                      <w:color w:val="auto"/>
                      <w:sz w:val="21"/>
                      <w:szCs w:val="21"/>
                    </w:rPr>
                  </w:pPr>
                  <w:r>
                    <w:rPr>
                      <w:rFonts w:hint="default" w:ascii="Times New Roman" w:hAnsi="Times New Roman" w:cs="Times New Roman" w:eastAsiaTheme="minorEastAsia"/>
                      <w:b/>
                      <w:bCs/>
                      <w:i w:val="0"/>
                      <w:iCs w:val="0"/>
                      <w:color w:val="auto"/>
                      <w:sz w:val="21"/>
                      <w:szCs w:val="21"/>
                    </w:rPr>
                    <w:t>产污系数</w:t>
                  </w:r>
                </w:p>
              </w:tc>
            </w:tr>
            <w:tr w14:paraId="4D91002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3" w:type="pct"/>
                  <w:vMerge w:val="restart"/>
                  <w:tcBorders>
                    <w:tl2br w:val="nil"/>
                    <w:tr2bl w:val="nil"/>
                  </w:tcBorders>
                  <w:vAlign w:val="center"/>
                </w:tcPr>
                <w:p w14:paraId="3B9BFF25">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r>
                    <w:rPr>
                      <w:rFonts w:hint="default" w:ascii="Times New Roman" w:hAnsi="Times New Roman" w:cs="Times New Roman" w:eastAsiaTheme="minorEastAsia"/>
                      <w:i w:val="0"/>
                      <w:iCs w:val="0"/>
                      <w:color w:val="auto"/>
                      <w:sz w:val="21"/>
                      <w:szCs w:val="21"/>
                    </w:rPr>
                    <w:t>蒸汽/热水/其他</w:t>
                  </w:r>
                </w:p>
              </w:tc>
              <w:tc>
                <w:tcPr>
                  <w:tcW w:w="462" w:type="pct"/>
                  <w:vMerge w:val="restart"/>
                  <w:tcBorders>
                    <w:tl2br w:val="nil"/>
                    <w:tr2bl w:val="nil"/>
                  </w:tcBorders>
                  <w:vAlign w:val="center"/>
                </w:tcPr>
                <w:p w14:paraId="1131D472">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r>
                    <w:rPr>
                      <w:rFonts w:hint="default" w:ascii="Times New Roman" w:hAnsi="Times New Roman" w:cs="Times New Roman" w:eastAsiaTheme="minorEastAsia"/>
                      <w:i w:val="0"/>
                      <w:iCs w:val="0"/>
                      <w:color w:val="auto"/>
                      <w:sz w:val="21"/>
                      <w:szCs w:val="21"/>
                    </w:rPr>
                    <w:t>生物质</w:t>
                  </w:r>
                </w:p>
              </w:tc>
              <w:tc>
                <w:tcPr>
                  <w:tcW w:w="789" w:type="pct"/>
                  <w:vMerge w:val="restart"/>
                  <w:tcBorders>
                    <w:tl2br w:val="nil"/>
                    <w:tr2bl w:val="nil"/>
                  </w:tcBorders>
                  <w:vAlign w:val="center"/>
                </w:tcPr>
                <w:p w14:paraId="0E4327C2">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r>
                    <w:rPr>
                      <w:rFonts w:hint="default" w:ascii="Times New Roman" w:hAnsi="Times New Roman" w:cs="Times New Roman" w:eastAsiaTheme="minorEastAsia"/>
                      <w:i w:val="0"/>
                      <w:iCs w:val="0"/>
                      <w:color w:val="auto"/>
                      <w:sz w:val="21"/>
                      <w:szCs w:val="21"/>
                    </w:rPr>
                    <w:t>全部类型锅炉（炉外水处理）</w:t>
                  </w:r>
                </w:p>
              </w:tc>
              <w:tc>
                <w:tcPr>
                  <w:tcW w:w="472" w:type="pct"/>
                  <w:vMerge w:val="restart"/>
                  <w:tcBorders>
                    <w:tl2br w:val="nil"/>
                    <w:tr2bl w:val="nil"/>
                  </w:tcBorders>
                  <w:vAlign w:val="center"/>
                </w:tcPr>
                <w:p w14:paraId="17F7BB2D">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r>
                    <w:rPr>
                      <w:rFonts w:hint="default" w:ascii="Times New Roman" w:hAnsi="Times New Roman" w:cs="Times New Roman" w:eastAsiaTheme="minorEastAsia"/>
                      <w:i w:val="0"/>
                      <w:iCs w:val="0"/>
                      <w:color w:val="auto"/>
                      <w:sz w:val="21"/>
                      <w:szCs w:val="21"/>
                    </w:rPr>
                    <w:t>所有规模</w:t>
                  </w:r>
                </w:p>
              </w:tc>
              <w:tc>
                <w:tcPr>
                  <w:tcW w:w="559" w:type="pct"/>
                  <w:vMerge w:val="restart"/>
                  <w:tcBorders>
                    <w:tl2br w:val="nil"/>
                    <w:tr2bl w:val="nil"/>
                  </w:tcBorders>
                  <w:vAlign w:val="center"/>
                </w:tcPr>
                <w:p w14:paraId="710266D4">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r>
                    <w:rPr>
                      <w:rFonts w:hint="default" w:ascii="Times New Roman" w:hAnsi="Times New Roman" w:cs="Times New Roman" w:eastAsiaTheme="minorEastAsia"/>
                      <w:i w:val="0"/>
                      <w:iCs w:val="0"/>
                      <w:color w:val="auto"/>
                      <w:sz w:val="21"/>
                      <w:szCs w:val="21"/>
                    </w:rPr>
                    <w:t>工业废水量</w:t>
                  </w:r>
                </w:p>
              </w:tc>
              <w:tc>
                <w:tcPr>
                  <w:tcW w:w="520" w:type="pct"/>
                  <w:vMerge w:val="restart"/>
                  <w:tcBorders>
                    <w:tl2br w:val="nil"/>
                    <w:tr2bl w:val="nil"/>
                  </w:tcBorders>
                  <w:vAlign w:val="center"/>
                </w:tcPr>
                <w:p w14:paraId="420E9110">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r>
                    <w:rPr>
                      <w:rFonts w:hint="default" w:ascii="Times New Roman" w:hAnsi="Times New Roman" w:cs="Times New Roman" w:eastAsiaTheme="minorEastAsia"/>
                      <w:i w:val="0"/>
                      <w:iCs w:val="0"/>
                      <w:color w:val="auto"/>
                      <w:sz w:val="21"/>
                      <w:szCs w:val="21"/>
                    </w:rPr>
                    <w:t>吨/吨-原料</w:t>
                  </w:r>
                </w:p>
              </w:tc>
              <w:tc>
                <w:tcPr>
                  <w:tcW w:w="1051" w:type="pct"/>
                  <w:tcBorders>
                    <w:tl2br w:val="nil"/>
                    <w:tr2bl w:val="nil"/>
                  </w:tcBorders>
                  <w:vAlign w:val="center"/>
                </w:tcPr>
                <w:p w14:paraId="13C40C5D">
                  <w:pPr>
                    <w:pStyle w:val="104"/>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r>
                    <w:rPr>
                      <w:rFonts w:hint="default" w:ascii="Times New Roman" w:hAnsi="Times New Roman" w:cs="Times New Roman" w:eastAsiaTheme="minorEastAsia"/>
                      <w:i w:val="0"/>
                      <w:iCs w:val="0"/>
                      <w:color w:val="auto"/>
                      <w:sz w:val="21"/>
                      <w:szCs w:val="21"/>
                    </w:rPr>
                    <w:t>锅炉排污水</w:t>
                  </w:r>
                </w:p>
              </w:tc>
              <w:tc>
                <w:tcPr>
                  <w:tcW w:w="661" w:type="pct"/>
                  <w:tcBorders>
                    <w:tl2br w:val="nil"/>
                    <w:tr2bl w:val="nil"/>
                  </w:tcBorders>
                  <w:vAlign w:val="center"/>
                </w:tcPr>
                <w:p w14:paraId="7438FD5B">
                  <w:pPr>
                    <w:pStyle w:val="104"/>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i w:val="0"/>
                      <w:iCs w:val="0"/>
                      <w:color w:val="auto"/>
                      <w:sz w:val="21"/>
                      <w:szCs w:val="21"/>
                      <w:lang w:val="en-US" w:eastAsia="zh-CN"/>
                    </w:rPr>
                  </w:pPr>
                  <w:r>
                    <w:rPr>
                      <w:rFonts w:hint="eastAsia" w:cs="Times New Roman" w:eastAsiaTheme="minorEastAsia"/>
                      <w:i w:val="0"/>
                      <w:iCs w:val="0"/>
                      <w:color w:val="auto"/>
                      <w:sz w:val="21"/>
                      <w:szCs w:val="21"/>
                      <w:lang w:val="en-US" w:eastAsia="zh-CN"/>
                    </w:rPr>
                    <w:t>0.259</w:t>
                  </w:r>
                </w:p>
              </w:tc>
            </w:tr>
            <w:tr w14:paraId="3530639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83" w:type="pct"/>
                  <w:vMerge w:val="continue"/>
                  <w:tcBorders>
                    <w:tl2br w:val="nil"/>
                    <w:tr2bl w:val="nil"/>
                  </w:tcBorders>
                  <w:vAlign w:val="center"/>
                </w:tcPr>
                <w:p w14:paraId="6FB0BEA7">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p>
              </w:tc>
              <w:tc>
                <w:tcPr>
                  <w:tcW w:w="462" w:type="pct"/>
                  <w:vMerge w:val="continue"/>
                  <w:tcBorders>
                    <w:tl2br w:val="nil"/>
                    <w:tr2bl w:val="nil"/>
                  </w:tcBorders>
                  <w:vAlign w:val="center"/>
                </w:tcPr>
                <w:p w14:paraId="52871D57">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p>
              </w:tc>
              <w:tc>
                <w:tcPr>
                  <w:tcW w:w="789" w:type="pct"/>
                  <w:vMerge w:val="continue"/>
                  <w:tcBorders>
                    <w:tl2br w:val="nil"/>
                    <w:tr2bl w:val="nil"/>
                  </w:tcBorders>
                  <w:vAlign w:val="center"/>
                </w:tcPr>
                <w:p w14:paraId="54A1C962">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p>
              </w:tc>
              <w:tc>
                <w:tcPr>
                  <w:tcW w:w="472" w:type="pct"/>
                  <w:vMerge w:val="continue"/>
                  <w:tcBorders>
                    <w:tl2br w:val="nil"/>
                    <w:tr2bl w:val="nil"/>
                  </w:tcBorders>
                  <w:vAlign w:val="center"/>
                </w:tcPr>
                <w:p w14:paraId="5B47241A">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p>
              </w:tc>
              <w:tc>
                <w:tcPr>
                  <w:tcW w:w="559" w:type="pct"/>
                  <w:vMerge w:val="continue"/>
                  <w:tcBorders>
                    <w:tl2br w:val="nil"/>
                    <w:tr2bl w:val="nil"/>
                  </w:tcBorders>
                  <w:vAlign w:val="center"/>
                </w:tcPr>
                <w:p w14:paraId="6B8B3A53">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p>
              </w:tc>
              <w:tc>
                <w:tcPr>
                  <w:tcW w:w="520" w:type="pct"/>
                  <w:vMerge w:val="continue"/>
                  <w:tcBorders>
                    <w:tl2br w:val="nil"/>
                    <w:tr2bl w:val="nil"/>
                  </w:tcBorders>
                  <w:vAlign w:val="center"/>
                </w:tcPr>
                <w:p w14:paraId="40B5928D">
                  <w:pPr>
                    <w:pStyle w:val="15"/>
                    <w:keepNext w:val="0"/>
                    <w:keepLines w:val="0"/>
                    <w:pageBreakBefore w:val="0"/>
                    <w:tabs>
                      <w:tab w:val="left" w:pos="0"/>
                      <w:tab w:val="left" w:pos="1260"/>
                    </w:tabs>
                    <w:kinsoku/>
                    <w:wordWrap/>
                    <w:overflowPunct/>
                    <w:topLinePunct w:val="0"/>
                    <w:autoSpaceDE/>
                    <w:autoSpaceDN/>
                    <w:bidi w:val="0"/>
                    <w:adjustRightInd/>
                    <w:snapToGrid w:val="0"/>
                    <w:spacing w:after="0"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p>
              </w:tc>
              <w:tc>
                <w:tcPr>
                  <w:tcW w:w="1051" w:type="pct"/>
                  <w:tcBorders>
                    <w:tl2br w:val="nil"/>
                    <w:tr2bl w:val="nil"/>
                  </w:tcBorders>
                  <w:vAlign w:val="center"/>
                </w:tcPr>
                <w:p w14:paraId="77A2BC00">
                  <w:pPr>
                    <w:pStyle w:val="104"/>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i w:val="0"/>
                      <w:iCs w:val="0"/>
                      <w:color w:val="auto"/>
                      <w:sz w:val="21"/>
                      <w:szCs w:val="21"/>
                    </w:rPr>
                  </w:pPr>
                  <w:r>
                    <w:rPr>
                      <w:rFonts w:hint="default" w:ascii="Times New Roman" w:hAnsi="Times New Roman" w:cs="Times New Roman" w:eastAsiaTheme="minorEastAsia"/>
                      <w:i w:val="0"/>
                      <w:iCs w:val="0"/>
                      <w:color w:val="auto"/>
                      <w:sz w:val="21"/>
                      <w:szCs w:val="21"/>
                    </w:rPr>
                    <w:t>软水制备废水</w:t>
                  </w:r>
                </w:p>
              </w:tc>
              <w:tc>
                <w:tcPr>
                  <w:tcW w:w="661" w:type="pct"/>
                  <w:tcBorders>
                    <w:tl2br w:val="nil"/>
                    <w:tr2bl w:val="nil"/>
                  </w:tcBorders>
                  <w:vAlign w:val="center"/>
                </w:tcPr>
                <w:p w14:paraId="392EFCA7">
                  <w:pPr>
                    <w:pStyle w:val="104"/>
                    <w:keepNext w:val="0"/>
                    <w:keepLines w:val="0"/>
                    <w:pageBreakBefore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i w:val="0"/>
                      <w:iCs w:val="0"/>
                      <w:color w:val="auto"/>
                      <w:sz w:val="21"/>
                      <w:szCs w:val="21"/>
                      <w:lang w:val="en-US" w:eastAsia="zh-CN"/>
                    </w:rPr>
                  </w:pPr>
                  <w:r>
                    <w:rPr>
                      <w:rFonts w:hint="eastAsia" w:cs="Times New Roman" w:eastAsiaTheme="minorEastAsia"/>
                      <w:i w:val="0"/>
                      <w:iCs w:val="0"/>
                      <w:color w:val="auto"/>
                      <w:sz w:val="21"/>
                      <w:szCs w:val="21"/>
                      <w:lang w:val="en-US" w:eastAsia="zh-CN"/>
                    </w:rPr>
                    <w:t>0.097</w:t>
                  </w:r>
                </w:p>
              </w:tc>
            </w:tr>
          </w:tbl>
          <w:p w14:paraId="4043F376">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w:t>
            </w:r>
            <w:r>
              <w:rPr>
                <w:rFonts w:hint="eastAsia" w:ascii="Times New Roman" w:hAnsi="Times New Roman" w:eastAsia="宋体" w:cs="Times New Roman"/>
                <w:color w:val="auto"/>
                <w:sz w:val="24"/>
                <w:lang w:val="en-US" w:eastAsia="zh-CN"/>
              </w:rPr>
              <w:t>工程分析可知，本项目生物质燃料按年消耗1500t计，</w:t>
            </w:r>
            <w:r>
              <w:rPr>
                <w:rFonts w:hint="eastAsia" w:cs="Times New Roman"/>
                <w:color w:val="auto"/>
                <w:sz w:val="24"/>
                <w:lang w:val="en-US" w:eastAsia="zh-CN"/>
              </w:rPr>
              <w:t>生物质蒸汽发生器</w:t>
            </w:r>
            <w:r>
              <w:rPr>
                <w:rFonts w:hint="default" w:ascii="Times New Roman" w:hAnsi="Times New Roman" w:eastAsia="宋体" w:cs="Times New Roman"/>
                <w:color w:val="auto"/>
                <w:sz w:val="24"/>
                <w:lang w:val="en-US" w:eastAsia="zh-CN"/>
              </w:rPr>
              <w:t>每年运行时间为300天</w:t>
            </w:r>
            <w:r>
              <w:rPr>
                <w:rFonts w:hint="eastAsia" w:ascii="Times New Roman" w:hAnsi="Times New Roman" w:eastAsia="宋体" w:cs="Times New Roman"/>
                <w:color w:val="auto"/>
                <w:sz w:val="24"/>
                <w:lang w:val="en-US" w:eastAsia="zh-CN"/>
              </w:rPr>
              <w:t>，则</w:t>
            </w:r>
            <w:r>
              <w:rPr>
                <w:rFonts w:hint="eastAsia" w:cs="Times New Roman"/>
                <w:color w:val="auto"/>
                <w:sz w:val="24"/>
                <w:lang w:val="en-US" w:eastAsia="zh-CN"/>
              </w:rPr>
              <w:t>生物质蒸汽发生器</w:t>
            </w:r>
            <w:r>
              <w:rPr>
                <w:rFonts w:hint="default" w:ascii="Times New Roman" w:hAnsi="Times New Roman" w:eastAsia="宋体" w:cs="Times New Roman"/>
                <w:color w:val="auto"/>
                <w:sz w:val="24"/>
                <w:lang w:val="en-US" w:eastAsia="zh-CN"/>
              </w:rPr>
              <w:t>排污水</w:t>
            </w:r>
            <w:r>
              <w:rPr>
                <w:rFonts w:hint="eastAsia" w:ascii="Times New Roman" w:hAnsi="Times New Roman" w:eastAsia="宋体" w:cs="Times New Roman"/>
                <w:color w:val="auto"/>
                <w:sz w:val="24"/>
                <w:lang w:val="en-US" w:eastAsia="zh-CN"/>
              </w:rPr>
              <w:t>为388.5m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/a，1.3m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lang w:val="en-US" w:eastAsia="zh-CN"/>
              </w:rPr>
              <w:t>软水制备废水</w:t>
            </w:r>
            <w:r>
              <w:rPr>
                <w:rFonts w:hint="eastAsia" w:ascii="Times New Roman" w:hAnsi="Times New Roman" w:eastAsia="宋体" w:cs="Times New Roman"/>
                <w:color w:val="auto"/>
                <w:sz w:val="24"/>
                <w:lang w:val="en-US" w:eastAsia="zh-CN"/>
              </w:rPr>
              <w:t>产生量为145.5m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/a，0.5m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w:t>
            </w:r>
          </w:p>
          <w:p w14:paraId="118097A3">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蒸汽在输送过程中会因冷凝、接口泄漏产生一定的损耗量，管道损失按蒸发量的</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%计</w:t>
            </w:r>
            <w:r>
              <w:rPr>
                <w:rFonts w:hint="eastAsia" w:ascii="Times New Roman" w:hAnsi="Times New Roman" w:eastAsia="宋体" w:cs="Times New Roman"/>
                <w:color w:val="auto"/>
                <w:sz w:val="24"/>
                <w:lang w:val="en-US" w:eastAsia="zh-CN"/>
              </w:rPr>
              <w:t>损失量约为0.72m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lang w:val="en-US" w:eastAsia="zh-CN"/>
              </w:rPr>
              <w:t>，同时生物质蒸汽发生器供应给发泡工序的水蒸气10%蒸发损耗</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损耗</w:t>
            </w:r>
            <w:r>
              <w:rPr>
                <w:rFonts w:hint="eastAsia" w:ascii="Times New Roman" w:hAnsi="Times New Roman" w:eastAsia="宋体" w:cs="Times New Roman"/>
                <w:color w:val="auto"/>
                <w:sz w:val="24"/>
                <w:lang w:val="en-US" w:eastAsia="zh-CN"/>
              </w:rPr>
              <w:t>量约为2.4m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lang w:val="en-US" w:eastAsia="zh-CN"/>
              </w:rPr>
              <w:t>，其余部分冷凝后形成冷凝水排出。</w:t>
            </w:r>
          </w:p>
          <w:p w14:paraId="5983614D">
            <w:pPr>
              <w:pStyle w:val="92"/>
              <w:ind w:firstLine="482"/>
              <w:rPr>
                <w:rFonts w:hint="default"/>
                <w:b/>
                <w:bCs/>
                <w:color w:val="auto"/>
                <w:lang w:val="en-US" w:eastAsia="zh-CN"/>
              </w:rPr>
            </w:pPr>
            <w:r>
              <w:rPr>
                <w:rFonts w:hint="eastAsia"/>
                <w:b/>
                <w:bCs/>
                <w:color w:val="auto"/>
                <w:lang w:val="en-US" w:eastAsia="zh-CN"/>
              </w:rPr>
              <w:t>（2）</w:t>
            </w:r>
            <w:r>
              <w:rPr>
                <w:rFonts w:hint="default"/>
                <w:b/>
                <w:bCs/>
                <w:color w:val="auto"/>
                <w:lang w:val="en-US" w:eastAsia="zh-CN"/>
              </w:rPr>
              <w:t>生活用水</w:t>
            </w:r>
          </w:p>
          <w:p w14:paraId="2C015562">
            <w:pPr>
              <w:pStyle w:val="2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本项目劳动定员为5人，年工作300天，在项目区食宿，用水主要为办公生活用水和厨房用水。根据《云南省地方标准用水定额》（DB53/T168-2019），本项目生活用水量参照农村居民生活用水量，按100L/(人•d)计</w:t>
            </w:r>
            <w:r>
              <w:rPr>
                <w:rFonts w:hint="default" w:ascii="Times New Roman" w:hAnsi="Times New Roman" w:cs="Times New Roman" w:eastAsiaTheme="minorEastAsia"/>
                <w:color w:val="auto"/>
                <w:sz w:val="24"/>
                <w:szCs w:val="24"/>
              </w:rPr>
              <w:t>（其中食堂废水量用水为20L/人·d）</w:t>
            </w:r>
            <w:r>
              <w:rPr>
                <w:rFonts w:hint="default" w:ascii="Times New Roman" w:hAnsi="Times New Roman" w:cs="Times New Roman" w:eastAsiaTheme="minorEastAsia"/>
                <w:color w:val="auto"/>
                <w:sz w:val="24"/>
                <w:szCs w:val="24"/>
                <w:lang w:val="en-US" w:eastAsia="zh-CN"/>
              </w:rPr>
              <w:t>，则生活用水量为0.5m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/d、75m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/a，产污系数按0.8计算，废水量为0.4m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/d、120m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rPr>
              <w:t>其中食堂废水量为</w:t>
            </w:r>
            <w:r>
              <w:rPr>
                <w:rFonts w:hint="default" w:ascii="Times New Roman" w:hAnsi="Times New Roman" w:cs="Times New Roman" w:eastAsiaTheme="minorEastAsia"/>
                <w:color w:val="auto"/>
                <w:sz w:val="24"/>
                <w:szCs w:val="24"/>
                <w:lang w:val="en-US" w:eastAsia="zh-CN"/>
              </w:rPr>
              <w:t>0.08</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24m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rPr>
              <w:t>食堂废水经油水分离器隔油后与其</w:t>
            </w:r>
            <w:r>
              <w:rPr>
                <w:rFonts w:hint="default" w:ascii="Times New Roman" w:hAnsi="Times New Roman" w:cs="Times New Roman" w:eastAsiaTheme="minorEastAsia"/>
                <w:color w:val="auto"/>
                <w:sz w:val="24"/>
                <w:szCs w:val="24"/>
                <w:lang w:val="en-US" w:eastAsia="zh-CN"/>
              </w:rPr>
              <w:t>它</w:t>
            </w:r>
            <w:r>
              <w:rPr>
                <w:rFonts w:hint="default" w:ascii="Times New Roman" w:hAnsi="Times New Roman" w:cs="Times New Roman" w:eastAsiaTheme="minorEastAsia"/>
                <w:color w:val="auto"/>
                <w:sz w:val="24"/>
                <w:szCs w:val="24"/>
              </w:rPr>
              <w:t>生活污水一起进入化粪池</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经化粪池（</w:t>
            </w: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）预处理后，</w:t>
            </w:r>
            <w:r>
              <w:rPr>
                <w:rFonts w:hint="default" w:ascii="Times New Roman" w:hAnsi="Times New Roman" w:cs="Times New Roman" w:eastAsiaTheme="minorEastAsia"/>
                <w:color w:val="auto"/>
                <w:sz w:val="24"/>
                <w:szCs w:val="24"/>
                <w:lang w:val="en-US" w:eastAsia="zh-CN"/>
              </w:rPr>
              <w:t>通过泵输送至项目新建的2m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/d的一体化污水处理设施，经处理达标后，晴天回用于厂区绿化或道路清扫，不外排，雨天</w:t>
            </w:r>
            <w:r>
              <w:rPr>
                <w:rFonts w:hint="eastAsia" w:ascii="Times New Roman" w:hAnsi="Times New Roman" w:cs="Times New Roman" w:eastAsiaTheme="minorEastAsia"/>
                <w:color w:val="auto"/>
                <w:sz w:val="24"/>
                <w:szCs w:val="24"/>
                <w:lang w:val="en-US" w:eastAsia="zh-CN"/>
              </w:rPr>
              <w:t>暂存</w:t>
            </w:r>
            <w:r>
              <w:rPr>
                <w:rFonts w:hint="default" w:ascii="Times New Roman" w:hAnsi="Times New Roman" w:cs="Times New Roman" w:eastAsiaTheme="minorEastAsia"/>
                <w:color w:val="auto"/>
                <w:sz w:val="24"/>
                <w:szCs w:val="24"/>
                <w:lang w:val="en-US" w:eastAsia="zh-CN"/>
              </w:rPr>
              <w:t>于中水池，</w:t>
            </w:r>
            <w:r>
              <w:rPr>
                <w:rFonts w:hint="eastAsia" w:ascii="Times New Roman" w:hAnsi="Times New Roman" w:cs="Times New Roman" w:eastAsiaTheme="minorEastAsia"/>
                <w:color w:val="auto"/>
                <w:sz w:val="24"/>
                <w:szCs w:val="24"/>
                <w:lang w:val="en-US" w:eastAsia="zh-CN"/>
              </w:rPr>
              <w:t>待晴天后，</w:t>
            </w:r>
            <w:r>
              <w:rPr>
                <w:rFonts w:hint="default" w:ascii="Times New Roman" w:hAnsi="Times New Roman" w:cs="Times New Roman" w:eastAsiaTheme="minorEastAsia"/>
                <w:color w:val="auto"/>
                <w:sz w:val="24"/>
                <w:szCs w:val="24"/>
                <w:lang w:val="en-US" w:eastAsia="zh-CN"/>
              </w:rPr>
              <w:t>回用于厂区绿化或道路清扫，不外排。</w:t>
            </w:r>
          </w:p>
          <w:p w14:paraId="2D1F140A">
            <w:pPr>
              <w:keepNext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项目水量平衡见图2-</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w:t>
            </w:r>
          </w:p>
          <w:p w14:paraId="54A43F5D">
            <w:pPr>
              <w:pStyle w:val="15"/>
              <w:keepNext w:val="0"/>
              <w:keepLines w:val="0"/>
              <w:pageBreakBefore w:val="0"/>
              <w:widowControl/>
              <w:kinsoku/>
              <w:wordWrap/>
              <w:overflowPunct/>
              <w:topLinePunct w:val="0"/>
              <w:autoSpaceDE/>
              <w:autoSpaceDN/>
              <w:bidi w:val="0"/>
              <w:adjustRightInd/>
              <w:snapToGrid w:val="0"/>
              <w:ind w:left="0" w:leftChars="0" w:firstLine="0" w:firstLineChars="0"/>
              <w:jc w:val="center"/>
              <w:textAlignment w:val="auto"/>
              <w:rPr>
                <w:rStyle w:val="62"/>
                <w:rFonts w:hint="default" w:ascii="Times New Roman" w:hAnsi="Times New Roman" w:cs="Times New Roman" w:eastAsiaTheme="minorEastAsia"/>
                <w:i w:val="0"/>
                <w:iCs/>
                <w:color w:val="auto"/>
                <w:sz w:val="24"/>
                <w:szCs w:val="32"/>
              </w:rPr>
            </w:pPr>
            <w:r>
              <w:rPr>
                <w:rFonts w:hint="default"/>
                <w:color w:val="auto"/>
              </w:rPr>
              <w:object>
                <v:shape id="_x0000_i1027" o:spt="75" type="#_x0000_t75" style="height:299.65pt;width:392.55pt;" o:ole="t" filled="f" o:preferrelative="t" stroked="f" coordsize="21600,21600">
                  <v:path/>
                  <v:fill on="f" focussize="0,0"/>
                  <v:stroke on="f"/>
                  <v:imagedata r:id="rId23" o:title=""/>
                  <o:lock v:ext="edit" aspectratio="f"/>
                  <w10:wrap type="none"/>
                  <w10:anchorlock/>
                </v:shape>
                <o:OLEObject Type="Embed" ProgID="Visio.Drawing.11" ShapeID="_x0000_i1027" DrawAspect="Content" ObjectID="_1468075727" r:id="rId22">
                  <o:LockedField>false</o:LockedField>
                </o:OLEObject>
              </w:object>
            </w:r>
            <w:r>
              <w:rPr>
                <w:rStyle w:val="62"/>
                <w:rFonts w:hint="default" w:ascii="Times New Roman" w:hAnsi="Times New Roman" w:cs="Times New Roman" w:eastAsiaTheme="minorEastAsia"/>
                <w:i w:val="0"/>
                <w:iCs/>
                <w:color w:val="auto"/>
                <w:sz w:val="24"/>
                <w:szCs w:val="32"/>
              </w:rPr>
              <w:t>图2-</w:t>
            </w:r>
            <w:r>
              <w:rPr>
                <w:rStyle w:val="62"/>
                <w:rFonts w:hint="eastAsia" w:ascii="Times New Roman" w:hAnsi="Times New Roman" w:cs="Times New Roman" w:eastAsiaTheme="minorEastAsia"/>
                <w:i w:val="0"/>
                <w:iCs/>
                <w:color w:val="auto"/>
                <w:sz w:val="24"/>
                <w:szCs w:val="32"/>
                <w:lang w:val="en-US" w:eastAsia="zh-CN"/>
              </w:rPr>
              <w:t>2</w:t>
            </w:r>
            <w:r>
              <w:rPr>
                <w:rStyle w:val="62"/>
                <w:rFonts w:hint="default" w:ascii="Times New Roman" w:hAnsi="Times New Roman" w:cs="Times New Roman" w:eastAsiaTheme="minorEastAsia"/>
                <w:i w:val="0"/>
                <w:iCs/>
                <w:color w:val="auto"/>
                <w:sz w:val="24"/>
                <w:szCs w:val="32"/>
                <w:lang w:val="en-US" w:eastAsia="zh-CN"/>
              </w:rPr>
              <w:t xml:space="preserve"> </w:t>
            </w:r>
            <w:r>
              <w:rPr>
                <w:rStyle w:val="62"/>
                <w:rFonts w:hint="default" w:ascii="Times New Roman" w:hAnsi="Times New Roman" w:cs="Times New Roman" w:eastAsiaTheme="minorEastAsia"/>
                <w:i w:val="0"/>
                <w:iCs/>
                <w:color w:val="auto"/>
                <w:sz w:val="24"/>
                <w:szCs w:val="32"/>
              </w:rPr>
              <w:t xml:space="preserve">项目水量平衡图 </w:t>
            </w:r>
            <w:r>
              <w:rPr>
                <w:rStyle w:val="62"/>
                <w:rFonts w:hint="default" w:ascii="Times New Roman" w:hAnsi="Times New Roman" w:cs="Times New Roman" w:eastAsiaTheme="minorEastAsia"/>
                <w:i w:val="0"/>
                <w:iCs/>
                <w:color w:val="auto"/>
                <w:sz w:val="24"/>
                <w:szCs w:val="32"/>
                <w:lang w:val="en-US" w:eastAsia="zh-CN"/>
              </w:rPr>
              <w:t xml:space="preserve">      </w:t>
            </w:r>
            <w:r>
              <w:rPr>
                <w:rStyle w:val="62"/>
                <w:rFonts w:hint="default" w:ascii="Times New Roman" w:hAnsi="Times New Roman" w:cs="Times New Roman" w:eastAsiaTheme="minorEastAsia"/>
                <w:i w:val="0"/>
                <w:iCs/>
                <w:color w:val="auto"/>
                <w:sz w:val="24"/>
                <w:szCs w:val="32"/>
              </w:rPr>
              <w:t xml:space="preserve"> 单位：m</w:t>
            </w:r>
            <w:r>
              <w:rPr>
                <w:rStyle w:val="62"/>
                <w:rFonts w:hint="default" w:ascii="Times New Roman" w:hAnsi="Times New Roman" w:cs="Times New Roman" w:eastAsiaTheme="minorEastAsia"/>
                <w:i w:val="0"/>
                <w:iCs/>
                <w:color w:val="auto"/>
                <w:sz w:val="24"/>
                <w:szCs w:val="32"/>
                <w:vertAlign w:val="superscript"/>
              </w:rPr>
              <w:t>3</w:t>
            </w:r>
            <w:r>
              <w:rPr>
                <w:rStyle w:val="62"/>
                <w:rFonts w:hint="default" w:ascii="Times New Roman" w:hAnsi="Times New Roman" w:cs="Times New Roman" w:eastAsiaTheme="minorEastAsia"/>
                <w:i w:val="0"/>
                <w:iCs/>
                <w:color w:val="auto"/>
                <w:sz w:val="24"/>
                <w:szCs w:val="32"/>
              </w:rPr>
              <w:t>/d</w:t>
            </w:r>
          </w:p>
          <w:p w14:paraId="6867AAB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eastAsia" w:cs="Times New Roman"/>
                <w:b/>
                <w:bCs/>
                <w:color w:val="auto"/>
                <w:lang w:val="en-US" w:eastAsia="zh-CN"/>
              </w:rPr>
              <w:t>8</w:t>
            </w:r>
            <w:r>
              <w:rPr>
                <w:rFonts w:hint="default" w:ascii="Times New Roman" w:hAnsi="Times New Roman" w:cs="Times New Roman"/>
                <w:b/>
                <w:bCs/>
                <w:color w:val="auto"/>
                <w:lang w:eastAsia="zh-CN"/>
              </w:rPr>
              <w:t>、</w:t>
            </w:r>
            <w:r>
              <w:rPr>
                <w:rFonts w:hint="default" w:ascii="Times New Roman" w:hAnsi="Times New Roman" w:eastAsia="宋体" w:cs="Times New Roman"/>
                <w:b/>
                <w:bCs/>
                <w:color w:val="auto"/>
                <w:lang w:val="en-US" w:eastAsia="zh-CN"/>
              </w:rPr>
              <w:t>劳动</w:t>
            </w:r>
            <w:r>
              <w:rPr>
                <w:rFonts w:hint="default" w:ascii="Times New Roman" w:hAnsi="Times New Roman" w:cs="Times New Roman"/>
                <w:b/>
                <w:bCs/>
                <w:color w:val="auto"/>
              </w:rPr>
              <w:t>定员及工作制度</w:t>
            </w:r>
          </w:p>
          <w:p w14:paraId="45BBE239">
            <w:pPr>
              <w:keepNext w:val="0"/>
              <w:pageBreakBefore w:val="0"/>
              <w:widowControl w:val="0"/>
              <w:kinsoku/>
              <w:overflowPunct/>
              <w:autoSpaceDE/>
              <w:autoSpaceDN/>
              <w:bidi w:val="0"/>
              <w:adjustRightInd/>
              <w:snapToGrid/>
              <w:ind w:firstLine="480"/>
              <w:textAlignment w:val="auto"/>
              <w:rPr>
                <w:rFonts w:hint="default" w:ascii="Times New Roman" w:hAnsi="Times New Roman" w:cs="Times New Roman"/>
                <w:color w:val="auto"/>
                <w:lang w:val="en-US"/>
              </w:rPr>
            </w:pPr>
            <w:r>
              <w:rPr>
                <w:rFonts w:hint="default" w:ascii="Times New Roman" w:hAnsi="Times New Roman" w:cs="Times New Roman"/>
                <w:color w:val="auto"/>
              </w:rPr>
              <w:t>劳动定员：</w:t>
            </w:r>
            <w:r>
              <w:rPr>
                <w:rFonts w:hint="default" w:ascii="Times New Roman" w:hAnsi="Times New Roman" w:eastAsia="宋体" w:cs="Times New Roman"/>
                <w:b w:val="0"/>
                <w:bCs/>
                <w:color w:val="auto"/>
                <w:sz w:val="24"/>
                <w:szCs w:val="24"/>
                <w:lang w:val="en-US" w:eastAsia="zh-CN"/>
              </w:rPr>
              <w:t>本项目劳动定员为</w:t>
            </w:r>
            <w:r>
              <w:rPr>
                <w:rFonts w:hint="eastAsia"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人，在厂区内食宿，年工作300d，实行1班制，每班8小时，总工作时间为2400小时</w:t>
            </w:r>
            <w:r>
              <w:rPr>
                <w:rFonts w:hint="eastAsia" w:ascii="Times New Roman" w:hAnsi="Times New Roman" w:eastAsia="宋体" w:cs="Times New Roman"/>
                <w:b w:val="0"/>
                <w:bCs/>
                <w:color w:val="auto"/>
                <w:sz w:val="24"/>
                <w:szCs w:val="24"/>
                <w:lang w:val="en-US" w:eastAsia="zh-CN"/>
              </w:rPr>
              <w:t>。</w:t>
            </w:r>
          </w:p>
          <w:p w14:paraId="56DDEABD">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color w:val="auto"/>
              </w:rPr>
            </w:pPr>
            <w:r>
              <w:rPr>
                <w:rFonts w:hint="eastAsia" w:cs="Times New Roman"/>
                <w:b/>
                <w:bCs/>
                <w:color w:val="auto"/>
                <w:lang w:val="en-US" w:eastAsia="zh-CN"/>
              </w:rPr>
              <w:t>9</w:t>
            </w:r>
            <w:r>
              <w:rPr>
                <w:rFonts w:hint="default" w:ascii="Times New Roman" w:hAnsi="Times New Roman" w:cs="Times New Roman"/>
                <w:b/>
                <w:bCs/>
                <w:color w:val="auto"/>
                <w:lang w:eastAsia="zh-CN"/>
              </w:rPr>
              <w:t>、</w:t>
            </w:r>
            <w:r>
              <w:rPr>
                <w:rFonts w:hint="default" w:ascii="Times New Roman" w:hAnsi="Times New Roman" w:cs="Times New Roman"/>
                <w:b/>
                <w:bCs/>
                <w:color w:val="auto"/>
              </w:rPr>
              <w:t>厂区平面布置</w:t>
            </w:r>
          </w:p>
          <w:p w14:paraId="2CC94150">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rPr>
              <w:t>本项目</w:t>
            </w:r>
            <w:r>
              <w:rPr>
                <w:rFonts w:hint="default" w:ascii="Times New Roman" w:hAnsi="Times New Roman" w:cs="Times New Roman" w:eastAsiaTheme="minorEastAsia"/>
                <w:color w:val="auto"/>
                <w:sz w:val="24"/>
                <w:szCs w:val="24"/>
                <w:lang w:val="en-US" w:eastAsia="zh-CN"/>
              </w:rPr>
              <w:t>占地面积为3240m</w:t>
            </w:r>
            <w:r>
              <w:rPr>
                <w:rFonts w:hint="default" w:ascii="Times New Roman" w:hAnsi="Times New Roman" w:cs="Times New Roman" w:eastAsiaTheme="minorEastAsia"/>
                <w:color w:val="auto"/>
                <w:sz w:val="24"/>
                <w:szCs w:val="24"/>
                <w:vertAlign w:val="superscript"/>
                <w:lang w:val="en-US" w:eastAsia="zh-CN"/>
              </w:rPr>
              <w:t>2</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rPr>
              <w:t>项目总体布局较简单</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整个生产工段布设于封闭的厂房内，从东北往西南依次为原料区、生产加工区、成品堆存区、</w:t>
            </w:r>
            <w:r>
              <w:rPr>
                <w:rFonts w:hint="eastAsia" w:cs="Times New Roman" w:eastAsiaTheme="minorEastAsia"/>
                <w:color w:val="auto"/>
                <w:sz w:val="24"/>
                <w:lang w:val="en-US" w:eastAsia="zh-CN"/>
              </w:rPr>
              <w:t>生物质蒸汽发生器</w:t>
            </w:r>
            <w:r>
              <w:rPr>
                <w:rFonts w:hint="default" w:ascii="Times New Roman" w:hAnsi="Times New Roman" w:cs="Times New Roman" w:eastAsiaTheme="minorEastAsia"/>
                <w:color w:val="auto"/>
                <w:sz w:val="24"/>
                <w:lang w:val="en-US" w:eastAsia="zh-CN"/>
              </w:rPr>
              <w:t>区、一般固废暂存区以及危废暂存间，</w:t>
            </w:r>
            <w:r>
              <w:rPr>
                <w:rFonts w:hint="default" w:ascii="Times New Roman" w:hAnsi="Times New Roman" w:cs="Times New Roman" w:eastAsiaTheme="minorEastAsia"/>
                <w:color w:val="auto"/>
                <w:sz w:val="24"/>
                <w:szCs w:val="24"/>
                <w:lang w:eastAsia="zh-CN"/>
              </w:rPr>
              <w:t>项目主要噪声污染源布置在生产车间内，以确保项目厂界噪声达标，避免项目噪声对周边</w:t>
            </w:r>
            <w:r>
              <w:rPr>
                <w:rFonts w:hint="default" w:ascii="Times New Roman" w:hAnsi="Times New Roman" w:cs="Times New Roman" w:eastAsiaTheme="minorEastAsia"/>
                <w:color w:val="auto"/>
                <w:sz w:val="24"/>
                <w:szCs w:val="24"/>
                <w:lang w:val="en-US" w:eastAsia="zh-CN"/>
              </w:rPr>
              <w:t>敏感点</w:t>
            </w:r>
            <w:r>
              <w:rPr>
                <w:rFonts w:hint="default" w:ascii="Times New Roman" w:hAnsi="Times New Roman" w:cs="Times New Roman" w:eastAsiaTheme="minorEastAsia"/>
                <w:color w:val="auto"/>
                <w:sz w:val="24"/>
                <w:szCs w:val="24"/>
                <w:lang w:eastAsia="zh-CN"/>
              </w:rPr>
              <w:t>的影响，</w:t>
            </w:r>
            <w:r>
              <w:rPr>
                <w:rFonts w:hint="default" w:ascii="Times New Roman" w:hAnsi="Times New Roman" w:cs="Times New Roman" w:eastAsiaTheme="minorEastAsia"/>
                <w:color w:val="auto"/>
                <w:sz w:val="24"/>
                <w:szCs w:val="24"/>
                <w:lang w:val="en-US" w:eastAsia="zh-CN"/>
              </w:rPr>
              <w:t>发泡工段产生的废气经配套建设的两级活性炭吸附装置处理后，经1根15m排气筒（DA001）外排，对外环境影响较小，</w:t>
            </w:r>
            <w:r>
              <w:rPr>
                <w:rFonts w:hint="eastAsia" w:cs="Times New Roman" w:eastAsiaTheme="minorEastAsia"/>
                <w:color w:val="auto"/>
                <w:sz w:val="24"/>
                <w:szCs w:val="24"/>
                <w:lang w:val="en-US" w:eastAsia="zh-CN"/>
              </w:rPr>
              <w:t>生物质蒸汽发生器</w:t>
            </w:r>
            <w:r>
              <w:rPr>
                <w:rFonts w:hint="default" w:ascii="Times New Roman" w:hAnsi="Times New Roman" w:cs="Times New Roman" w:eastAsiaTheme="minorEastAsia"/>
                <w:color w:val="auto"/>
                <w:sz w:val="24"/>
                <w:szCs w:val="24"/>
                <w:lang w:val="en-US" w:eastAsia="zh-CN"/>
              </w:rPr>
              <w:t>产生的废气经</w:t>
            </w:r>
            <w:r>
              <w:rPr>
                <w:rFonts w:hint="eastAsia" w:cs="Times New Roman" w:eastAsiaTheme="minorEastAsia"/>
                <w:color w:val="auto"/>
                <w:sz w:val="24"/>
                <w:szCs w:val="24"/>
                <w:lang w:val="en-US" w:eastAsia="zh-CN"/>
              </w:rPr>
              <w:t>旋风除尘+布袋除尘</w:t>
            </w:r>
            <w:r>
              <w:rPr>
                <w:rFonts w:hint="default" w:ascii="Times New Roman" w:hAnsi="Times New Roman" w:cs="Times New Roman" w:eastAsiaTheme="minorEastAsia"/>
                <w:color w:val="auto"/>
                <w:sz w:val="24"/>
                <w:szCs w:val="24"/>
                <w:lang w:val="en-US" w:eastAsia="zh-CN"/>
              </w:rPr>
              <w:t>处理后，通过1根30m排气筒（DA002）外排，对外环境影响较小。办公生活区布设于闲置的场地，采用简易的活动板房，位于项目东南面，远离生产区，尽量减少生产工段产生的污染对办公生活区的影响，厨房紧邻办公生活区，为砖混结构，蓄水池（1个，容积为100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，主要用于厂区停水时，保证生产正常运行）位于办公生活区中部，</w:t>
            </w:r>
            <w:r>
              <w:rPr>
                <w:rFonts w:hint="eastAsia" w:cs="Times New Roman" w:eastAsiaTheme="minorEastAsia"/>
                <w:color w:val="auto"/>
                <w:sz w:val="24"/>
                <w:szCs w:val="24"/>
                <w:lang w:val="en-US" w:eastAsia="zh-CN"/>
              </w:rPr>
              <w:t>一体化污水处理设施和化粪池布设于生活区西南侧，</w:t>
            </w:r>
            <w:r>
              <w:rPr>
                <w:rFonts w:hint="default" w:ascii="Times New Roman" w:hAnsi="Times New Roman" w:cs="Times New Roman" w:eastAsiaTheme="minorEastAsia"/>
                <w:color w:val="auto"/>
                <w:sz w:val="24"/>
                <w:szCs w:val="24"/>
                <w:lang w:val="en-US" w:eastAsia="zh-CN"/>
              </w:rPr>
              <w:t>项目出入口布设于厂区东侧，临近内部道路，方便原料和成品的运输</w:t>
            </w:r>
            <w:r>
              <w:rPr>
                <w:rFonts w:hint="default" w:ascii="Times New Roman" w:hAnsi="Times New Roman" w:cs="Times New Roman" w:eastAsiaTheme="minorEastAsia"/>
                <w:color w:val="auto"/>
                <w:sz w:val="24"/>
                <w:szCs w:val="24"/>
                <w:lang w:val="en-US" w:eastAsia="zh-CN" w:bidi="ar-SA"/>
              </w:rPr>
              <w:t>。</w:t>
            </w:r>
            <w:r>
              <w:rPr>
                <w:rFonts w:hint="default" w:ascii="Times New Roman" w:hAnsi="Times New Roman" w:cs="Times New Roman" w:eastAsiaTheme="minorEastAsia"/>
                <w:color w:val="auto"/>
              </w:rPr>
              <w:t>项目内各功能区划分明确，</w:t>
            </w:r>
            <w:r>
              <w:rPr>
                <w:rFonts w:hint="default" w:ascii="Times New Roman" w:hAnsi="Times New Roman" w:cs="Times New Roman" w:eastAsiaTheme="minorEastAsia"/>
                <w:color w:val="auto"/>
                <w:lang w:eastAsia="zh-CN"/>
              </w:rPr>
              <w:t>便于生产</w:t>
            </w:r>
            <w:r>
              <w:rPr>
                <w:rFonts w:hint="default" w:ascii="Times New Roman" w:hAnsi="Times New Roman" w:cs="Times New Roman" w:eastAsiaTheme="minorEastAsia"/>
                <w:color w:val="auto"/>
              </w:rPr>
              <w:t>，生产车间距离周边敏感点较远</w:t>
            </w:r>
            <w:r>
              <w:rPr>
                <w:rFonts w:hint="default" w:ascii="Times New Roman" w:hAnsi="Times New Roman" w:cs="Times New Roman" w:eastAsiaTheme="minorEastAsia"/>
                <w:color w:val="auto"/>
                <w:lang w:eastAsia="zh-CN"/>
              </w:rPr>
              <w:t>。</w:t>
            </w:r>
          </w:p>
          <w:p w14:paraId="770BAE13">
            <w:pPr>
              <w:keepNext w:val="0"/>
              <w:keepLines/>
              <w:pageBreakBefore w:val="0"/>
              <w:widowControl w:val="0"/>
              <w:kinsoku/>
              <w:wordWrap w:val="0"/>
              <w:overflowPunct/>
              <w:topLinePunct/>
              <w:autoSpaceDE/>
              <w:autoSpaceDN/>
              <w:bidi w:val="0"/>
              <w:adjustRightInd/>
              <w:snapToGrid/>
              <w:ind w:firstLine="480" w:firstLineChars="200"/>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本项目平面布置示意图见附图</w:t>
            </w:r>
            <w:r>
              <w:rPr>
                <w:rFonts w:hint="eastAsia" w:cs="Times New Roman" w:eastAsiaTheme="minorEastAsia"/>
                <w:color w:val="auto"/>
                <w:lang w:val="en-US" w:eastAsia="zh-CN"/>
              </w:rPr>
              <w:t>3</w:t>
            </w:r>
            <w:r>
              <w:rPr>
                <w:rFonts w:hint="default" w:ascii="Times New Roman" w:hAnsi="Times New Roman" w:cs="Times New Roman" w:eastAsiaTheme="minorEastAsia"/>
                <w:color w:val="auto"/>
              </w:rPr>
              <w:t>。</w:t>
            </w:r>
          </w:p>
          <w:p w14:paraId="31F8079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eastAsia" w:cs="Times New Roman"/>
                <w:b/>
                <w:bCs/>
                <w:color w:val="auto"/>
                <w:lang w:val="en-US" w:eastAsia="zh-CN"/>
              </w:rPr>
              <w:t>10</w:t>
            </w:r>
            <w:r>
              <w:rPr>
                <w:rFonts w:hint="default" w:ascii="Times New Roman" w:hAnsi="Times New Roman" w:cs="Times New Roman"/>
                <w:b/>
                <w:bCs/>
                <w:color w:val="auto"/>
                <w:lang w:eastAsia="zh-CN"/>
              </w:rPr>
              <w:t>、</w:t>
            </w:r>
            <w:r>
              <w:rPr>
                <w:rFonts w:hint="default" w:ascii="Times New Roman" w:hAnsi="Times New Roman" w:cs="Times New Roman"/>
                <w:b/>
                <w:bCs/>
                <w:color w:val="auto"/>
              </w:rPr>
              <w:t>环保投资</w:t>
            </w:r>
          </w:p>
          <w:p w14:paraId="4D4EDE39">
            <w:pPr>
              <w:ind w:firstLine="480"/>
              <w:rPr>
                <w:rFonts w:hint="default" w:ascii="Times New Roman" w:hAnsi="Times New Roman" w:cs="Times New Roman"/>
                <w:color w:val="auto"/>
              </w:rPr>
            </w:pPr>
            <w:r>
              <w:rPr>
                <w:rFonts w:hint="default" w:ascii="Times New Roman" w:hAnsi="Times New Roman" w:cs="Times New Roman"/>
                <w:color w:val="auto"/>
              </w:rPr>
              <w:t>本项目总投资</w:t>
            </w:r>
            <w:r>
              <w:rPr>
                <w:rFonts w:hint="eastAsia" w:cs="Times New Roman"/>
                <w:color w:val="auto"/>
                <w:lang w:val="en-US" w:eastAsia="zh-CN"/>
              </w:rPr>
              <w:t>350</w:t>
            </w:r>
            <w:r>
              <w:rPr>
                <w:rFonts w:hint="default" w:ascii="Times New Roman" w:hAnsi="Times New Roman" w:cs="Times New Roman"/>
                <w:color w:val="auto"/>
              </w:rPr>
              <w:t>万元，其中环保投资估算为</w:t>
            </w:r>
            <w:r>
              <w:rPr>
                <w:rFonts w:hint="eastAsia" w:cs="Times New Roman"/>
                <w:color w:val="auto"/>
                <w:lang w:val="en-US" w:eastAsia="zh-CN"/>
              </w:rPr>
              <w:t>52.5</w:t>
            </w:r>
            <w:r>
              <w:rPr>
                <w:rFonts w:hint="default" w:ascii="Times New Roman" w:hAnsi="Times New Roman" w:cs="Times New Roman"/>
                <w:color w:val="auto"/>
              </w:rPr>
              <w:t>万元，占总投资</w:t>
            </w:r>
            <w:r>
              <w:rPr>
                <w:rFonts w:hint="eastAsia" w:cs="Times New Roman"/>
                <w:color w:val="auto"/>
                <w:lang w:val="en-US" w:eastAsia="zh-CN"/>
              </w:rPr>
              <w:t>15</w:t>
            </w:r>
            <w:r>
              <w:rPr>
                <w:rFonts w:hint="default" w:ascii="Times New Roman" w:hAnsi="Times New Roman" w:cs="Times New Roman"/>
                <w:color w:val="auto"/>
              </w:rPr>
              <w:t>%，具体见下表</w:t>
            </w:r>
            <w:r>
              <w:rPr>
                <w:rFonts w:hint="eastAsia" w:cs="Times New Roman"/>
                <w:color w:val="auto"/>
                <w:lang w:val="en-US" w:eastAsia="zh-CN"/>
              </w:rPr>
              <w:t>2-9</w:t>
            </w:r>
            <w:r>
              <w:rPr>
                <w:rFonts w:hint="default" w:ascii="Times New Roman" w:hAnsi="Times New Roman" w:cs="Times New Roman"/>
                <w:color w:val="auto"/>
              </w:rPr>
              <w:t>。</w:t>
            </w:r>
          </w:p>
          <w:p w14:paraId="0A112C93">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表2-</w:t>
            </w:r>
            <w:r>
              <w:rPr>
                <w:rFonts w:hint="eastAsia" w:cs="Times New Roman"/>
                <w:color w:val="auto"/>
                <w:sz w:val="24"/>
                <w:szCs w:val="32"/>
                <w:lang w:val="en-US" w:eastAsia="zh-CN"/>
              </w:rPr>
              <w:t>9</w:t>
            </w:r>
            <w:r>
              <w:rPr>
                <w:rFonts w:hint="default" w:ascii="Times New Roman" w:hAnsi="Times New Roman" w:cs="Times New Roman"/>
                <w:color w:val="auto"/>
                <w:sz w:val="24"/>
                <w:szCs w:val="32"/>
              </w:rPr>
              <w:t xml:space="preserve"> 项目环保投资一览表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765"/>
              <w:gridCol w:w="1320"/>
              <w:gridCol w:w="4310"/>
              <w:gridCol w:w="982"/>
            </w:tblGrid>
            <w:tr w14:paraId="5AF65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295" w:type="pct"/>
                  <w:noWrap w:val="0"/>
                  <w:vAlign w:val="center"/>
                </w:tcPr>
                <w:p w14:paraId="5E53DA95">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时序</w:t>
                  </w:r>
                </w:p>
              </w:tc>
              <w:tc>
                <w:tcPr>
                  <w:tcW w:w="487" w:type="pct"/>
                  <w:noWrap w:val="0"/>
                  <w:vAlign w:val="center"/>
                </w:tcPr>
                <w:p w14:paraId="6CA4E536">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类型</w:t>
                  </w:r>
                </w:p>
              </w:tc>
              <w:tc>
                <w:tcPr>
                  <w:tcW w:w="841" w:type="pct"/>
                  <w:noWrap w:val="0"/>
                  <w:vAlign w:val="center"/>
                </w:tcPr>
                <w:p w14:paraId="6A7BD86B">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项目</w:t>
                  </w:r>
                </w:p>
              </w:tc>
              <w:tc>
                <w:tcPr>
                  <w:tcW w:w="2748" w:type="pct"/>
                  <w:noWrap w:val="0"/>
                  <w:vAlign w:val="center"/>
                </w:tcPr>
                <w:p w14:paraId="2A8B89DE">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环保建设内容</w:t>
                  </w:r>
                </w:p>
              </w:tc>
              <w:tc>
                <w:tcPr>
                  <w:tcW w:w="626" w:type="pct"/>
                  <w:noWrap w:val="0"/>
                  <w:vAlign w:val="center"/>
                </w:tcPr>
                <w:p w14:paraId="58A83ACD">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投资</w:t>
                  </w:r>
                </w:p>
                <w:p w14:paraId="057802F0">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bCs w:val="0"/>
                      <w:color w:val="auto"/>
                      <w:kern w:val="2"/>
                      <w:sz w:val="21"/>
                      <w:szCs w:val="21"/>
                      <w:lang w:val="en-US" w:eastAsia="zh-CN" w:bidi="ar-SA"/>
                    </w:rPr>
                  </w:pPr>
                  <w:r>
                    <w:rPr>
                      <w:rFonts w:hint="default" w:ascii="Times New Roman" w:hAnsi="Times New Roman" w:cs="Times New Roman" w:eastAsiaTheme="minorEastAsia"/>
                      <w:b/>
                      <w:bCs w:val="0"/>
                      <w:color w:val="auto"/>
                      <w:sz w:val="21"/>
                      <w:szCs w:val="21"/>
                    </w:rPr>
                    <w:t>（万元）</w:t>
                  </w:r>
                </w:p>
              </w:tc>
            </w:tr>
            <w:tr w14:paraId="3153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295" w:type="pct"/>
                  <w:vMerge w:val="restart"/>
                  <w:noWrap w:val="0"/>
                  <w:vAlign w:val="center"/>
                </w:tcPr>
                <w:p w14:paraId="71B544D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施工期</w:t>
                  </w:r>
                </w:p>
              </w:tc>
              <w:tc>
                <w:tcPr>
                  <w:tcW w:w="487" w:type="pct"/>
                  <w:noWrap w:val="0"/>
                  <w:vAlign w:val="center"/>
                </w:tcPr>
                <w:p w14:paraId="2C98BDC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废气</w:t>
                  </w:r>
                </w:p>
              </w:tc>
              <w:tc>
                <w:tcPr>
                  <w:tcW w:w="841" w:type="pct"/>
                  <w:noWrap w:val="0"/>
                  <w:vAlign w:val="center"/>
                </w:tcPr>
                <w:p w14:paraId="40ED15F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rPr>
                    <w:t>扬尘</w:t>
                  </w:r>
                </w:p>
              </w:tc>
              <w:tc>
                <w:tcPr>
                  <w:tcW w:w="2748" w:type="pct"/>
                  <w:noWrap w:val="0"/>
                  <w:vAlign w:val="center"/>
                </w:tcPr>
                <w:p w14:paraId="3947388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rPr>
                  </w:pPr>
                  <w:r>
                    <w:rPr>
                      <w:rFonts w:hint="default" w:ascii="Times New Roman" w:hAnsi="Times New Roman" w:cs="Times New Roman" w:eastAsiaTheme="minorEastAsia"/>
                      <w:b w:val="0"/>
                      <w:bCs/>
                      <w:color w:val="auto"/>
                      <w:sz w:val="21"/>
                      <w:szCs w:val="21"/>
                      <w:vertAlign w:val="baseline"/>
                      <w:lang w:val="en-US" w:eastAsia="zh-CN"/>
                    </w:rPr>
                    <w:t>防尘网遮盖、定期洒水降尘</w:t>
                  </w:r>
                  <w:r>
                    <w:rPr>
                      <w:rFonts w:hint="eastAsia" w:ascii="Times New Roman" w:hAnsi="Times New Roman" w:cs="Times New Roman" w:eastAsiaTheme="minorEastAsia"/>
                      <w:b w:val="0"/>
                      <w:bCs/>
                      <w:color w:val="auto"/>
                      <w:sz w:val="21"/>
                      <w:szCs w:val="21"/>
                      <w:vertAlign w:val="baseline"/>
                      <w:lang w:val="en-US" w:eastAsia="zh-CN"/>
                    </w:rPr>
                    <w:t>、及时清运建筑垃圾、焊接烟气采取加强通风扩散和施工人员防护</w:t>
                  </w:r>
                </w:p>
              </w:tc>
              <w:tc>
                <w:tcPr>
                  <w:tcW w:w="626" w:type="pct"/>
                  <w:noWrap w:val="0"/>
                  <w:vAlign w:val="center"/>
                </w:tcPr>
                <w:p w14:paraId="646AEEE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0.5</w:t>
                  </w:r>
                </w:p>
              </w:tc>
            </w:tr>
            <w:tr w14:paraId="322A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vMerge w:val="continue"/>
                  <w:noWrap w:val="0"/>
                  <w:vAlign w:val="center"/>
                </w:tcPr>
                <w:p w14:paraId="58EA403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noWrap w:val="0"/>
                  <w:vAlign w:val="center"/>
                </w:tcPr>
                <w:p w14:paraId="0520BD9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噪声</w:t>
                  </w:r>
                </w:p>
              </w:tc>
              <w:tc>
                <w:tcPr>
                  <w:tcW w:w="841" w:type="pct"/>
                  <w:noWrap w:val="0"/>
                  <w:vAlign w:val="center"/>
                </w:tcPr>
                <w:p w14:paraId="10B3626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r>
                    <w:rPr>
                      <w:rFonts w:hint="default" w:ascii="Times New Roman" w:hAnsi="Times New Roman" w:cs="Times New Roman" w:eastAsiaTheme="minorEastAsia"/>
                      <w:b w:val="0"/>
                      <w:bCs/>
                      <w:color w:val="auto"/>
                      <w:sz w:val="21"/>
                      <w:szCs w:val="21"/>
                    </w:rPr>
                    <w:t>机械噪声</w:t>
                  </w:r>
                </w:p>
              </w:tc>
              <w:tc>
                <w:tcPr>
                  <w:tcW w:w="2748" w:type="pct"/>
                  <w:noWrap w:val="0"/>
                  <w:vAlign w:val="center"/>
                </w:tcPr>
                <w:p w14:paraId="020B548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rPr>
                  </w:pPr>
                  <w:r>
                    <w:rPr>
                      <w:rFonts w:hint="default" w:ascii="Times New Roman" w:hAnsi="Times New Roman" w:cs="Times New Roman" w:eastAsiaTheme="minorEastAsia"/>
                      <w:b w:val="0"/>
                      <w:bCs/>
                      <w:color w:val="auto"/>
                      <w:sz w:val="21"/>
                      <w:szCs w:val="21"/>
                      <w:vertAlign w:val="baseline"/>
                    </w:rPr>
                    <w:t>选用低噪声设备</w:t>
                  </w:r>
                  <w:r>
                    <w:rPr>
                      <w:rFonts w:hint="default" w:ascii="Times New Roman" w:hAnsi="Times New Roman" w:cs="Times New Roman" w:eastAsiaTheme="minorEastAsia"/>
                      <w:b w:val="0"/>
                      <w:bCs/>
                      <w:color w:val="auto"/>
                      <w:sz w:val="21"/>
                      <w:szCs w:val="21"/>
                      <w:vertAlign w:val="baseline"/>
                      <w:lang w:eastAsia="zh-CN"/>
                    </w:rPr>
                    <w:t>，基础减震，</w:t>
                  </w:r>
                  <w:r>
                    <w:rPr>
                      <w:rFonts w:hint="default" w:ascii="Times New Roman" w:hAnsi="Times New Roman" w:cs="Times New Roman" w:eastAsiaTheme="minorEastAsia"/>
                      <w:b w:val="0"/>
                      <w:bCs/>
                      <w:color w:val="auto"/>
                      <w:sz w:val="21"/>
                      <w:szCs w:val="21"/>
                      <w:vertAlign w:val="baseline"/>
                      <w:lang w:val="en-US" w:eastAsia="zh-CN"/>
                    </w:rPr>
                    <w:t>合理安排施工时间</w:t>
                  </w:r>
                  <w:r>
                    <w:rPr>
                      <w:rFonts w:hint="eastAsia" w:ascii="Times New Roman" w:hAnsi="Times New Roman" w:cs="Times New Roman" w:eastAsiaTheme="minorEastAsia"/>
                      <w:b w:val="0"/>
                      <w:bCs/>
                      <w:color w:val="auto"/>
                      <w:sz w:val="21"/>
                      <w:szCs w:val="21"/>
                      <w:vertAlign w:val="baseline"/>
                      <w:lang w:val="en-US" w:eastAsia="zh-CN"/>
                    </w:rPr>
                    <w:t>、</w:t>
                  </w:r>
                  <w:r>
                    <w:rPr>
                      <w:rFonts w:hint="default" w:ascii="Times New Roman" w:hAnsi="Times New Roman" w:cs="Times New Roman" w:eastAsiaTheme="minorEastAsia"/>
                      <w:b w:val="0"/>
                      <w:bCs/>
                      <w:color w:val="auto"/>
                      <w:sz w:val="21"/>
                      <w:szCs w:val="21"/>
                      <w:vertAlign w:val="baseline"/>
                    </w:rPr>
                    <w:t>施工车辆出入现场时应低速、禁鸣</w:t>
                  </w:r>
                </w:p>
              </w:tc>
              <w:tc>
                <w:tcPr>
                  <w:tcW w:w="626" w:type="pct"/>
                  <w:noWrap w:val="0"/>
                  <w:vAlign w:val="center"/>
                </w:tcPr>
                <w:p w14:paraId="3291DCD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0.3</w:t>
                  </w:r>
                </w:p>
              </w:tc>
            </w:tr>
            <w:tr w14:paraId="5B32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95" w:type="pct"/>
                  <w:vMerge w:val="continue"/>
                  <w:noWrap w:val="0"/>
                  <w:vAlign w:val="center"/>
                </w:tcPr>
                <w:p w14:paraId="163A120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restart"/>
                  <w:noWrap w:val="0"/>
                  <w:vAlign w:val="center"/>
                </w:tcPr>
                <w:p w14:paraId="0FF3E43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固废</w:t>
                  </w:r>
                </w:p>
              </w:tc>
              <w:tc>
                <w:tcPr>
                  <w:tcW w:w="841" w:type="pct"/>
                  <w:noWrap w:val="0"/>
                  <w:vAlign w:val="center"/>
                </w:tcPr>
                <w:p w14:paraId="4865143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废包装材料</w:t>
                  </w:r>
                </w:p>
              </w:tc>
              <w:tc>
                <w:tcPr>
                  <w:tcW w:w="2748" w:type="pct"/>
                  <w:noWrap w:val="0"/>
                  <w:vAlign w:val="center"/>
                </w:tcPr>
                <w:p w14:paraId="28E1933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回收外售</w:t>
                  </w:r>
                </w:p>
              </w:tc>
              <w:tc>
                <w:tcPr>
                  <w:tcW w:w="626" w:type="pct"/>
                  <w:noWrap w:val="0"/>
                  <w:vAlign w:val="center"/>
                </w:tcPr>
                <w:p w14:paraId="633DF6D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w:t>
                  </w:r>
                </w:p>
              </w:tc>
            </w:tr>
            <w:tr w14:paraId="44845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295" w:type="pct"/>
                  <w:vMerge w:val="continue"/>
                  <w:noWrap w:val="0"/>
                  <w:vAlign w:val="center"/>
                </w:tcPr>
                <w:p w14:paraId="51C80E9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continue"/>
                  <w:noWrap w:val="0"/>
                  <w:vAlign w:val="center"/>
                </w:tcPr>
                <w:p w14:paraId="2E8D269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841" w:type="pct"/>
                  <w:shd w:val="clear" w:color="auto" w:fill="auto"/>
                  <w:noWrap w:val="0"/>
                  <w:vAlign w:val="center"/>
                </w:tcPr>
                <w:p w14:paraId="379EE3B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rPr>
                    <w:t>建筑垃圾</w:t>
                  </w:r>
                </w:p>
              </w:tc>
              <w:tc>
                <w:tcPr>
                  <w:tcW w:w="2748" w:type="pct"/>
                  <w:shd w:val="clear" w:color="auto" w:fill="auto"/>
                  <w:noWrap w:val="0"/>
                  <w:vAlign w:val="center"/>
                </w:tcPr>
                <w:p w14:paraId="0E248F8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rPr>
                    <w:t>临时堆放场地覆盖、</w:t>
                  </w:r>
                  <w:r>
                    <w:rPr>
                      <w:rFonts w:hint="default" w:ascii="Times New Roman" w:hAnsi="Times New Roman" w:cs="Times New Roman" w:eastAsiaTheme="minorEastAsia"/>
                      <w:b w:val="0"/>
                      <w:bCs/>
                      <w:color w:val="auto"/>
                      <w:sz w:val="21"/>
                      <w:szCs w:val="21"/>
                      <w:lang w:val="en-US" w:eastAsia="zh-CN"/>
                    </w:rPr>
                    <w:t>能回收的回收，不能回收的</w:t>
                  </w:r>
                  <w:r>
                    <w:rPr>
                      <w:rFonts w:hint="default" w:ascii="Times New Roman" w:hAnsi="Times New Roman" w:cs="Times New Roman" w:eastAsiaTheme="minorEastAsia"/>
                      <w:b w:val="0"/>
                      <w:bCs/>
                      <w:color w:val="auto"/>
                      <w:sz w:val="21"/>
                      <w:szCs w:val="21"/>
                    </w:rPr>
                    <w:t>清运</w:t>
                  </w:r>
                  <w:r>
                    <w:rPr>
                      <w:rFonts w:hint="default" w:ascii="Times New Roman" w:hAnsi="Times New Roman" w:cs="Times New Roman" w:eastAsiaTheme="minorEastAsia"/>
                      <w:b w:val="0"/>
                      <w:bCs/>
                      <w:color w:val="auto"/>
                      <w:sz w:val="21"/>
                      <w:szCs w:val="21"/>
                      <w:lang w:val="en-US" w:eastAsia="zh-CN"/>
                    </w:rPr>
                    <w:t>至政府指定的填埋场进行填埋处置</w:t>
                  </w:r>
                </w:p>
              </w:tc>
              <w:tc>
                <w:tcPr>
                  <w:tcW w:w="626" w:type="pct"/>
                  <w:noWrap w:val="0"/>
                  <w:vAlign w:val="center"/>
                </w:tcPr>
                <w:p w14:paraId="3C1CE7C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0.3</w:t>
                  </w:r>
                </w:p>
              </w:tc>
            </w:tr>
            <w:tr w14:paraId="2C0D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5" w:type="pct"/>
                  <w:vMerge w:val="continue"/>
                  <w:noWrap w:val="0"/>
                  <w:vAlign w:val="center"/>
                </w:tcPr>
                <w:p w14:paraId="3389A57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continue"/>
                  <w:noWrap w:val="0"/>
                  <w:vAlign w:val="center"/>
                </w:tcPr>
                <w:p w14:paraId="3423272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841" w:type="pct"/>
                  <w:noWrap w:val="0"/>
                  <w:vAlign w:val="center"/>
                </w:tcPr>
                <w:p w14:paraId="24AAC231">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rPr>
                    <w:t>生活垃圾</w:t>
                  </w:r>
                  <w:r>
                    <w:rPr>
                      <w:rFonts w:hint="default" w:ascii="Times New Roman" w:hAnsi="Times New Roman" w:cs="Times New Roman" w:eastAsiaTheme="minorEastAsia"/>
                      <w:b w:val="0"/>
                      <w:bCs/>
                      <w:color w:val="auto"/>
                      <w:sz w:val="21"/>
                      <w:szCs w:val="21"/>
                      <w:lang w:eastAsia="zh-CN"/>
                    </w:rPr>
                    <w:t>、</w:t>
                  </w:r>
                  <w:r>
                    <w:rPr>
                      <w:rFonts w:hint="default" w:ascii="Times New Roman" w:hAnsi="Times New Roman" w:cs="Times New Roman" w:eastAsiaTheme="minorEastAsia"/>
                      <w:b w:val="0"/>
                      <w:bCs/>
                      <w:color w:val="auto"/>
                      <w:sz w:val="21"/>
                      <w:szCs w:val="21"/>
                      <w:lang w:val="en-US" w:eastAsia="zh-CN"/>
                    </w:rPr>
                    <w:t>焊接废渣</w:t>
                  </w:r>
                </w:p>
              </w:tc>
              <w:tc>
                <w:tcPr>
                  <w:tcW w:w="2748" w:type="pct"/>
                  <w:noWrap w:val="0"/>
                  <w:vAlign w:val="center"/>
                </w:tcPr>
                <w:p w14:paraId="2FCAFFA9">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焊接废渣并入生活垃圾，统一袋装收集后，送至附近的垃圾暂存点，由当地环卫部门统一清运</w:t>
                  </w:r>
                </w:p>
              </w:tc>
              <w:tc>
                <w:tcPr>
                  <w:tcW w:w="626" w:type="pct"/>
                  <w:noWrap w:val="0"/>
                  <w:vAlign w:val="center"/>
                </w:tcPr>
                <w:p w14:paraId="7051440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0.2</w:t>
                  </w:r>
                </w:p>
              </w:tc>
            </w:tr>
            <w:tr w14:paraId="7496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295" w:type="pct"/>
                  <w:vMerge w:val="continue"/>
                  <w:noWrap w:val="0"/>
                  <w:vAlign w:val="center"/>
                </w:tcPr>
                <w:p w14:paraId="79DADE5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noWrap w:val="0"/>
                  <w:vAlign w:val="center"/>
                </w:tcPr>
                <w:p w14:paraId="6F5EB42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废水</w:t>
                  </w:r>
                </w:p>
              </w:tc>
              <w:tc>
                <w:tcPr>
                  <w:tcW w:w="841" w:type="pct"/>
                  <w:noWrap w:val="0"/>
                  <w:vAlign w:val="center"/>
                </w:tcPr>
                <w:p w14:paraId="09D6EF9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val="en-US" w:eastAsia="zh-CN"/>
                    </w:rPr>
                    <w:t>生活</w:t>
                  </w:r>
                  <w:r>
                    <w:rPr>
                      <w:rFonts w:hint="default" w:ascii="Times New Roman" w:hAnsi="Times New Roman" w:cs="Times New Roman" w:eastAsiaTheme="minorEastAsia"/>
                      <w:b w:val="0"/>
                      <w:bCs/>
                      <w:color w:val="auto"/>
                      <w:sz w:val="21"/>
                      <w:szCs w:val="21"/>
                      <w:vertAlign w:val="baseline"/>
                      <w:lang w:eastAsia="zh-CN"/>
                    </w:rPr>
                    <w:t>废水</w:t>
                  </w:r>
                </w:p>
              </w:tc>
              <w:tc>
                <w:tcPr>
                  <w:tcW w:w="2748" w:type="pct"/>
                  <w:noWrap w:val="0"/>
                  <w:vAlign w:val="center"/>
                </w:tcPr>
                <w:p w14:paraId="77AFFF6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bidi="ar"/>
                    </w:rPr>
                    <w:t>沉淀池，容积为2m</w:t>
                  </w:r>
                  <w:r>
                    <w:rPr>
                      <w:rFonts w:hint="default" w:ascii="Times New Roman" w:hAnsi="Times New Roman" w:cs="Times New Roman" w:eastAsiaTheme="minorEastAsia"/>
                      <w:color w:val="auto"/>
                      <w:sz w:val="21"/>
                      <w:szCs w:val="21"/>
                      <w:vertAlign w:val="superscript"/>
                      <w:lang w:val="en-US" w:eastAsia="zh-CN" w:bidi="ar"/>
                    </w:rPr>
                    <w:t>3</w:t>
                  </w:r>
                </w:p>
              </w:tc>
              <w:tc>
                <w:tcPr>
                  <w:tcW w:w="626" w:type="pct"/>
                  <w:noWrap w:val="0"/>
                  <w:vAlign w:val="center"/>
                </w:tcPr>
                <w:p w14:paraId="41A3414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0.3</w:t>
                  </w:r>
                </w:p>
              </w:tc>
            </w:tr>
            <w:tr w14:paraId="7DA66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95" w:type="pct"/>
                  <w:vMerge w:val="restart"/>
                  <w:noWrap w:val="0"/>
                  <w:vAlign w:val="center"/>
                </w:tcPr>
                <w:p w14:paraId="54E8376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运营期</w:t>
                  </w:r>
                </w:p>
              </w:tc>
              <w:tc>
                <w:tcPr>
                  <w:tcW w:w="487" w:type="pct"/>
                  <w:vMerge w:val="restart"/>
                  <w:noWrap w:val="0"/>
                  <w:vAlign w:val="center"/>
                </w:tcPr>
                <w:p w14:paraId="54031C9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废气</w:t>
                  </w:r>
                </w:p>
              </w:tc>
              <w:tc>
                <w:tcPr>
                  <w:tcW w:w="841" w:type="pct"/>
                  <w:noWrap w:val="0"/>
                  <w:vAlign w:val="center"/>
                </w:tcPr>
                <w:p w14:paraId="372ABA0E">
                  <w:pPr>
                    <w:pStyle w:val="6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发泡工段</w:t>
                  </w:r>
                </w:p>
              </w:tc>
              <w:tc>
                <w:tcPr>
                  <w:tcW w:w="2748" w:type="pct"/>
                  <w:noWrap w:val="0"/>
                  <w:vAlign w:val="center"/>
                </w:tcPr>
                <w:p w14:paraId="757CEAC1">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集气罩（</w:t>
                  </w:r>
                  <w:r>
                    <w:rPr>
                      <w:rFonts w:hint="eastAsia" w:ascii="Times New Roman" w:hAnsi="Times New Roman" w:cs="Times New Roman" w:eastAsiaTheme="minorEastAsia"/>
                      <w:b w:val="0"/>
                      <w:bCs/>
                      <w:color w:val="auto"/>
                      <w:kern w:val="2"/>
                      <w:sz w:val="21"/>
                      <w:szCs w:val="21"/>
                      <w:lang w:val="en-US" w:eastAsia="zh-CN" w:bidi="ar-SA"/>
                    </w:rPr>
                    <w:t>2</w:t>
                  </w:r>
                  <w:r>
                    <w:rPr>
                      <w:rFonts w:hint="default" w:ascii="Times New Roman" w:hAnsi="Times New Roman" w:cs="Times New Roman" w:eastAsiaTheme="minorEastAsia"/>
                      <w:b w:val="0"/>
                      <w:bCs/>
                      <w:color w:val="auto"/>
                      <w:kern w:val="2"/>
                      <w:sz w:val="21"/>
                      <w:szCs w:val="21"/>
                      <w:lang w:val="en-US" w:eastAsia="zh-CN" w:bidi="ar-SA"/>
                    </w:rPr>
                    <w:t>个）+1套两级活性炭吸附装置+1根15m排气筒（DA001）</w:t>
                  </w:r>
                </w:p>
              </w:tc>
              <w:tc>
                <w:tcPr>
                  <w:tcW w:w="626" w:type="pct"/>
                  <w:noWrap w:val="0"/>
                  <w:vAlign w:val="center"/>
                </w:tcPr>
                <w:p w14:paraId="3ABC0166">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18.6</w:t>
                  </w:r>
                </w:p>
              </w:tc>
            </w:tr>
            <w:tr w14:paraId="436CC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95" w:type="pct"/>
                  <w:vMerge w:val="continue"/>
                  <w:noWrap w:val="0"/>
                  <w:vAlign w:val="center"/>
                </w:tcPr>
                <w:p w14:paraId="5557B2CB">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487" w:type="pct"/>
                  <w:vMerge w:val="continue"/>
                  <w:noWrap w:val="0"/>
                  <w:vAlign w:val="center"/>
                </w:tcPr>
                <w:p w14:paraId="3A48021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841" w:type="pct"/>
                  <w:shd w:val="clear" w:color="auto" w:fill="auto"/>
                  <w:noWrap w:val="0"/>
                  <w:vAlign w:val="center"/>
                </w:tcPr>
                <w:p w14:paraId="44C9842D">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生物质蒸汽发生器</w:t>
                  </w:r>
                  <w:r>
                    <w:rPr>
                      <w:rFonts w:hint="default" w:ascii="Times New Roman" w:hAnsi="Times New Roman" w:cs="Times New Roman" w:eastAsiaTheme="minorEastAsia"/>
                      <w:b w:val="0"/>
                      <w:bCs/>
                      <w:color w:val="auto"/>
                      <w:kern w:val="2"/>
                      <w:sz w:val="21"/>
                      <w:szCs w:val="21"/>
                      <w:lang w:val="en-US" w:eastAsia="zh-CN" w:bidi="ar-SA"/>
                    </w:rPr>
                    <w:t>加热工段</w:t>
                  </w:r>
                </w:p>
              </w:tc>
              <w:tc>
                <w:tcPr>
                  <w:tcW w:w="2748" w:type="pct"/>
                  <w:shd w:val="clear" w:color="auto" w:fill="auto"/>
                  <w:noWrap w:val="0"/>
                  <w:vAlign w:val="center"/>
                </w:tcPr>
                <w:p w14:paraId="2D1C761F">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kern w:val="2"/>
                      <w:sz w:val="21"/>
                      <w:szCs w:val="21"/>
                      <w:lang w:val="en-US" w:eastAsia="zh-CN" w:bidi="ar-SA"/>
                    </w:rPr>
                    <w:t>管道负压+</w:t>
                  </w:r>
                  <w:r>
                    <w:rPr>
                      <w:rFonts w:hint="eastAsia" w:ascii="Times New Roman" w:hAnsi="Times New Roman" w:cs="Times New Roman" w:eastAsiaTheme="minorEastAsia"/>
                      <w:b w:val="0"/>
                      <w:bCs/>
                      <w:color w:val="auto"/>
                      <w:kern w:val="2"/>
                      <w:sz w:val="21"/>
                      <w:szCs w:val="21"/>
                      <w:lang w:val="en-US" w:eastAsia="zh-CN" w:bidi="ar-SA"/>
                    </w:rPr>
                    <w:t>旋风除尘+布袋除尘</w:t>
                  </w:r>
                  <w:r>
                    <w:rPr>
                      <w:rFonts w:hint="default" w:ascii="Times New Roman" w:hAnsi="Times New Roman" w:cs="Times New Roman" w:eastAsiaTheme="minorEastAsia"/>
                      <w:b w:val="0"/>
                      <w:bCs/>
                      <w:color w:val="auto"/>
                      <w:kern w:val="2"/>
                      <w:sz w:val="21"/>
                      <w:szCs w:val="21"/>
                      <w:lang w:val="en-US" w:eastAsia="zh-CN" w:bidi="ar-SA"/>
                    </w:rPr>
                    <w:t>+1根30m排气筒（DA002）</w:t>
                  </w:r>
                </w:p>
              </w:tc>
              <w:tc>
                <w:tcPr>
                  <w:tcW w:w="626" w:type="pct"/>
                  <w:shd w:val="clear" w:color="auto" w:fill="auto"/>
                  <w:noWrap w:val="0"/>
                  <w:vAlign w:val="center"/>
                </w:tcPr>
                <w:p w14:paraId="607A592B">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17.6</w:t>
                  </w:r>
                </w:p>
              </w:tc>
            </w:tr>
            <w:tr w14:paraId="39C6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vMerge w:val="continue"/>
                  <w:noWrap w:val="0"/>
                  <w:vAlign w:val="center"/>
                </w:tcPr>
                <w:p w14:paraId="21432BD3">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487" w:type="pct"/>
                  <w:vMerge w:val="continue"/>
                  <w:noWrap w:val="0"/>
                  <w:vAlign w:val="center"/>
                </w:tcPr>
                <w:p w14:paraId="0DC58D6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841" w:type="pct"/>
                  <w:shd w:val="clear" w:color="auto" w:fill="auto"/>
                  <w:noWrap w:val="0"/>
                  <w:vAlign w:val="center"/>
                </w:tcPr>
                <w:p w14:paraId="45110E5D">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投料工段</w:t>
                  </w:r>
                </w:p>
              </w:tc>
              <w:tc>
                <w:tcPr>
                  <w:tcW w:w="2748" w:type="pct"/>
                  <w:shd w:val="clear" w:color="auto" w:fill="auto"/>
                  <w:noWrap w:val="0"/>
                  <w:vAlign w:val="center"/>
                </w:tcPr>
                <w:p w14:paraId="3F731146">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密闭围挡、密闭车间、人工清扫</w:t>
                  </w:r>
                </w:p>
              </w:tc>
              <w:tc>
                <w:tcPr>
                  <w:tcW w:w="626" w:type="pct"/>
                  <w:shd w:val="clear" w:color="auto" w:fill="auto"/>
                  <w:noWrap w:val="0"/>
                  <w:vAlign w:val="center"/>
                </w:tcPr>
                <w:p w14:paraId="2F2B79FF">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0.1</w:t>
                  </w:r>
                </w:p>
              </w:tc>
            </w:tr>
            <w:tr w14:paraId="1EEC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295" w:type="pct"/>
                  <w:vMerge w:val="continue"/>
                  <w:noWrap w:val="0"/>
                  <w:vAlign w:val="center"/>
                </w:tcPr>
                <w:p w14:paraId="5BDAB97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continue"/>
                  <w:noWrap w:val="0"/>
                  <w:vAlign w:val="center"/>
                </w:tcPr>
                <w:p w14:paraId="6741FBBA">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841" w:type="pct"/>
                  <w:noWrap w:val="0"/>
                  <w:vAlign w:val="center"/>
                </w:tcPr>
                <w:p w14:paraId="16762174">
                  <w:pPr>
                    <w:pStyle w:val="6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厨房油烟</w:t>
                  </w:r>
                </w:p>
              </w:tc>
              <w:tc>
                <w:tcPr>
                  <w:tcW w:w="2748" w:type="pct"/>
                  <w:noWrap w:val="0"/>
                  <w:vAlign w:val="center"/>
                </w:tcPr>
                <w:p w14:paraId="0AA10AA4">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油烟净化器</w:t>
                  </w:r>
                </w:p>
              </w:tc>
              <w:tc>
                <w:tcPr>
                  <w:tcW w:w="626" w:type="pct"/>
                  <w:noWrap w:val="0"/>
                  <w:vAlign w:val="center"/>
                </w:tcPr>
                <w:p w14:paraId="7C957258">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eastAsia" w:ascii="Times New Roman" w:hAnsi="Times New Roman" w:cs="Times New Roman" w:eastAsiaTheme="minorEastAsia"/>
                      <w:b w:val="0"/>
                      <w:bCs/>
                      <w:color w:val="auto"/>
                      <w:kern w:val="2"/>
                      <w:sz w:val="21"/>
                      <w:szCs w:val="21"/>
                      <w:lang w:val="en-US" w:eastAsia="zh-CN" w:bidi="ar-SA"/>
                    </w:rPr>
                    <w:t>0.2</w:t>
                  </w:r>
                </w:p>
              </w:tc>
            </w:tr>
            <w:tr w14:paraId="18E9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295" w:type="pct"/>
                  <w:vMerge w:val="continue"/>
                  <w:noWrap w:val="0"/>
                  <w:vAlign w:val="center"/>
                </w:tcPr>
                <w:p w14:paraId="7C070BE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restart"/>
                  <w:noWrap w:val="0"/>
                  <w:vAlign w:val="center"/>
                </w:tcPr>
                <w:p w14:paraId="5E6577F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废水</w:t>
                  </w:r>
                </w:p>
              </w:tc>
              <w:tc>
                <w:tcPr>
                  <w:tcW w:w="841" w:type="pct"/>
                  <w:vMerge w:val="restart"/>
                  <w:noWrap w:val="0"/>
                  <w:vAlign w:val="center"/>
                </w:tcPr>
                <w:p w14:paraId="46DF4BFE">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生产污水</w:t>
                  </w:r>
                </w:p>
              </w:tc>
              <w:tc>
                <w:tcPr>
                  <w:tcW w:w="2748" w:type="pct"/>
                  <w:shd w:val="clear" w:color="auto" w:fill="auto"/>
                  <w:noWrap w:val="0"/>
                  <w:vAlign w:val="center"/>
                </w:tcPr>
                <w:p w14:paraId="0C145441">
                  <w:pPr>
                    <w:pStyle w:val="4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冷凝水收集池（收集暂存</w:t>
                  </w:r>
                  <w:r>
                    <w:rPr>
                      <w:rFonts w:hint="default" w:ascii="Times New Roman" w:hAnsi="Times New Roman" w:cs="Times New Roman" w:eastAsiaTheme="minorEastAsia"/>
                      <w:color w:val="auto"/>
                      <w:sz w:val="21"/>
                      <w:szCs w:val="21"/>
                    </w:rPr>
                    <w:t>发泡工段蒸汽冷凝水</w:t>
                  </w:r>
                  <w:r>
                    <w:rPr>
                      <w:rFonts w:hint="default" w:ascii="Times New Roman" w:hAnsi="Times New Roman" w:cs="Times New Roman" w:eastAsiaTheme="minorEastAsia"/>
                      <w:color w:val="auto"/>
                      <w:sz w:val="21"/>
                      <w:szCs w:val="21"/>
                      <w:lang w:val="en-US" w:eastAsia="zh-CN"/>
                    </w:rPr>
                    <w:t>），容积为25</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626" w:type="pct"/>
                  <w:noWrap w:val="0"/>
                  <w:vAlign w:val="center"/>
                </w:tcPr>
                <w:p w14:paraId="571C101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1.8</w:t>
                  </w:r>
                </w:p>
              </w:tc>
            </w:tr>
            <w:tr w14:paraId="2914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95" w:type="pct"/>
                  <w:vMerge w:val="continue"/>
                  <w:noWrap w:val="0"/>
                  <w:vAlign w:val="center"/>
                </w:tcPr>
                <w:p w14:paraId="58811AE1">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continue"/>
                  <w:noWrap w:val="0"/>
                  <w:vAlign w:val="center"/>
                </w:tcPr>
                <w:p w14:paraId="3230A155">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841" w:type="pct"/>
                  <w:vMerge w:val="continue"/>
                  <w:noWrap w:val="0"/>
                  <w:vAlign w:val="center"/>
                </w:tcPr>
                <w:p w14:paraId="240A55D0">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p>
              </w:tc>
              <w:tc>
                <w:tcPr>
                  <w:tcW w:w="2748" w:type="pct"/>
                  <w:shd w:val="clear" w:color="auto" w:fill="auto"/>
                  <w:noWrap w:val="0"/>
                  <w:vAlign w:val="center"/>
                </w:tcPr>
                <w:p w14:paraId="6E569DBD">
                  <w:pPr>
                    <w:pStyle w:val="4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废水收集池，主要收集</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排污水和软水制备废水，容积为15m</w:t>
                  </w:r>
                  <w:r>
                    <w:rPr>
                      <w:rFonts w:hint="default" w:ascii="Times New Roman" w:hAnsi="Times New Roman" w:cs="Times New Roman" w:eastAsiaTheme="minorEastAsia"/>
                      <w:color w:val="auto"/>
                      <w:sz w:val="21"/>
                      <w:szCs w:val="21"/>
                      <w:vertAlign w:val="superscript"/>
                      <w:lang w:val="en-US" w:eastAsia="zh-CN"/>
                    </w:rPr>
                    <w:t>3</w:t>
                  </w:r>
                </w:p>
              </w:tc>
              <w:tc>
                <w:tcPr>
                  <w:tcW w:w="626" w:type="pct"/>
                  <w:noWrap w:val="0"/>
                  <w:vAlign w:val="center"/>
                </w:tcPr>
                <w:p w14:paraId="1E7B837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1.6</w:t>
                  </w:r>
                </w:p>
              </w:tc>
            </w:tr>
            <w:tr w14:paraId="58EA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95" w:type="pct"/>
                  <w:vMerge w:val="continue"/>
                  <w:noWrap w:val="0"/>
                  <w:vAlign w:val="center"/>
                </w:tcPr>
                <w:p w14:paraId="5E9B8374">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continue"/>
                  <w:noWrap w:val="0"/>
                  <w:vAlign w:val="center"/>
                </w:tcPr>
                <w:p w14:paraId="5C24E00D">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841" w:type="pct"/>
                  <w:noWrap w:val="0"/>
                  <w:vAlign w:val="center"/>
                </w:tcPr>
                <w:p w14:paraId="33DFCEBF">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污水处理设施</w:t>
                  </w:r>
                </w:p>
              </w:tc>
              <w:tc>
                <w:tcPr>
                  <w:tcW w:w="2748" w:type="pct"/>
                  <w:shd w:val="clear" w:color="auto" w:fill="auto"/>
                  <w:noWrap w:val="0"/>
                  <w:vAlign w:val="center"/>
                </w:tcPr>
                <w:p w14:paraId="5B474E4B">
                  <w:pPr>
                    <w:pStyle w:val="4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1套处理能力为2m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/d的一体化生活污水处理设施</w:t>
                  </w:r>
                </w:p>
              </w:tc>
              <w:tc>
                <w:tcPr>
                  <w:tcW w:w="626" w:type="pct"/>
                  <w:noWrap w:val="0"/>
                  <w:vAlign w:val="center"/>
                </w:tcPr>
                <w:p w14:paraId="1A0C7F8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3.2</w:t>
                  </w:r>
                </w:p>
              </w:tc>
            </w:tr>
            <w:tr w14:paraId="50A1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vMerge w:val="continue"/>
                  <w:noWrap w:val="0"/>
                  <w:vAlign w:val="center"/>
                </w:tcPr>
                <w:p w14:paraId="1FA04FA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continue"/>
                  <w:noWrap w:val="0"/>
                  <w:vAlign w:val="center"/>
                </w:tcPr>
                <w:p w14:paraId="0E446AA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841" w:type="pct"/>
                  <w:noWrap w:val="0"/>
                  <w:vAlign w:val="center"/>
                </w:tcPr>
                <w:p w14:paraId="65F0A39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中水池</w:t>
                  </w:r>
                </w:p>
              </w:tc>
              <w:tc>
                <w:tcPr>
                  <w:tcW w:w="2748" w:type="pct"/>
                  <w:shd w:val="clear" w:color="auto" w:fill="auto"/>
                  <w:noWrap w:val="0"/>
                  <w:vAlign w:val="center"/>
                </w:tcPr>
                <w:p w14:paraId="7F7154AB">
                  <w:pPr>
                    <w:pStyle w:val="4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1个，容积为3m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，布设于污水处理设施末端</w:t>
                  </w:r>
                </w:p>
              </w:tc>
              <w:tc>
                <w:tcPr>
                  <w:tcW w:w="626" w:type="pct"/>
                  <w:noWrap w:val="0"/>
                  <w:vAlign w:val="center"/>
                </w:tcPr>
                <w:p w14:paraId="4201EF0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1.2</w:t>
                  </w:r>
                </w:p>
              </w:tc>
            </w:tr>
            <w:tr w14:paraId="5A48A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vMerge w:val="continue"/>
                  <w:noWrap w:val="0"/>
                  <w:vAlign w:val="center"/>
                </w:tcPr>
                <w:p w14:paraId="2B43CEB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continue"/>
                  <w:noWrap w:val="0"/>
                  <w:vAlign w:val="center"/>
                </w:tcPr>
                <w:p w14:paraId="38CFA1A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841" w:type="pct"/>
                  <w:shd w:val="clear" w:color="auto" w:fill="auto"/>
                  <w:noWrap w:val="0"/>
                  <w:vAlign w:val="center"/>
                </w:tcPr>
                <w:p w14:paraId="162CCF26">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油水分离池</w:t>
                  </w:r>
                </w:p>
              </w:tc>
              <w:tc>
                <w:tcPr>
                  <w:tcW w:w="2748" w:type="pct"/>
                  <w:shd w:val="clear" w:color="auto" w:fill="auto"/>
                  <w:noWrap w:val="0"/>
                  <w:vAlign w:val="center"/>
                </w:tcPr>
                <w:p w14:paraId="7E54B1C9">
                  <w:pPr>
                    <w:pStyle w:val="46"/>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color w:val="auto"/>
                      <w:sz w:val="21"/>
                      <w:szCs w:val="21"/>
                      <w:lang w:val="en-US" w:eastAsia="zh-CN"/>
                    </w:rPr>
                    <w:t>1个，容积为0.6m</w:t>
                  </w:r>
                  <w:r>
                    <w:rPr>
                      <w:rFonts w:hint="eastAsia" w:cs="Times New Roman" w:eastAsiaTheme="minorEastAsia"/>
                      <w:color w:val="auto"/>
                      <w:sz w:val="21"/>
                      <w:szCs w:val="21"/>
                      <w:vertAlign w:val="superscript"/>
                      <w:lang w:val="en-US" w:eastAsia="zh-CN"/>
                    </w:rPr>
                    <w:t>3</w:t>
                  </w:r>
                </w:p>
              </w:tc>
              <w:tc>
                <w:tcPr>
                  <w:tcW w:w="626" w:type="pct"/>
                  <w:shd w:val="clear" w:color="auto" w:fill="auto"/>
                  <w:noWrap w:val="0"/>
                  <w:vAlign w:val="center"/>
                </w:tcPr>
                <w:p w14:paraId="6E4E9357">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rPr>
                      <w:rFonts w:hint="eastAsia" w:ascii="Times New Roman" w:hAnsi="Times New Roman" w:cs="Times New Roman" w:eastAsiaTheme="minorEastAsia"/>
                      <w:b w:val="0"/>
                      <w:bCs/>
                      <w:color w:val="auto"/>
                      <w:kern w:val="2"/>
                      <w:sz w:val="21"/>
                      <w:szCs w:val="21"/>
                      <w:vertAlign w:val="baseline"/>
                      <w:lang w:val="en-US" w:eastAsia="zh-CN" w:bidi="ar-SA"/>
                    </w:rPr>
                  </w:pPr>
                  <w:r>
                    <w:rPr>
                      <w:rFonts w:hint="eastAsia" w:cs="Times New Roman" w:eastAsiaTheme="minorEastAsia"/>
                      <w:b w:val="0"/>
                      <w:bCs/>
                      <w:color w:val="auto"/>
                      <w:sz w:val="21"/>
                      <w:szCs w:val="21"/>
                      <w:vertAlign w:val="baseline"/>
                      <w:lang w:val="en-US" w:eastAsia="zh-CN"/>
                    </w:rPr>
                    <w:t>0.3</w:t>
                  </w:r>
                </w:p>
              </w:tc>
            </w:tr>
            <w:tr w14:paraId="08B6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5" w:type="pct"/>
                  <w:vMerge w:val="continue"/>
                  <w:noWrap w:val="0"/>
                  <w:vAlign w:val="center"/>
                </w:tcPr>
                <w:p w14:paraId="522EA9D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continue"/>
                  <w:noWrap w:val="0"/>
                  <w:vAlign w:val="center"/>
                </w:tcPr>
                <w:p w14:paraId="3000C39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p>
              </w:tc>
              <w:tc>
                <w:tcPr>
                  <w:tcW w:w="841" w:type="pct"/>
                  <w:noWrap w:val="0"/>
                  <w:vAlign w:val="center"/>
                </w:tcPr>
                <w:p w14:paraId="63D66AE3">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rPr>
                    <w:t>生活污水</w:t>
                  </w:r>
                </w:p>
              </w:tc>
              <w:tc>
                <w:tcPr>
                  <w:tcW w:w="2748" w:type="pct"/>
                  <w:noWrap w:val="0"/>
                  <w:vAlign w:val="center"/>
                </w:tcPr>
                <w:p w14:paraId="28D0156A">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color w:val="auto"/>
                      <w:kern w:val="2"/>
                      <w:sz w:val="21"/>
                      <w:szCs w:val="21"/>
                      <w:lang w:val="en-US" w:eastAsia="zh-CN" w:bidi="ar-SA"/>
                    </w:rPr>
                  </w:pPr>
                  <w:r>
                    <w:rPr>
                      <w:rFonts w:hint="eastAsia" w:cs="Times New Roman" w:eastAsiaTheme="minorEastAsia"/>
                      <w:b w:val="0"/>
                      <w:bCs/>
                      <w:color w:val="auto"/>
                      <w:kern w:val="2"/>
                      <w:sz w:val="21"/>
                      <w:szCs w:val="21"/>
                      <w:lang w:val="en-US" w:eastAsia="zh-CN" w:bidi="ar-SA"/>
                    </w:rPr>
                    <w:t>容积为2m</w:t>
                  </w:r>
                  <w:r>
                    <w:rPr>
                      <w:rFonts w:hint="eastAsia" w:cs="Times New Roman" w:eastAsiaTheme="minorEastAsia"/>
                      <w:b w:val="0"/>
                      <w:bCs/>
                      <w:color w:val="auto"/>
                      <w:kern w:val="2"/>
                      <w:sz w:val="21"/>
                      <w:szCs w:val="21"/>
                      <w:vertAlign w:val="superscript"/>
                      <w:lang w:val="en-US" w:eastAsia="zh-CN" w:bidi="ar-SA"/>
                    </w:rPr>
                    <w:t>3</w:t>
                  </w:r>
                  <w:r>
                    <w:rPr>
                      <w:rFonts w:hint="eastAsia" w:cs="Times New Roman" w:eastAsiaTheme="minorEastAsia"/>
                      <w:b w:val="0"/>
                      <w:bCs/>
                      <w:color w:val="auto"/>
                      <w:kern w:val="2"/>
                      <w:sz w:val="21"/>
                      <w:szCs w:val="21"/>
                      <w:lang w:val="en-US" w:eastAsia="zh-CN" w:bidi="ar-SA"/>
                    </w:rPr>
                    <w:t>的化粪池</w:t>
                  </w:r>
                </w:p>
              </w:tc>
              <w:tc>
                <w:tcPr>
                  <w:tcW w:w="626" w:type="pct"/>
                  <w:noWrap w:val="0"/>
                  <w:vAlign w:val="center"/>
                </w:tcPr>
                <w:p w14:paraId="0FF11C9F">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1.5</w:t>
                  </w:r>
                </w:p>
              </w:tc>
            </w:tr>
            <w:tr w14:paraId="6AEC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95" w:type="pct"/>
                  <w:vMerge w:val="continue"/>
                  <w:noWrap w:val="0"/>
                  <w:vAlign w:val="center"/>
                </w:tcPr>
                <w:p w14:paraId="1AB6681E">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noWrap w:val="0"/>
                  <w:vAlign w:val="center"/>
                </w:tcPr>
                <w:p w14:paraId="41465A96">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rPr>
                    <w:t>噪声</w:t>
                  </w:r>
                </w:p>
              </w:tc>
              <w:tc>
                <w:tcPr>
                  <w:tcW w:w="841" w:type="pct"/>
                  <w:noWrap w:val="0"/>
                  <w:vAlign w:val="center"/>
                </w:tcPr>
                <w:p w14:paraId="2CA1D468">
                  <w:pPr>
                    <w:pStyle w:val="66"/>
                    <w:keepNext w:val="0"/>
                    <w:keepLines w:val="0"/>
                    <w:pageBreakBefore w:val="0"/>
                    <w:widowControl w:val="0"/>
                    <w:kinsoku/>
                    <w:wordWrap/>
                    <w:overflowPunct/>
                    <w:topLinePunct w:val="0"/>
                    <w:autoSpaceDE/>
                    <w:autoSpaceDN/>
                    <w:bidi w:val="0"/>
                    <w:adjustRightInd/>
                    <w:snapToGrid/>
                    <w:spacing w:line="240" w:lineRule="auto"/>
                    <w:ind w:left="0" w:right="0" w:rightChars="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rPr>
                    <w:t>设备运行噪声</w:t>
                  </w:r>
                </w:p>
              </w:tc>
              <w:tc>
                <w:tcPr>
                  <w:tcW w:w="2748" w:type="pct"/>
                  <w:noWrap w:val="0"/>
                  <w:vAlign w:val="center"/>
                </w:tcPr>
                <w:p w14:paraId="2AF27A8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color w:val="auto"/>
                      <w:spacing w:val="9"/>
                      <w:sz w:val="21"/>
                      <w:szCs w:val="21"/>
                    </w:rPr>
                    <w:t>封闭厂房，选用低噪声设备；合理布</w:t>
                  </w:r>
                  <w:r>
                    <w:rPr>
                      <w:rFonts w:hint="default" w:ascii="Times New Roman" w:hAnsi="Times New Roman" w:cs="Times New Roman" w:eastAsiaTheme="minorEastAsia"/>
                      <w:color w:val="auto"/>
                      <w:spacing w:val="7"/>
                      <w:sz w:val="21"/>
                      <w:szCs w:val="21"/>
                    </w:rPr>
                    <w:t>局</w:t>
                  </w:r>
                  <w:r>
                    <w:rPr>
                      <w:rFonts w:hint="default" w:ascii="Times New Roman" w:hAnsi="Times New Roman" w:cs="Times New Roman" w:eastAsiaTheme="minorEastAsia"/>
                      <w:color w:val="auto"/>
                      <w:spacing w:val="4"/>
                      <w:sz w:val="21"/>
                      <w:szCs w:val="21"/>
                    </w:rPr>
                    <w:t>加工设备，设备安装基础减震垫；</w:t>
                  </w:r>
                  <w:r>
                    <w:rPr>
                      <w:rFonts w:hint="default" w:ascii="Times New Roman" w:hAnsi="Times New Roman" w:cs="Times New Roman" w:eastAsiaTheme="minorEastAsia"/>
                      <w:color w:val="auto"/>
                      <w:spacing w:val="11"/>
                      <w:sz w:val="21"/>
                      <w:szCs w:val="21"/>
                    </w:rPr>
                    <w:t>定</w:t>
                  </w:r>
                  <w:r>
                    <w:rPr>
                      <w:rFonts w:hint="default" w:ascii="Times New Roman" w:hAnsi="Times New Roman" w:cs="Times New Roman" w:eastAsiaTheme="minorEastAsia"/>
                      <w:color w:val="auto"/>
                      <w:spacing w:val="9"/>
                      <w:sz w:val="21"/>
                      <w:szCs w:val="21"/>
                    </w:rPr>
                    <w:t>期检查维修设备；合理安排生产时间</w:t>
                  </w:r>
                </w:p>
              </w:tc>
              <w:tc>
                <w:tcPr>
                  <w:tcW w:w="626" w:type="pct"/>
                  <w:noWrap w:val="0"/>
                  <w:vAlign w:val="center"/>
                </w:tcPr>
                <w:p w14:paraId="031359B2">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2.5</w:t>
                  </w:r>
                </w:p>
              </w:tc>
            </w:tr>
            <w:tr w14:paraId="14C53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295" w:type="pct"/>
                  <w:vMerge w:val="continue"/>
                  <w:noWrap w:val="0"/>
                  <w:vAlign w:val="center"/>
                </w:tcPr>
                <w:p w14:paraId="2794CAB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restart"/>
                  <w:noWrap w:val="0"/>
                  <w:vAlign w:val="center"/>
                </w:tcPr>
                <w:p w14:paraId="2DC446A6">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default" w:ascii="Times New Roman" w:hAnsi="Times New Roman" w:cs="Times New Roman" w:eastAsiaTheme="minorEastAsia"/>
                      <w:b w:val="0"/>
                      <w:bCs/>
                      <w:color w:val="auto"/>
                      <w:sz w:val="21"/>
                      <w:szCs w:val="21"/>
                      <w:vertAlign w:val="baseline"/>
                      <w:lang w:val="en-US" w:eastAsia="zh-CN"/>
                    </w:rPr>
                    <w:t>固废</w:t>
                  </w:r>
                </w:p>
              </w:tc>
              <w:tc>
                <w:tcPr>
                  <w:tcW w:w="3590" w:type="pct"/>
                  <w:gridSpan w:val="2"/>
                  <w:noWrap w:val="0"/>
                  <w:vAlign w:val="center"/>
                </w:tcPr>
                <w:p w14:paraId="5790CC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厂区内设置</w:t>
                  </w:r>
                  <w:r>
                    <w:rPr>
                      <w:rFonts w:hint="default" w:ascii="Times New Roman" w:hAnsi="Times New Roman" w:cs="Times New Roman" w:eastAsiaTheme="minorEastAsia"/>
                      <w:color w:val="auto"/>
                      <w:sz w:val="21"/>
                      <w:szCs w:val="21"/>
                    </w:rPr>
                    <w:t>不低于</w:t>
                  </w:r>
                  <w:r>
                    <w:rPr>
                      <w:rFonts w:hint="eastAsia"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的一般固废暂存</w:t>
                  </w:r>
                  <w:r>
                    <w:rPr>
                      <w:rFonts w:hint="default" w:ascii="Times New Roman" w:hAnsi="Times New Roman" w:cs="Times New Roman" w:eastAsiaTheme="minorEastAsia"/>
                      <w:color w:val="auto"/>
                      <w:sz w:val="21"/>
                      <w:szCs w:val="21"/>
                      <w:lang w:val="en-US" w:eastAsia="zh-CN"/>
                    </w:rPr>
                    <w:t>区</w:t>
                  </w:r>
                  <w:r>
                    <w:rPr>
                      <w:rFonts w:hint="default" w:ascii="Times New Roman" w:hAnsi="Times New Roman" w:cs="Times New Roman" w:eastAsiaTheme="minorEastAsia"/>
                      <w:color w:val="auto"/>
                      <w:sz w:val="21"/>
                      <w:szCs w:val="21"/>
                    </w:rPr>
                    <w:t>，严格按《一般工业固体废物贮存和填埋污染控制标准》（GB18599-2020）要求设置</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kern w:val="0"/>
                      <w:sz w:val="21"/>
                      <w:szCs w:val="21"/>
                      <w:lang w:val="en-US" w:eastAsia="zh-CN" w:bidi="ar"/>
                    </w:rPr>
                    <w:t>其贮存过程应满足相应防渗漏、防雨淋、防扬尘等环境保护要求</w:t>
                  </w:r>
                </w:p>
              </w:tc>
              <w:tc>
                <w:tcPr>
                  <w:tcW w:w="626" w:type="pct"/>
                  <w:noWrap w:val="0"/>
                  <w:vAlign w:val="center"/>
                </w:tcPr>
                <w:p w14:paraId="4B01AF13">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0.5</w:t>
                  </w:r>
                </w:p>
                <w:p w14:paraId="30F062A1">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both"/>
                    <w:textAlignment w:val="auto"/>
                    <w:rPr>
                      <w:rFonts w:hint="default" w:ascii="Times New Roman" w:hAnsi="Times New Roman" w:cs="Times New Roman" w:eastAsiaTheme="minorEastAsia"/>
                      <w:b w:val="0"/>
                      <w:bCs/>
                      <w:color w:val="auto"/>
                      <w:sz w:val="21"/>
                      <w:szCs w:val="21"/>
                      <w:lang w:val="en-US" w:eastAsia="zh-CN"/>
                    </w:rPr>
                  </w:pPr>
                </w:p>
              </w:tc>
            </w:tr>
            <w:tr w14:paraId="569E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2" w:hRule="atLeast"/>
              </w:trPr>
              <w:tc>
                <w:tcPr>
                  <w:tcW w:w="295" w:type="pct"/>
                  <w:vMerge w:val="continue"/>
                  <w:noWrap w:val="0"/>
                  <w:vAlign w:val="center"/>
                </w:tcPr>
                <w:p w14:paraId="2C755200">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487" w:type="pct"/>
                  <w:vMerge w:val="continue"/>
                  <w:noWrap w:val="0"/>
                  <w:vAlign w:val="center"/>
                </w:tcPr>
                <w:p w14:paraId="46EACF28">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rPr>
                  </w:pPr>
                </w:p>
              </w:tc>
              <w:tc>
                <w:tcPr>
                  <w:tcW w:w="3590" w:type="pct"/>
                  <w:gridSpan w:val="2"/>
                  <w:noWrap w:val="0"/>
                  <w:vAlign w:val="center"/>
                </w:tcPr>
                <w:p w14:paraId="4E5999F9">
                  <w:pPr>
                    <w:pStyle w:val="6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both"/>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厂区内设置1间</w:t>
                  </w:r>
                  <w:r>
                    <w:rPr>
                      <w:rFonts w:hint="default" w:ascii="Times New Roman" w:hAnsi="Times New Roman" w:cs="Times New Roman" w:eastAsiaTheme="minorEastAsia"/>
                      <w:color w:val="auto"/>
                      <w:sz w:val="21"/>
                      <w:szCs w:val="21"/>
                    </w:rPr>
                    <w:t>不低于</w:t>
                  </w:r>
                  <w:r>
                    <w:rPr>
                      <w:rFonts w:hint="default" w:ascii="Times New Roman" w:hAnsi="Times New Roman" w:cs="Times New Roman" w:eastAsiaTheme="minorEastAsia"/>
                      <w:color w:val="auto"/>
                      <w:sz w:val="21"/>
                      <w:szCs w:val="21"/>
                      <w:lang w:val="en-US" w:eastAsia="zh-CN"/>
                    </w:rPr>
                    <w:t>5</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2</w:t>
                  </w:r>
                  <w:r>
                    <w:rPr>
                      <w:rFonts w:hint="default" w:ascii="Times New Roman" w:hAnsi="Times New Roman" w:cs="Times New Roman" w:eastAsiaTheme="minorEastAsia"/>
                      <w:color w:val="auto"/>
                      <w:sz w:val="21"/>
                      <w:szCs w:val="21"/>
                    </w:rPr>
                    <w:t>的一般</w:t>
                  </w:r>
                  <w:r>
                    <w:rPr>
                      <w:rFonts w:hint="default" w:ascii="Times New Roman" w:hAnsi="Times New Roman" w:cs="Times New Roman" w:eastAsiaTheme="minorEastAsia"/>
                      <w:color w:val="auto"/>
                      <w:sz w:val="21"/>
                      <w:szCs w:val="21"/>
                      <w:lang w:val="en-US" w:eastAsia="zh-CN"/>
                    </w:rPr>
                    <w:t>危险废物</w:t>
                  </w:r>
                  <w:r>
                    <w:rPr>
                      <w:rFonts w:hint="default" w:ascii="Times New Roman" w:hAnsi="Times New Roman" w:cs="Times New Roman" w:eastAsiaTheme="minorEastAsia"/>
                      <w:color w:val="auto"/>
                      <w:sz w:val="21"/>
                      <w:szCs w:val="21"/>
                    </w:rPr>
                    <w:t>存间，严格</w:t>
                  </w:r>
                  <w:r>
                    <w:rPr>
                      <w:rFonts w:hint="default" w:ascii="Times New Roman" w:hAnsi="Times New Roman" w:cs="Times New Roman" w:eastAsiaTheme="minorEastAsia"/>
                      <w:color w:val="auto"/>
                      <w:sz w:val="21"/>
                      <w:szCs w:val="21"/>
                      <w:lang w:val="en-US" w:eastAsia="zh-CN"/>
                    </w:rPr>
                    <w:t>按照《危险废物贮存污染控制标准》（GB 18597—2023）规范进行建设，具体为：</w:t>
                  </w:r>
                  <w:r>
                    <w:rPr>
                      <w:rFonts w:hint="default" w:ascii="Times New Roman" w:hAnsi="Times New Roman" w:cs="Times New Roman" w:eastAsiaTheme="minorEastAsia"/>
                      <w:color w:val="auto"/>
                      <w:kern w:val="0"/>
                      <w:sz w:val="21"/>
                      <w:szCs w:val="21"/>
                      <w:lang w:bidi="ar"/>
                    </w:rPr>
                    <w:t>基础必须防渗，防渗层为至少1m厚粘土层（渗透系数≤10</w:t>
                  </w:r>
                  <w:r>
                    <w:rPr>
                      <w:rFonts w:hint="default" w:ascii="Times New Roman" w:hAnsi="Times New Roman" w:cs="Times New Roman" w:eastAsiaTheme="minorEastAsia"/>
                      <w:color w:val="auto"/>
                      <w:kern w:val="0"/>
                      <w:sz w:val="21"/>
                      <w:szCs w:val="21"/>
                      <w:vertAlign w:val="superscript"/>
                      <w:lang w:bidi="ar"/>
                    </w:rPr>
                    <w:t>-7</w:t>
                  </w:r>
                  <w:r>
                    <w:rPr>
                      <w:rFonts w:hint="default" w:ascii="Times New Roman" w:hAnsi="Times New Roman" w:cs="Times New Roman" w:eastAsiaTheme="minorEastAsia"/>
                      <w:color w:val="auto"/>
                      <w:kern w:val="0"/>
                      <w:sz w:val="21"/>
                      <w:szCs w:val="21"/>
                      <w:lang w:bidi="ar"/>
                    </w:rPr>
                    <w:t>cm/s），或2mm厚高密度聚乙烯，或至少2mm厚的其它人工材料，渗透系数≤10</w:t>
                  </w:r>
                  <w:r>
                    <w:rPr>
                      <w:rFonts w:hint="default" w:ascii="Times New Roman" w:hAnsi="Times New Roman" w:cs="Times New Roman" w:eastAsiaTheme="minorEastAsia"/>
                      <w:color w:val="auto"/>
                      <w:kern w:val="0"/>
                      <w:sz w:val="21"/>
                      <w:szCs w:val="21"/>
                      <w:vertAlign w:val="superscript"/>
                      <w:lang w:bidi="ar"/>
                    </w:rPr>
                    <w:t>-10</w:t>
                  </w:r>
                  <w:r>
                    <w:rPr>
                      <w:rFonts w:hint="default" w:ascii="Times New Roman" w:hAnsi="Times New Roman" w:cs="Times New Roman" w:eastAsiaTheme="minorEastAsia"/>
                      <w:color w:val="auto"/>
                      <w:kern w:val="0"/>
                      <w:sz w:val="21"/>
                      <w:szCs w:val="21"/>
                      <w:lang w:bidi="ar"/>
                    </w:rPr>
                    <w:t>cm/s</w:t>
                  </w:r>
                </w:p>
              </w:tc>
              <w:tc>
                <w:tcPr>
                  <w:tcW w:w="626" w:type="pct"/>
                  <w:noWrap w:val="0"/>
                  <w:vAlign w:val="center"/>
                </w:tcPr>
                <w:p w14:paraId="623672AB">
                  <w:pPr>
                    <w:pStyle w:val="66"/>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1.8</w:t>
                  </w:r>
                </w:p>
              </w:tc>
            </w:tr>
            <w:tr w14:paraId="23BF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3" w:type="pct"/>
                  <w:gridSpan w:val="4"/>
                  <w:noWrap w:val="0"/>
                  <w:vAlign w:val="center"/>
                </w:tcPr>
                <w:p w14:paraId="4FB7F509">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eastAsia="zh-CN"/>
                    </w:rPr>
                  </w:pPr>
                  <w:r>
                    <w:rPr>
                      <w:rFonts w:hint="default" w:ascii="Times New Roman" w:hAnsi="Times New Roman" w:cs="Times New Roman" w:eastAsiaTheme="minorEastAsia"/>
                      <w:b w:val="0"/>
                      <w:bCs/>
                      <w:color w:val="auto"/>
                      <w:sz w:val="21"/>
                      <w:szCs w:val="21"/>
                      <w:vertAlign w:val="baseline"/>
                      <w:lang w:eastAsia="zh-CN"/>
                    </w:rPr>
                    <w:t>合计</w:t>
                  </w:r>
                </w:p>
              </w:tc>
              <w:tc>
                <w:tcPr>
                  <w:tcW w:w="626" w:type="pct"/>
                  <w:noWrap w:val="0"/>
                  <w:vAlign w:val="center"/>
                </w:tcPr>
                <w:p w14:paraId="4E14D5CC">
                  <w:pPr>
                    <w:pStyle w:val="19"/>
                    <w:keepNext w:val="0"/>
                    <w:keepLines w:val="0"/>
                    <w:pageBreakBefore w:val="0"/>
                    <w:widowControl w:val="0"/>
                    <w:kinsoku/>
                    <w:wordWrap/>
                    <w:overflowPunct/>
                    <w:topLinePunct w:val="0"/>
                    <w:autoSpaceDE/>
                    <w:autoSpaceDN/>
                    <w:bidi w:val="0"/>
                    <w:adjustRightInd/>
                    <w:snapToGrid/>
                    <w:spacing w:after="0" w:line="240" w:lineRule="auto"/>
                    <w:ind w:left="0" w:leftChars="0" w:right="0" w:firstLine="0" w:firstLineChars="0"/>
                    <w:jc w:val="center"/>
                    <w:textAlignment w:val="auto"/>
                    <w:rPr>
                      <w:rFonts w:hint="default" w:ascii="Times New Roman" w:hAnsi="Times New Roman" w:cs="Times New Roman" w:eastAsiaTheme="minorEastAsia"/>
                      <w:b w:val="0"/>
                      <w:bCs/>
                      <w:color w:val="auto"/>
                      <w:sz w:val="21"/>
                      <w:szCs w:val="21"/>
                      <w:vertAlign w:val="baseline"/>
                      <w:lang w:val="en-US" w:eastAsia="zh-CN"/>
                    </w:rPr>
                  </w:pPr>
                  <w:r>
                    <w:rPr>
                      <w:rFonts w:hint="eastAsia" w:cs="Times New Roman" w:eastAsiaTheme="minorEastAsia"/>
                      <w:b w:val="0"/>
                      <w:bCs/>
                      <w:color w:val="auto"/>
                      <w:sz w:val="21"/>
                      <w:szCs w:val="21"/>
                      <w:vertAlign w:val="baseline"/>
                      <w:lang w:val="en-US" w:eastAsia="zh-CN"/>
                    </w:rPr>
                    <w:t>52.5</w:t>
                  </w:r>
                </w:p>
              </w:tc>
            </w:tr>
          </w:tbl>
          <w:p w14:paraId="337F824F">
            <w:pPr>
              <w:pStyle w:val="47"/>
              <w:jc w:val="both"/>
              <w:rPr>
                <w:rFonts w:hint="default" w:ascii="Times New Roman" w:hAnsi="Times New Roman" w:cs="Times New Roman"/>
                <w:color w:val="auto"/>
              </w:rPr>
            </w:pPr>
          </w:p>
        </w:tc>
      </w:tr>
      <w:tr w14:paraId="6A677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265" w:type="pct"/>
            <w:vAlign w:val="top"/>
          </w:tcPr>
          <w:p w14:paraId="4BA496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工艺流程和产排污环节</w:t>
            </w:r>
          </w:p>
        </w:tc>
        <w:tc>
          <w:tcPr>
            <w:tcW w:w="4734" w:type="pct"/>
            <w:vAlign w:val="top"/>
          </w:tcPr>
          <w:p w14:paraId="30927965">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1、施工期工艺流程及产污节点</w:t>
            </w:r>
          </w:p>
          <w:p w14:paraId="06D91985">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（1）工艺流程及产污节点</w:t>
            </w:r>
          </w:p>
          <w:p w14:paraId="3AB16BE9">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jc w:val="both"/>
              <w:textAlignment w:val="auto"/>
              <w:outlineLvl w:val="9"/>
              <w:rPr>
                <w:rFonts w:hint="default" w:ascii="Times New Roman" w:hAnsi="Times New Roman" w:cs="Times New Roman"/>
                <w:color w:val="auto"/>
                <w:sz w:val="24"/>
              </w:rPr>
            </w:pPr>
            <w:r>
              <w:rPr>
                <w:rFonts w:hint="default"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lang w:val="en-US" w:eastAsia="zh-CN"/>
              </w:rPr>
              <w:t>租用</w:t>
            </w:r>
            <w:r>
              <w:rPr>
                <w:rFonts w:hint="eastAsia" w:cs="Times New Roman"/>
                <w:color w:val="auto"/>
                <w:lang w:eastAsia="zh-CN"/>
              </w:rPr>
              <w:t>红塔区北城街道刺桐关社区一组岔箐脑</w:t>
            </w:r>
            <w:r>
              <w:rPr>
                <w:rFonts w:hint="eastAsia" w:cs="Times New Roman"/>
                <w:color w:val="auto"/>
                <w:lang w:val="en-US" w:eastAsia="zh-CN"/>
              </w:rPr>
              <w:t>闲置的封闭厂房和空地</w:t>
            </w:r>
            <w:r>
              <w:rPr>
                <w:rFonts w:hint="eastAsia" w:ascii="Times New Roman" w:hAnsi="Times New Roman" w:eastAsia="宋体" w:cs="Times New Roman"/>
                <w:color w:val="auto"/>
                <w:sz w:val="24"/>
                <w:lang w:val="en-US" w:eastAsia="zh-CN"/>
              </w:rPr>
              <w:t>进行建设，</w:t>
            </w:r>
            <w:r>
              <w:rPr>
                <w:rFonts w:hint="default" w:ascii="Times New Roman" w:hAnsi="Times New Roman" w:eastAsia="宋体" w:cs="Times New Roman"/>
                <w:color w:val="auto"/>
                <w:sz w:val="24"/>
                <w:lang w:val="en-US" w:eastAsia="zh-CN"/>
              </w:rPr>
              <w:t>施工期主要为</w:t>
            </w:r>
            <w:r>
              <w:rPr>
                <w:rFonts w:hint="eastAsia" w:cs="Times New Roman"/>
                <w:color w:val="auto"/>
                <w:sz w:val="24"/>
                <w:lang w:val="en-US" w:eastAsia="zh-CN"/>
              </w:rPr>
              <w:t>办公生活区建设（为简易的活动板房）和</w:t>
            </w:r>
            <w:r>
              <w:rPr>
                <w:rFonts w:hint="default" w:ascii="Times New Roman" w:hAnsi="Times New Roman" w:eastAsia="宋体" w:cs="Times New Roman"/>
                <w:color w:val="auto"/>
                <w:sz w:val="24"/>
                <w:lang w:val="en-US" w:eastAsia="zh-CN"/>
              </w:rPr>
              <w:t>设备安装及</w:t>
            </w:r>
            <w:r>
              <w:rPr>
                <w:rFonts w:hint="eastAsia" w:ascii="Times New Roman" w:hAnsi="Times New Roman" w:eastAsia="宋体" w:cs="Times New Roman"/>
                <w:color w:val="auto"/>
                <w:sz w:val="24"/>
                <w:lang w:val="en-US" w:eastAsia="zh-CN"/>
              </w:rPr>
              <w:t>调试</w:t>
            </w:r>
            <w:r>
              <w:rPr>
                <w:rFonts w:hint="default" w:ascii="Times New Roman" w:hAnsi="Times New Roman" w:eastAsia="宋体" w:cs="Times New Roman"/>
                <w:color w:val="auto"/>
                <w:sz w:val="24"/>
                <w:lang w:val="en-US" w:eastAsia="zh-CN"/>
              </w:rPr>
              <w:t>，产生少量的粉尘、噪声和垃圾。施工时间较为短暂，做好洒水降尘、隔声减振和垃圾清运，产污随着施工完成而结束</w:t>
            </w:r>
            <w:r>
              <w:rPr>
                <w:rFonts w:hint="default" w:ascii="Times New Roman" w:hAnsi="Times New Roman" w:eastAsia="宋体" w:cs="Times New Roman"/>
                <w:color w:val="auto"/>
                <w:sz w:val="24"/>
              </w:rPr>
              <w:t>，项目施工工艺详见图</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eastAsia" w:cs="Times New Roman"/>
                <w:color w:val="auto"/>
                <w:sz w:val="24"/>
                <w:lang w:val="en-US" w:eastAsia="zh-CN"/>
              </w:rPr>
              <w:t>3</w:t>
            </w:r>
            <w:r>
              <w:rPr>
                <w:rFonts w:hint="default" w:ascii="Times New Roman" w:hAnsi="Times New Roman" w:cs="Times New Roman"/>
                <w:color w:val="auto"/>
                <w:sz w:val="24"/>
              </w:rPr>
              <w:t>。</w:t>
            </w:r>
          </w:p>
          <w:p w14:paraId="22D36EFC">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auto"/>
                <w:sz w:val="24"/>
              </w:rPr>
            </w:pPr>
            <w:r>
              <w:rPr>
                <w:rFonts w:hint="eastAsia" w:cs="Times New Roman"/>
                <w:color w:val="auto"/>
                <w:sz w:val="24"/>
                <w:lang w:val="en-US" w:eastAsia="zh-CN"/>
              </w:rPr>
              <w:t>项目施工期</w:t>
            </w:r>
            <w:r>
              <w:rPr>
                <w:rFonts w:hint="default" w:ascii="Times New Roman" w:hAnsi="Times New Roman" w:cs="Times New Roman"/>
                <w:color w:val="auto"/>
                <w:sz w:val="24"/>
              </w:rPr>
              <w:t>工艺流程及产污环节如下图所示。</w:t>
            </w:r>
          </w:p>
          <w:p w14:paraId="7E29E494">
            <w:pPr>
              <w:pStyle w:val="21"/>
              <w:ind w:left="0" w:leftChars="0" w:firstLine="0" w:firstLineChars="0"/>
              <w:rPr>
                <w:rFonts w:hint="default" w:ascii="Times New Roman" w:hAnsi="Times New Roman" w:cs="Times New Roman"/>
                <w:color w:val="auto"/>
                <w:sz w:val="24"/>
              </w:rPr>
            </w:pPr>
            <w:r>
              <w:rPr>
                <w:rFonts w:hint="default" w:ascii="Times New Roman" w:hAnsi="Times New Roman" w:cs="Times New Roman"/>
                <w:color w:val="auto"/>
                <w:sz w:val="24"/>
              </w:rPr>
              <w:object>
                <v:shape id="_x0000_i1028" o:spt="75" type="#_x0000_t75" style="height:98.1pt;width:392.3pt;" o:ole="t" filled="f" o:preferrelative="t" stroked="f" coordsize="21600,21600">
                  <v:path/>
                  <v:fill on="f" focussize="0,0"/>
                  <v:stroke on="f"/>
                  <v:imagedata r:id="rId25" o:title=""/>
                  <o:lock v:ext="edit" aspectratio="f"/>
                  <w10:wrap type="none"/>
                  <w10:anchorlock/>
                </v:shape>
                <o:OLEObject Type="Embed" ProgID="Visio.Drawing.11" ShapeID="_x0000_i1028" DrawAspect="Content" ObjectID="_1468075728" r:id="rId24">
                  <o:LockedField>false</o:LockedField>
                </o:OLEObject>
              </w:object>
            </w:r>
          </w:p>
          <w:p w14:paraId="15112364">
            <w:pPr>
              <w:pStyle w:val="21"/>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color w:val="auto"/>
                <w:spacing w:val="8"/>
                <w:sz w:val="21"/>
                <w:szCs w:val="21"/>
                <w:shd w:val="clear" w:color="auto" w:fill="FFFFFF"/>
              </w:rPr>
            </w:pPr>
            <w:r>
              <w:rPr>
                <w:rFonts w:hint="default" w:ascii="Times New Roman" w:hAnsi="Times New Roman" w:eastAsia="宋体" w:cs="Times New Roman"/>
                <w:b/>
                <w:bCs/>
                <w:color w:val="auto"/>
                <w:spacing w:val="8"/>
                <w:sz w:val="24"/>
                <w:szCs w:val="24"/>
                <w:shd w:val="clear" w:color="auto" w:fill="FFFFFF"/>
              </w:rPr>
              <w:t>图2-</w:t>
            </w:r>
            <w:r>
              <w:rPr>
                <w:rFonts w:hint="eastAsia" w:ascii="Times New Roman" w:hAnsi="Times New Roman" w:cs="Times New Roman"/>
                <w:b/>
                <w:bCs/>
                <w:color w:val="auto"/>
                <w:spacing w:val="8"/>
                <w:sz w:val="24"/>
                <w:szCs w:val="24"/>
                <w:shd w:val="clear" w:color="auto" w:fill="FFFFFF"/>
                <w:lang w:val="en-US" w:eastAsia="zh-CN"/>
              </w:rPr>
              <w:t>3</w:t>
            </w:r>
            <w:r>
              <w:rPr>
                <w:rFonts w:hint="default" w:ascii="Times New Roman" w:hAnsi="Times New Roman" w:eastAsia="宋体" w:cs="Times New Roman"/>
                <w:b/>
                <w:bCs/>
                <w:color w:val="auto"/>
                <w:spacing w:val="8"/>
                <w:sz w:val="24"/>
                <w:szCs w:val="24"/>
                <w:shd w:val="clear" w:color="auto" w:fill="FFFFFF"/>
              </w:rPr>
              <w:t xml:space="preserve">  施工阶段</w:t>
            </w:r>
            <w:r>
              <w:rPr>
                <w:rFonts w:hint="eastAsia" w:ascii="Times New Roman" w:hAnsi="Times New Roman" w:cs="Times New Roman"/>
                <w:b/>
                <w:bCs/>
                <w:color w:val="auto"/>
                <w:spacing w:val="8"/>
                <w:sz w:val="24"/>
                <w:szCs w:val="24"/>
                <w:shd w:val="clear" w:color="auto" w:fill="FFFFFF"/>
                <w:lang w:val="en-US" w:eastAsia="zh-CN"/>
              </w:rPr>
              <w:t>产污环节</w:t>
            </w:r>
            <w:r>
              <w:rPr>
                <w:rFonts w:hint="default" w:ascii="Times New Roman" w:hAnsi="Times New Roman" w:eastAsia="宋体" w:cs="Times New Roman"/>
                <w:b/>
                <w:bCs/>
                <w:color w:val="auto"/>
                <w:spacing w:val="8"/>
                <w:sz w:val="24"/>
                <w:szCs w:val="24"/>
                <w:shd w:val="clear" w:color="auto" w:fill="FFFFFF"/>
              </w:rPr>
              <w:t>流程图</w:t>
            </w:r>
          </w:p>
          <w:p w14:paraId="638867DE">
            <w:pPr>
              <w:tabs>
                <w:tab w:val="left" w:pos="4830"/>
              </w:tabs>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2、运营期工艺流程及产污节点分析</w:t>
            </w:r>
          </w:p>
          <w:p w14:paraId="0A71F1C5">
            <w:pPr>
              <w:keepNext w:val="0"/>
              <w:keepLines w:val="0"/>
              <w:pageBreakBefore w:val="0"/>
              <w:widowControl/>
              <w:tabs>
                <w:tab w:val="left" w:pos="4830"/>
              </w:tabs>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cs="Times New Roman" w:eastAsiaTheme="minorEastAsia"/>
                <w:b w:val="0"/>
                <w:bCs w:val="0"/>
                <w:color w:val="auto"/>
                <w:kern w:val="0"/>
                <w:sz w:val="24"/>
                <w:szCs w:val="24"/>
                <w:lang w:bidi="ar"/>
              </w:rPr>
            </w:pPr>
            <w:r>
              <w:rPr>
                <w:rFonts w:hint="default" w:ascii="Times New Roman" w:hAnsi="Times New Roman" w:cs="Times New Roman" w:eastAsiaTheme="minorEastAsia"/>
                <w:b w:val="0"/>
                <w:bCs w:val="0"/>
                <w:color w:val="auto"/>
                <w:kern w:val="0"/>
                <w:sz w:val="24"/>
                <w:szCs w:val="24"/>
                <w:lang w:bidi="ar"/>
              </w:rPr>
              <w:t>本项目工艺流程和产污环节简述如下：</w:t>
            </w:r>
          </w:p>
          <w:p w14:paraId="2DD0B4F4">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eastAsiaTheme="minorEastAsia"/>
                <w:b/>
                <w:bCs/>
                <w:color w:val="auto"/>
                <w:sz w:val="24"/>
                <w:szCs w:val="24"/>
                <w:lang w:val="zh-CN"/>
              </w:rPr>
            </w:pPr>
            <w:r>
              <w:rPr>
                <w:rFonts w:hint="default" w:ascii="Times New Roman" w:hAnsi="Times New Roman" w:cs="Times New Roman" w:eastAsiaTheme="minorEastAsia"/>
                <w:b/>
                <w:bCs/>
                <w:color w:val="auto"/>
                <w:sz w:val="24"/>
                <w:szCs w:val="24"/>
                <w:lang w:val="zh-CN"/>
              </w:rPr>
              <w:t>（</w:t>
            </w:r>
            <w:r>
              <w:rPr>
                <w:rFonts w:hint="default" w:ascii="Times New Roman" w:hAnsi="Times New Roman" w:cs="Times New Roman" w:eastAsiaTheme="minorEastAsia"/>
                <w:b/>
                <w:bCs/>
                <w:color w:val="auto"/>
                <w:sz w:val="24"/>
                <w:szCs w:val="24"/>
              </w:rPr>
              <w:t>1</w:t>
            </w:r>
            <w:r>
              <w:rPr>
                <w:rFonts w:hint="default" w:ascii="Times New Roman" w:hAnsi="Times New Roman" w:cs="Times New Roman" w:eastAsiaTheme="minorEastAsia"/>
                <w:b/>
                <w:bCs/>
                <w:color w:val="auto"/>
                <w:sz w:val="24"/>
                <w:szCs w:val="24"/>
                <w:lang w:val="zh-CN"/>
              </w:rPr>
              <w:t>）原料贮存</w:t>
            </w:r>
          </w:p>
          <w:p w14:paraId="1C09C10D">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auto"/>
                <w:sz w:val="24"/>
                <w:szCs w:val="24"/>
                <w:lang w:val="zh-CN"/>
              </w:rPr>
            </w:pPr>
            <w:r>
              <w:rPr>
                <w:rFonts w:hint="default" w:ascii="Times New Roman" w:hAnsi="Times New Roman" w:cs="Times New Roman" w:eastAsiaTheme="minorEastAsia"/>
                <w:color w:val="auto"/>
                <w:sz w:val="24"/>
                <w:szCs w:val="24"/>
              </w:rPr>
              <w:t>项目使用原料为可发性聚苯乙烯（EPS）新料，原料呈珠粒状，珠粒直径为0.7~1.0mm</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采用袋装的包装方式，约</w:t>
            </w:r>
            <w:r>
              <w:rPr>
                <w:rFonts w:hint="default" w:ascii="Times New Roman" w:hAnsi="Times New Roman" w:cs="Times New Roman" w:eastAsiaTheme="minorEastAsia"/>
                <w:color w:val="auto"/>
                <w:sz w:val="24"/>
                <w:szCs w:val="24"/>
              </w:rPr>
              <w:t>25kg</w:t>
            </w:r>
            <w:r>
              <w:rPr>
                <w:rFonts w:hint="default" w:ascii="Times New Roman" w:hAnsi="Times New Roman" w:cs="Times New Roman" w:eastAsiaTheme="minorEastAsia"/>
                <w:color w:val="auto"/>
                <w:sz w:val="24"/>
                <w:szCs w:val="24"/>
                <w:lang w:val="zh-CN"/>
              </w:rPr>
              <w:t>/袋</w:t>
            </w:r>
            <w:r>
              <w:rPr>
                <w:rFonts w:hint="default" w:ascii="Times New Roman" w:hAnsi="Times New Roman" w:cs="Times New Roman" w:eastAsiaTheme="minorEastAsia"/>
                <w:color w:val="auto"/>
                <w:sz w:val="24"/>
                <w:szCs w:val="24"/>
              </w:rPr>
              <w:t>。原料珠粒内含有发泡剂，发泡剂为戊烷，戊烷含量约为2-4%的重量，发泡剂在珠粒内以液态形式储存。原料进厂后</w:t>
            </w:r>
            <w:r>
              <w:rPr>
                <w:rFonts w:hint="default" w:ascii="Times New Roman" w:hAnsi="Times New Roman" w:cs="Times New Roman" w:eastAsiaTheme="minorEastAsia"/>
                <w:color w:val="auto"/>
                <w:sz w:val="24"/>
                <w:szCs w:val="24"/>
                <w:lang w:val="zh-CN"/>
              </w:rPr>
              <w:t>用叉车搬运到生产车间原料储存区，储存条件为常温、干燥环境。</w:t>
            </w:r>
          </w:p>
          <w:p w14:paraId="66CE4F87">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zh-CN"/>
              </w:rPr>
              <w:t>（</w:t>
            </w:r>
            <w:r>
              <w:rPr>
                <w:rFonts w:hint="default" w:ascii="Times New Roman" w:hAnsi="Times New Roman" w:cs="Times New Roman" w:eastAsiaTheme="minorEastAsia"/>
                <w:b/>
                <w:bCs/>
                <w:color w:val="auto"/>
                <w:sz w:val="24"/>
                <w:szCs w:val="24"/>
              </w:rPr>
              <w:t>2</w:t>
            </w:r>
            <w:r>
              <w:rPr>
                <w:rFonts w:hint="default" w:ascii="Times New Roman" w:hAnsi="Times New Roman" w:cs="Times New Roman" w:eastAsiaTheme="minorEastAsia"/>
                <w:b/>
                <w:bCs/>
                <w:color w:val="auto"/>
                <w:sz w:val="24"/>
                <w:szCs w:val="24"/>
                <w:lang w:val="zh-CN"/>
              </w:rPr>
              <w:t>）开包</w:t>
            </w:r>
            <w:r>
              <w:rPr>
                <w:rFonts w:hint="eastAsia" w:cs="Times New Roman" w:eastAsiaTheme="minorEastAsia"/>
                <w:b/>
                <w:bCs/>
                <w:color w:val="auto"/>
                <w:sz w:val="24"/>
                <w:szCs w:val="24"/>
                <w:lang w:val="zh-CN"/>
              </w:rPr>
              <w:t>、</w:t>
            </w:r>
            <w:r>
              <w:rPr>
                <w:rFonts w:hint="eastAsia" w:cs="Times New Roman" w:eastAsiaTheme="minorEastAsia"/>
                <w:b/>
                <w:bCs/>
                <w:color w:val="auto"/>
                <w:sz w:val="24"/>
                <w:szCs w:val="24"/>
                <w:lang w:val="en-US" w:eastAsia="zh-CN"/>
              </w:rPr>
              <w:t>投料</w:t>
            </w:r>
          </w:p>
          <w:p w14:paraId="464E2B79">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auto"/>
                <w:sz w:val="24"/>
                <w:szCs w:val="24"/>
                <w:lang w:val="zh-CN"/>
              </w:rPr>
            </w:pPr>
            <w:r>
              <w:rPr>
                <w:rFonts w:hint="default" w:ascii="Times New Roman" w:hAnsi="Times New Roman" w:cs="Times New Roman" w:eastAsiaTheme="minorEastAsia"/>
                <w:color w:val="auto"/>
                <w:sz w:val="24"/>
                <w:szCs w:val="24"/>
                <w:lang w:val="zh-CN"/>
              </w:rPr>
              <w:t>原料</w:t>
            </w:r>
            <w:r>
              <w:rPr>
                <w:rFonts w:hint="default" w:ascii="Times New Roman" w:hAnsi="Times New Roman" w:cs="Times New Roman" w:eastAsiaTheme="minorEastAsia"/>
                <w:color w:val="auto"/>
                <w:sz w:val="24"/>
                <w:szCs w:val="24"/>
              </w:rPr>
              <w:t>经人工</w:t>
            </w:r>
            <w:r>
              <w:rPr>
                <w:rFonts w:hint="default" w:ascii="Times New Roman" w:hAnsi="Times New Roman" w:cs="Times New Roman" w:eastAsiaTheme="minorEastAsia"/>
                <w:color w:val="auto"/>
                <w:sz w:val="24"/>
                <w:szCs w:val="24"/>
                <w:lang w:val="zh-CN"/>
              </w:rPr>
              <w:t>搬运到生产车间计量工序，人工开包拆除原料包装的封口线，合格的</w:t>
            </w:r>
            <w:r>
              <w:rPr>
                <w:rFonts w:hint="default" w:ascii="Times New Roman" w:hAnsi="Times New Roman" w:cs="Times New Roman" w:eastAsiaTheme="minorEastAsia"/>
                <w:color w:val="auto"/>
                <w:sz w:val="24"/>
                <w:szCs w:val="24"/>
              </w:rPr>
              <w:t>可发性聚苯乙烯（EPS）</w:t>
            </w:r>
            <w:r>
              <w:rPr>
                <w:rFonts w:hint="default" w:ascii="Times New Roman" w:hAnsi="Times New Roman" w:cs="Times New Roman" w:eastAsiaTheme="minorEastAsia"/>
                <w:color w:val="auto"/>
                <w:sz w:val="24"/>
                <w:szCs w:val="24"/>
                <w:lang w:val="zh-CN"/>
              </w:rPr>
              <w:t>按工艺要求倒入发泡机的进料仓内。生产过程仅使用</w:t>
            </w:r>
            <w:r>
              <w:rPr>
                <w:rFonts w:hint="default" w:ascii="Times New Roman" w:hAnsi="Times New Roman" w:cs="Times New Roman" w:eastAsiaTheme="minorEastAsia"/>
                <w:color w:val="auto"/>
                <w:sz w:val="24"/>
                <w:szCs w:val="24"/>
              </w:rPr>
              <w:t>可发性聚苯乙烯（EPS）新料</w:t>
            </w:r>
            <w:r>
              <w:rPr>
                <w:rFonts w:hint="default" w:ascii="Times New Roman" w:hAnsi="Times New Roman" w:cs="Times New Roman" w:eastAsiaTheme="minorEastAsia"/>
                <w:color w:val="auto"/>
                <w:sz w:val="24"/>
                <w:szCs w:val="24"/>
                <w:lang w:val="zh-CN"/>
              </w:rPr>
              <w:t>作为原料，不添加其他任何辅料。</w:t>
            </w:r>
            <w:r>
              <w:rPr>
                <w:rFonts w:hint="default" w:ascii="Times New Roman" w:hAnsi="Times New Roman" w:cs="Times New Roman" w:eastAsiaTheme="minorEastAsia"/>
                <w:color w:val="auto"/>
                <w:sz w:val="24"/>
                <w:szCs w:val="24"/>
              </w:rPr>
              <w:t>此过程拆除原料时会产生废包装材料S1</w:t>
            </w:r>
            <w:r>
              <w:rPr>
                <w:rFonts w:hint="eastAsia" w:cs="Times New Roman" w:eastAsiaTheme="minorEastAsia"/>
                <w:color w:val="auto"/>
                <w:sz w:val="24"/>
                <w:szCs w:val="24"/>
                <w:lang w:val="en-US" w:eastAsia="zh-CN"/>
              </w:rPr>
              <w:t>和少量的颗粒物</w:t>
            </w:r>
            <w:r>
              <w:rPr>
                <w:rFonts w:hint="default" w:ascii="Times New Roman" w:hAnsi="Times New Roman" w:cs="Times New Roman" w:eastAsiaTheme="minorEastAsia"/>
                <w:color w:val="auto"/>
                <w:sz w:val="24"/>
                <w:szCs w:val="24"/>
              </w:rPr>
              <w:t>。</w:t>
            </w:r>
          </w:p>
          <w:p w14:paraId="73375B92">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eastAsiaTheme="minorEastAsia"/>
                <w:b/>
                <w:color w:val="auto"/>
                <w:sz w:val="24"/>
                <w:szCs w:val="24"/>
                <w:lang w:val="en-US" w:eastAsia="zh-CN"/>
              </w:rPr>
            </w:pPr>
            <w:r>
              <w:rPr>
                <w:rFonts w:hint="default" w:ascii="Times New Roman" w:hAnsi="Times New Roman" w:cs="Times New Roman" w:eastAsiaTheme="minorEastAsia"/>
                <w:b/>
                <w:color w:val="auto"/>
                <w:sz w:val="24"/>
                <w:szCs w:val="24"/>
              </w:rPr>
              <w:t>（3）发泡</w:t>
            </w:r>
          </w:p>
          <w:p w14:paraId="4AF55B22">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发泡过程通过进料机—发泡桶发泡—出料—流化床干燥完成。原料EPS粒子通过间歇式预发泡机自带的输送系统、计量系统后输送至预发泡机发泡筒内进行发泡。发泡过程采用蒸汽</w:t>
            </w:r>
            <w:r>
              <w:rPr>
                <w:rFonts w:hint="eastAsia" w:cs="Times New Roman" w:eastAsiaTheme="minorEastAsia"/>
                <w:color w:val="auto"/>
                <w:sz w:val="24"/>
                <w:szCs w:val="24"/>
                <w:lang w:val="en-US" w:eastAsia="zh-CN"/>
              </w:rPr>
              <w:t>间接</w:t>
            </w:r>
            <w:r>
              <w:rPr>
                <w:rFonts w:hint="default" w:ascii="Times New Roman" w:hAnsi="Times New Roman" w:cs="Times New Roman" w:eastAsiaTheme="minorEastAsia"/>
                <w:color w:val="auto"/>
                <w:sz w:val="24"/>
                <w:szCs w:val="24"/>
              </w:rPr>
              <w:t>加热</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发泡机内部设置隔档，加热后的水蒸气不直接接触物料</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蒸汽释放出热量软化EPS，并使EPS珠粒内的发泡剂（戊烷）开始沸腾气化，气化的戊烷气体增加了EPS珠粒内的压力，从而使EPS珠粒膨胀。发泡桶内的温度控制在90~100℃，每批次发泡时间约110s。泡粒达到预定发泡倍数后，自出料口送出至流化床进行干燥。流化床采用空气干燥，干燥后风力输送至熟化仓。</w:t>
            </w:r>
          </w:p>
          <w:p w14:paraId="0EC1DDC2">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发泡能量来源于饱和蒸汽</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在</w:t>
            </w:r>
            <w:r>
              <w:rPr>
                <w:rFonts w:hint="default" w:ascii="Times New Roman" w:hAnsi="Times New Roman" w:cs="Times New Roman" w:eastAsiaTheme="minorEastAsia"/>
                <w:color w:val="auto"/>
                <w:sz w:val="24"/>
                <w:szCs w:val="24"/>
              </w:rPr>
              <w:t>蒸汽释放出热量</w:t>
            </w:r>
            <w:r>
              <w:rPr>
                <w:rFonts w:hint="eastAsia" w:ascii="Times New Roman" w:hAnsi="Times New Roman" w:cs="Times New Roman" w:eastAsiaTheme="minorEastAsia"/>
                <w:color w:val="auto"/>
                <w:sz w:val="24"/>
                <w:szCs w:val="24"/>
                <w:lang w:val="en-US" w:eastAsia="zh-CN"/>
              </w:rPr>
              <w:t>后会形成冷凝水，</w:t>
            </w:r>
            <w:r>
              <w:rPr>
                <w:rFonts w:hint="default" w:ascii="Times New Roman" w:hAnsi="Times New Roman" w:cs="Times New Roman" w:eastAsiaTheme="minorEastAsia"/>
                <w:color w:val="auto"/>
                <w:sz w:val="24"/>
                <w:szCs w:val="24"/>
              </w:rPr>
              <w:t>在蒸汽管的底部安装排水阀，蒸汽冷凝水通过管道流入冷却水池后作为</w:t>
            </w:r>
            <w:r>
              <w:rPr>
                <w:rFonts w:hint="eastAsia" w:cs="Times New Roman" w:eastAsiaTheme="minorEastAsia"/>
                <w:color w:val="auto"/>
                <w:sz w:val="24"/>
                <w:szCs w:val="24"/>
                <w:lang w:eastAsia="zh-CN"/>
              </w:rPr>
              <w:t>生物质蒸汽发生器</w:t>
            </w:r>
            <w:r>
              <w:rPr>
                <w:rFonts w:hint="default" w:ascii="Times New Roman" w:hAnsi="Times New Roman" w:cs="Times New Roman" w:eastAsiaTheme="minorEastAsia"/>
                <w:color w:val="auto"/>
                <w:sz w:val="24"/>
                <w:szCs w:val="24"/>
              </w:rPr>
              <w:t>补水循环使用。预发泡过程中设备运行时产生噪声N；聚苯乙烯及发泡剂受热产生废气G1，主要为非甲烷总烃、苯乙烯、</w:t>
            </w:r>
            <w:r>
              <w:rPr>
                <w:rFonts w:hint="default" w:ascii="Times New Roman" w:hAnsi="Times New Roman" w:cs="Times New Roman" w:eastAsiaTheme="minorEastAsia"/>
                <w:color w:val="auto"/>
                <w:sz w:val="24"/>
                <w:szCs w:val="24"/>
                <w:lang w:val="en-US" w:eastAsia="zh-CN"/>
              </w:rPr>
              <w:t>甲苯、乙苯、</w:t>
            </w:r>
            <w:r>
              <w:rPr>
                <w:rFonts w:hint="eastAsia" w:cs="Times New Roman" w:eastAsiaTheme="minorEastAsia"/>
                <w:color w:val="auto"/>
                <w:sz w:val="24"/>
                <w:szCs w:val="24"/>
                <w:lang w:val="en-US" w:eastAsia="zh-CN"/>
              </w:rPr>
              <w:t>颗粒物、</w:t>
            </w:r>
            <w:r>
              <w:rPr>
                <w:rFonts w:hint="default" w:ascii="Times New Roman" w:hAnsi="Times New Roman" w:cs="Times New Roman" w:eastAsiaTheme="minorEastAsia"/>
                <w:bCs/>
                <w:color w:val="auto"/>
                <w:spacing w:val="-10"/>
                <w:sz w:val="24"/>
                <w:szCs w:val="24"/>
              </w:rPr>
              <w:t>臭气浓度</w:t>
            </w:r>
            <w:r>
              <w:rPr>
                <w:rFonts w:hint="default" w:ascii="Times New Roman" w:hAnsi="Times New Roman" w:cs="Times New Roman" w:eastAsiaTheme="minorEastAsia"/>
                <w:color w:val="auto"/>
                <w:sz w:val="24"/>
                <w:szCs w:val="24"/>
              </w:rPr>
              <w:t>；还会产生一定量的蒸汽冷凝水W1。</w:t>
            </w:r>
          </w:p>
          <w:p w14:paraId="1EAA0B70">
            <w:pPr>
              <w:keepNext w:val="0"/>
              <w:keepLines w:val="0"/>
              <w:pageBreakBefore w:val="0"/>
              <w:kinsoku/>
              <w:wordWrap/>
              <w:overflowPunct/>
              <w:topLinePunct w:val="0"/>
              <w:autoSpaceDE/>
              <w:autoSpaceDN/>
              <w:bidi w:val="0"/>
              <w:spacing w:line="360" w:lineRule="auto"/>
              <w:ind w:firstLine="504" w:firstLineChars="200"/>
              <w:textAlignment w:val="auto"/>
              <w:rPr>
                <w:rStyle w:val="111"/>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Cs/>
                <w:color w:val="auto"/>
                <w:spacing w:val="6"/>
                <w:sz w:val="24"/>
                <w:szCs w:val="24"/>
              </w:rPr>
              <w:t>本项目拟设置</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台</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t/h</w:t>
            </w:r>
            <w:r>
              <w:rPr>
                <w:rFonts w:hint="default" w:ascii="Times New Roman" w:hAnsi="Times New Roman" w:cs="Times New Roman" w:eastAsiaTheme="minorEastAsia"/>
                <w:bCs/>
                <w:color w:val="auto"/>
                <w:spacing w:val="6"/>
                <w:sz w:val="24"/>
                <w:szCs w:val="24"/>
              </w:rPr>
              <w:t>的生物质蒸汽发生器为泡沫颗粒生产过程提供热量</w:t>
            </w:r>
            <w:r>
              <w:rPr>
                <w:rFonts w:hint="default" w:ascii="Times New Roman" w:hAnsi="Times New Roman" w:cs="Times New Roman" w:eastAsiaTheme="minorEastAsia"/>
                <w:color w:val="auto"/>
                <w:sz w:val="24"/>
                <w:szCs w:val="24"/>
              </w:rPr>
              <w:t>，使用生物质为燃料，</w:t>
            </w:r>
            <w:r>
              <w:rPr>
                <w:rFonts w:hint="eastAsia" w:cs="Times New Roman" w:eastAsiaTheme="minorEastAsia"/>
                <w:color w:val="auto"/>
                <w:sz w:val="24"/>
                <w:szCs w:val="24"/>
                <w:lang w:eastAsia="zh-CN"/>
              </w:rPr>
              <w:t>生物质蒸汽发生器</w:t>
            </w:r>
            <w:r>
              <w:rPr>
                <w:rFonts w:hint="default" w:ascii="Times New Roman" w:hAnsi="Times New Roman" w:cs="Times New Roman" w:eastAsiaTheme="minorEastAsia"/>
                <w:color w:val="auto"/>
                <w:sz w:val="24"/>
                <w:szCs w:val="24"/>
              </w:rPr>
              <w:t>在运行时产生</w:t>
            </w:r>
            <w:r>
              <w:rPr>
                <w:rFonts w:hint="eastAsia" w:cs="Times New Roman" w:eastAsiaTheme="minorEastAsia"/>
                <w:color w:val="auto"/>
                <w:sz w:val="24"/>
                <w:szCs w:val="24"/>
                <w:lang w:eastAsia="zh-CN"/>
              </w:rPr>
              <w:t>生物质蒸汽发生器</w:t>
            </w:r>
            <w:r>
              <w:rPr>
                <w:rFonts w:hint="default" w:ascii="Times New Roman" w:hAnsi="Times New Roman" w:cs="Times New Roman" w:eastAsiaTheme="minorEastAsia"/>
                <w:color w:val="auto"/>
                <w:sz w:val="24"/>
                <w:szCs w:val="24"/>
              </w:rPr>
              <w:t>废气G2、风机噪声N及软水制备废水W2、</w:t>
            </w:r>
            <w:r>
              <w:rPr>
                <w:rFonts w:hint="eastAsia" w:cs="Times New Roman" w:eastAsiaTheme="minorEastAsia"/>
                <w:color w:val="auto"/>
                <w:sz w:val="24"/>
                <w:szCs w:val="24"/>
                <w:lang w:eastAsia="zh-CN"/>
              </w:rPr>
              <w:t>生物质蒸汽发生器</w:t>
            </w:r>
            <w:r>
              <w:rPr>
                <w:rFonts w:hint="default" w:ascii="Times New Roman" w:hAnsi="Times New Roman" w:cs="Times New Roman" w:eastAsiaTheme="minorEastAsia"/>
                <w:color w:val="auto"/>
                <w:sz w:val="24"/>
                <w:szCs w:val="24"/>
              </w:rPr>
              <w:t>排污水W3</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软水设备还会产生</w:t>
            </w:r>
            <w:r>
              <w:rPr>
                <w:rStyle w:val="111"/>
                <w:rFonts w:hint="default" w:ascii="Times New Roman" w:hAnsi="Times New Roman" w:cs="Times New Roman" w:eastAsiaTheme="minorEastAsia"/>
                <w:color w:val="auto"/>
                <w:sz w:val="24"/>
                <w:szCs w:val="24"/>
                <w:lang w:val="en-US" w:eastAsia="zh-CN"/>
              </w:rPr>
              <w:t>废离子交换树脂S8。</w:t>
            </w:r>
          </w:p>
          <w:p w14:paraId="744793BF">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Times New Roman" w:hAnsi="Times New Roman" w:cs="Times New Roman" w:eastAsiaTheme="minorEastAsia"/>
                <w:b/>
                <w:color w:val="auto"/>
                <w:sz w:val="24"/>
                <w:szCs w:val="24"/>
                <w:lang w:val="en-US" w:eastAsia="zh-CN"/>
              </w:rPr>
            </w:pPr>
            <w:r>
              <w:rPr>
                <w:rFonts w:hint="eastAsia" w:ascii="Times New Roman" w:hAnsi="Times New Roman" w:cs="Times New Roman" w:eastAsiaTheme="minorEastAsia"/>
                <w:b/>
                <w:color w:val="auto"/>
                <w:sz w:val="24"/>
                <w:szCs w:val="24"/>
                <w:lang w:val="en-US" w:eastAsia="zh-CN"/>
              </w:rPr>
              <w:t>（4）流化</w:t>
            </w:r>
          </w:p>
          <w:p w14:paraId="095C59B7">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发泡完成的塑料颗粒经</w:t>
            </w:r>
            <w:r>
              <w:rPr>
                <w:rFonts w:hint="default" w:ascii="Times New Roman" w:hAnsi="Times New Roman" w:cs="Times New Roman" w:eastAsiaTheme="minorEastAsia"/>
                <w:color w:val="auto"/>
                <w:kern w:val="2"/>
                <w:sz w:val="24"/>
                <w:szCs w:val="24"/>
                <w:lang w:val="en-US" w:eastAsia="zh-CN" w:bidi="ar-SA"/>
              </w:rPr>
              <w:t>出料口送出至流化床进行干燥</w:t>
            </w:r>
            <w:r>
              <w:rPr>
                <w:rFonts w:hint="eastAsia" w:ascii="Times New Roman" w:hAnsi="Times New Roman" w:cs="Times New Roman" w:eastAsiaTheme="minorEastAsia"/>
                <w:color w:val="auto"/>
                <w:kern w:val="2"/>
                <w:sz w:val="24"/>
                <w:szCs w:val="24"/>
                <w:lang w:val="en-US" w:eastAsia="zh-CN" w:bidi="ar-SA"/>
              </w:rPr>
              <w:t>，</w:t>
            </w:r>
            <w:r>
              <w:rPr>
                <w:rFonts w:hint="default" w:ascii="Times New Roman" w:hAnsi="Times New Roman" w:cs="Times New Roman" w:eastAsiaTheme="minorEastAsia"/>
                <w:color w:val="auto"/>
                <w:kern w:val="2"/>
                <w:sz w:val="24"/>
                <w:szCs w:val="24"/>
                <w:lang w:val="en-US" w:eastAsia="zh-CN" w:bidi="ar-SA"/>
              </w:rPr>
              <w:t>流化床采用</w:t>
            </w:r>
            <w:r>
              <w:rPr>
                <w:rFonts w:hint="eastAsia" w:cs="Times New Roman" w:eastAsiaTheme="minorEastAsia"/>
                <w:color w:val="auto"/>
                <w:kern w:val="2"/>
                <w:sz w:val="24"/>
                <w:szCs w:val="24"/>
                <w:lang w:val="en-US" w:eastAsia="zh-CN" w:bidi="ar-SA"/>
              </w:rPr>
              <w:t>流动</w:t>
            </w:r>
            <w:r>
              <w:rPr>
                <w:rFonts w:hint="default" w:ascii="Times New Roman" w:hAnsi="Times New Roman" w:cs="Times New Roman" w:eastAsiaTheme="minorEastAsia"/>
                <w:color w:val="auto"/>
                <w:kern w:val="2"/>
                <w:sz w:val="24"/>
                <w:szCs w:val="24"/>
                <w:lang w:val="en-US" w:eastAsia="zh-CN" w:bidi="ar-SA"/>
              </w:rPr>
              <w:t>空气干燥，</w:t>
            </w:r>
            <w:r>
              <w:rPr>
                <w:rFonts w:hint="eastAsia" w:ascii="Times New Roman" w:hAnsi="Times New Roman" w:cs="Times New Roman" w:eastAsiaTheme="minorEastAsia"/>
                <w:color w:val="auto"/>
                <w:kern w:val="2"/>
                <w:sz w:val="24"/>
                <w:szCs w:val="24"/>
                <w:lang w:val="en-US" w:eastAsia="zh-CN" w:bidi="ar-SA"/>
              </w:rPr>
              <w:t>不添加任何物料，流化工段无污染物外排。</w:t>
            </w:r>
          </w:p>
          <w:p w14:paraId="41B653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default" w:ascii="Times New Roman" w:hAnsi="Times New Roman" w:cs="Times New Roman" w:eastAsiaTheme="minorEastAsia"/>
                <w:b/>
                <w:color w:val="auto"/>
                <w:sz w:val="24"/>
                <w:szCs w:val="24"/>
              </w:rPr>
            </w:pPr>
            <w:r>
              <w:rPr>
                <w:rFonts w:hint="default" w:ascii="Times New Roman" w:hAnsi="Times New Roman" w:cs="Times New Roman" w:eastAsiaTheme="minorEastAsia"/>
                <w:b/>
                <w:color w:val="auto"/>
                <w:sz w:val="24"/>
                <w:szCs w:val="24"/>
              </w:rPr>
              <w:t>（</w:t>
            </w:r>
            <w:r>
              <w:rPr>
                <w:rFonts w:hint="eastAsia" w:cs="Times New Roman" w:eastAsiaTheme="minorEastAsia"/>
                <w:b/>
                <w:color w:val="auto"/>
                <w:sz w:val="24"/>
                <w:szCs w:val="24"/>
                <w:lang w:val="en-US" w:eastAsia="zh-CN"/>
              </w:rPr>
              <w:t>5</w:t>
            </w:r>
            <w:r>
              <w:rPr>
                <w:rFonts w:hint="default" w:ascii="Times New Roman" w:hAnsi="Times New Roman" w:cs="Times New Roman" w:eastAsiaTheme="minorEastAsia"/>
                <w:b/>
                <w:color w:val="auto"/>
                <w:sz w:val="24"/>
                <w:szCs w:val="24"/>
              </w:rPr>
              <w:t>）熟化</w:t>
            </w:r>
          </w:p>
          <w:p w14:paraId="04422687">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发泡好的泡粒因部分发泡剂挥发逃逸、残留发泡剂受冷凝结体积缩小以及EPS珠粒内部的蒸汽凝结造成EPS珠粒内部的暂时真空，导致泡粒对压力十分敏感，必须存放一段时间，让空气渗透到EPS珠粒内部以平衡其内外压力并使得EPS珠粒稳定、颗粒更加有弹性。</w:t>
            </w:r>
          </w:p>
          <w:p w14:paraId="367122D6">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熟化过程在熟化仓内进行，熟化仓采用透气性能良好和有金属条纹的结构以防止静电。熟化时通入空气，以缩短熟化时间，熟化时熟化温度22~26℃，</w:t>
            </w:r>
            <w:r>
              <w:rPr>
                <w:rFonts w:hint="default" w:ascii="Times New Roman" w:hAnsi="Times New Roman" w:cs="Times New Roman" w:eastAsiaTheme="minorEastAsia"/>
                <w:color w:val="auto"/>
                <w:sz w:val="24"/>
                <w:szCs w:val="24"/>
                <w:lang w:val="zh-CN"/>
              </w:rPr>
              <w:t>每批次需3h左右</w:t>
            </w:r>
            <w:r>
              <w:rPr>
                <w:rFonts w:hint="eastAsia" w:cs="Times New Roman" w:eastAsiaTheme="minorEastAsia"/>
                <w:color w:val="auto"/>
                <w:sz w:val="24"/>
                <w:szCs w:val="24"/>
                <w:lang w:val="zh-CN"/>
              </w:rPr>
              <w:t>，</w:t>
            </w:r>
            <w:r>
              <w:rPr>
                <w:rFonts w:hint="eastAsia" w:cs="Times New Roman" w:eastAsiaTheme="minorEastAsia"/>
                <w:color w:val="auto"/>
                <w:sz w:val="24"/>
                <w:szCs w:val="24"/>
                <w:lang w:val="en-US" w:eastAsia="zh-CN"/>
              </w:rPr>
              <w:t>熟化过程无污染物外排，</w:t>
            </w:r>
            <w:r>
              <w:rPr>
                <w:rFonts w:hint="default" w:ascii="Times New Roman" w:hAnsi="Times New Roman" w:cs="Times New Roman" w:eastAsiaTheme="minorEastAsia"/>
                <w:color w:val="auto"/>
                <w:sz w:val="24"/>
                <w:szCs w:val="24"/>
              </w:rPr>
              <w:t>熟化所需空气为自然空气。</w:t>
            </w:r>
          </w:p>
          <w:p w14:paraId="32FFDE39">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w:t>
            </w:r>
            <w:r>
              <w:rPr>
                <w:rFonts w:hint="eastAsia" w:cs="Times New Roman" w:eastAsiaTheme="minorEastAsia"/>
                <w:b/>
                <w:bCs/>
                <w:color w:val="auto"/>
                <w:sz w:val="24"/>
                <w:szCs w:val="24"/>
                <w:lang w:val="en-US" w:eastAsia="zh-CN"/>
              </w:rPr>
              <w:t>6</w:t>
            </w:r>
            <w:r>
              <w:rPr>
                <w:rFonts w:hint="default" w:ascii="Times New Roman" w:hAnsi="Times New Roman" w:cs="Times New Roman" w:eastAsiaTheme="minorEastAsia"/>
                <w:b/>
                <w:bCs/>
                <w:color w:val="auto"/>
                <w:sz w:val="24"/>
                <w:szCs w:val="24"/>
              </w:rPr>
              <w:t>）成品储存</w:t>
            </w:r>
          </w:p>
          <w:p w14:paraId="5F06F30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熟化后的颗粒经风力输送至成品区储存。</w:t>
            </w:r>
          </w:p>
          <w:p w14:paraId="51838429">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w:t>
            </w:r>
            <w:r>
              <w:rPr>
                <w:rFonts w:hint="eastAsia" w:cs="Times New Roman" w:eastAsiaTheme="minorEastAsia"/>
                <w:b/>
                <w:bCs/>
                <w:color w:val="auto"/>
                <w:sz w:val="24"/>
                <w:szCs w:val="24"/>
                <w:lang w:val="en-US" w:eastAsia="zh-CN"/>
              </w:rPr>
              <w:t>7</w:t>
            </w:r>
            <w:r>
              <w:rPr>
                <w:rFonts w:hint="default" w:ascii="Times New Roman" w:hAnsi="Times New Roman" w:cs="Times New Roman" w:eastAsiaTheme="minorEastAsia"/>
                <w:b/>
                <w:bCs/>
                <w:color w:val="auto"/>
                <w:sz w:val="24"/>
                <w:szCs w:val="24"/>
              </w:rPr>
              <w:t>）打包外售</w:t>
            </w:r>
          </w:p>
          <w:p w14:paraId="633EEC0A">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产品分装于0.8m×1.8m规格的包装袋，每袋产品约2kg。包装后外售。该过程会产生废包装材料S1。</w:t>
            </w:r>
          </w:p>
          <w:p w14:paraId="4EA5BD43">
            <w:pPr>
              <w:keepNext w:val="0"/>
              <w:keepLines w:val="0"/>
              <w:pageBreakBefore w:val="0"/>
              <w:kinsoku/>
              <w:wordWrap/>
              <w:overflowPunct/>
              <w:topLinePunct w:val="0"/>
              <w:autoSpaceDE/>
              <w:autoSpaceDN/>
              <w:bidi w:val="0"/>
              <w:spacing w:line="360" w:lineRule="auto"/>
              <w:ind w:firstLine="482" w:firstLineChars="200"/>
              <w:textAlignment w:val="auto"/>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bCs/>
                <w:color w:val="auto"/>
                <w:sz w:val="24"/>
                <w:szCs w:val="24"/>
              </w:rPr>
              <w:t>其他产污环节分析：</w:t>
            </w:r>
            <w:r>
              <w:rPr>
                <w:rFonts w:hint="default" w:ascii="Times New Roman" w:hAnsi="Times New Roman" w:cs="Times New Roman" w:eastAsiaTheme="minorEastAsia"/>
                <w:color w:val="auto"/>
                <w:sz w:val="24"/>
                <w:szCs w:val="24"/>
              </w:rPr>
              <w:t>工作人员生活污水W4；</w:t>
            </w:r>
            <w:r>
              <w:rPr>
                <w:rStyle w:val="111"/>
                <w:rFonts w:hint="default" w:ascii="Times New Roman" w:hAnsi="Times New Roman" w:cs="Times New Roman" w:eastAsiaTheme="minorEastAsia"/>
                <w:color w:val="auto"/>
                <w:sz w:val="24"/>
                <w:szCs w:val="24"/>
              </w:rPr>
              <w:t>活性炭吸附</w:t>
            </w:r>
            <w:r>
              <w:rPr>
                <w:rFonts w:hint="default" w:ascii="Times New Roman" w:hAnsi="Times New Roman" w:cs="Times New Roman" w:eastAsiaTheme="minorEastAsia"/>
                <w:color w:val="auto"/>
                <w:sz w:val="24"/>
                <w:szCs w:val="24"/>
              </w:rPr>
              <w:t>装置产生的废活性炭S2；设备维修保养产生废机油S6、生活垃圾S7。</w:t>
            </w:r>
          </w:p>
          <w:p w14:paraId="7B5C0E3B">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运营期</w:t>
            </w:r>
            <w:r>
              <w:rPr>
                <w:rFonts w:hint="default" w:ascii="Times New Roman" w:hAnsi="Times New Roman" w:cs="Times New Roman" w:eastAsiaTheme="minorEastAsia"/>
                <w:b w:val="0"/>
                <w:bCs w:val="0"/>
                <w:strike w:val="0"/>
                <w:dstrike w:val="0"/>
                <w:color w:val="auto"/>
                <w:sz w:val="24"/>
                <w:szCs w:val="24"/>
                <w:lang w:eastAsia="zh-CN"/>
              </w:rPr>
              <w:t>EPS泡沫颗粒</w:t>
            </w:r>
            <w:r>
              <w:rPr>
                <w:rFonts w:hint="default" w:ascii="Times New Roman" w:hAnsi="Times New Roman" w:cs="Times New Roman" w:eastAsiaTheme="minorEastAsia"/>
                <w:b w:val="0"/>
                <w:bCs w:val="0"/>
                <w:strike w:val="0"/>
                <w:dstrike w:val="0"/>
                <w:color w:val="auto"/>
                <w:sz w:val="24"/>
                <w:szCs w:val="24"/>
              </w:rPr>
              <w:t>生产工艺流程及产污节点见图</w:t>
            </w:r>
            <w:r>
              <w:rPr>
                <w:rFonts w:hint="default" w:ascii="Times New Roman" w:hAnsi="Times New Roman" w:cs="Times New Roman" w:eastAsiaTheme="minorEastAsia"/>
                <w:b w:val="0"/>
                <w:bCs w:val="0"/>
                <w:strike w:val="0"/>
                <w:dstrike w:val="0"/>
                <w:color w:val="auto"/>
                <w:sz w:val="24"/>
                <w:szCs w:val="24"/>
                <w:lang w:val="en-US" w:eastAsia="zh-CN"/>
              </w:rPr>
              <w:t>2-</w:t>
            </w:r>
            <w:r>
              <w:rPr>
                <w:rFonts w:hint="eastAsia" w:cs="Times New Roman" w:eastAsiaTheme="minorEastAsia"/>
                <w:b w:val="0"/>
                <w:bCs w:val="0"/>
                <w:strike w:val="0"/>
                <w:dstrike w:val="0"/>
                <w:color w:val="auto"/>
                <w:sz w:val="24"/>
                <w:szCs w:val="24"/>
                <w:lang w:val="en-US" w:eastAsia="zh-CN"/>
              </w:rPr>
              <w:t>5</w:t>
            </w:r>
            <w:r>
              <w:rPr>
                <w:rFonts w:hint="default" w:ascii="Times New Roman" w:hAnsi="Times New Roman" w:cs="Times New Roman" w:eastAsiaTheme="minorEastAsia"/>
                <w:b w:val="0"/>
                <w:bCs w:val="0"/>
                <w:strike w:val="0"/>
                <w:dstrike w:val="0"/>
                <w:color w:val="auto"/>
                <w:sz w:val="24"/>
                <w:szCs w:val="24"/>
              </w:rPr>
              <w:t>。</w:t>
            </w:r>
          </w:p>
          <w:p w14:paraId="3D714B99">
            <w:pPr>
              <w:pStyle w:val="2"/>
              <w:ind w:left="0" w:leftChars="0" w:firstLine="0" w:firstLineChars="0"/>
              <w:jc w:val="both"/>
              <w:rPr>
                <w:rFonts w:hint="default"/>
                <w:color w:val="auto"/>
                <w:lang w:val="en-US" w:eastAsia="zh-CN"/>
              </w:rPr>
            </w:pPr>
            <w:r>
              <w:rPr>
                <w:rFonts w:hint="default"/>
                <w:color w:val="auto"/>
                <w:lang w:val="en-US" w:eastAsia="zh-CN"/>
              </w:rPr>
              <w:object>
                <v:shape id="_x0000_i1029" o:spt="75" type="#_x0000_t75" style="height:243.85pt;width:392.4pt;" o:ole="t" filled="f" o:preferrelative="t" stroked="f" coordsize="21600,21600">
                  <v:path/>
                  <v:fill on="f" focussize="0,0"/>
                  <v:stroke on="f"/>
                  <v:imagedata r:id="rId27" o:title=""/>
                  <o:lock v:ext="edit" aspectratio="f"/>
                  <w10:wrap type="none"/>
                  <w10:anchorlock/>
                </v:shape>
                <o:OLEObject Type="Embed" ProgID="Visio.Drawing.11" ShapeID="_x0000_i1029" DrawAspect="Content" ObjectID="_1468075729" r:id="rId26">
                  <o:LockedField>false</o:LockedField>
                </o:OLEObject>
              </w:object>
            </w:r>
          </w:p>
          <w:p w14:paraId="5A8040A4">
            <w:pPr>
              <w:keepNext w:val="0"/>
              <w:keepLines w:val="0"/>
              <w:pageBreakBefore w:val="0"/>
              <w:widowControl/>
              <w:tabs>
                <w:tab w:val="left" w:pos="4830"/>
              </w:tabs>
              <w:kinsoku/>
              <w:wordWrap/>
              <w:overflowPunct/>
              <w:topLinePunct w:val="0"/>
              <w:autoSpaceDE/>
              <w:autoSpaceDN/>
              <w:bidi w:val="0"/>
              <w:adjustRightInd/>
              <w:snapToGrid/>
              <w:spacing w:line="360" w:lineRule="auto"/>
              <w:ind w:leftChars="0" w:firstLine="482" w:firstLineChars="20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w:t>
            </w:r>
            <w:r>
              <w:rPr>
                <w:rFonts w:hint="default" w:ascii="Times New Roman" w:hAnsi="Times New Roman" w:cs="Times New Roman"/>
                <w:b/>
                <w:bCs/>
                <w:color w:val="auto"/>
                <w:sz w:val="24"/>
                <w:szCs w:val="24"/>
                <w:lang w:val="en-US" w:eastAsia="zh-CN"/>
              </w:rPr>
              <w:t>2-</w:t>
            </w:r>
            <w:r>
              <w:rPr>
                <w:rFonts w:hint="eastAsia" w:cs="Times New Roman"/>
                <w:b/>
                <w:bCs/>
                <w:color w:val="auto"/>
                <w:sz w:val="24"/>
                <w:szCs w:val="24"/>
                <w:lang w:val="en-US" w:eastAsia="zh-CN"/>
              </w:rPr>
              <w:t>4</w:t>
            </w:r>
            <w:r>
              <w:rPr>
                <w:rFonts w:hint="default" w:ascii="Times New Roman" w:hAnsi="Times New Roman" w:cs="Times New Roman"/>
                <w:b/>
                <w:bCs/>
                <w:color w:val="auto"/>
                <w:sz w:val="24"/>
                <w:szCs w:val="24"/>
              </w:rPr>
              <w:t xml:space="preserve"> 项目生产工艺流程及产污节点示意图</w:t>
            </w:r>
          </w:p>
        </w:tc>
      </w:tr>
      <w:tr w14:paraId="6283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265" w:type="pct"/>
            <w:vAlign w:val="top"/>
          </w:tcPr>
          <w:p w14:paraId="0D002D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2"/>
                <w:szCs w:val="22"/>
              </w:rPr>
            </w:pPr>
          </w:p>
          <w:p w14:paraId="3CD610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与项目</w:t>
            </w:r>
          </w:p>
          <w:p w14:paraId="2F329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有关的</w:t>
            </w:r>
          </w:p>
          <w:p w14:paraId="364C4D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原有环</w:t>
            </w:r>
          </w:p>
          <w:p w14:paraId="264072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境污染</w:t>
            </w:r>
          </w:p>
          <w:p w14:paraId="4FE03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2"/>
                <w:szCs w:val="22"/>
              </w:rPr>
            </w:pPr>
            <w:r>
              <w:rPr>
                <w:rFonts w:hint="default" w:ascii="Times New Roman" w:hAnsi="Times New Roman" w:eastAsia="宋体" w:cs="Times New Roman"/>
                <w:b w:val="0"/>
                <w:bCs w:val="0"/>
                <w:color w:val="auto"/>
                <w:sz w:val="22"/>
                <w:szCs w:val="22"/>
              </w:rPr>
              <w:t>问题</w:t>
            </w:r>
          </w:p>
          <w:p w14:paraId="36F86D81">
            <w:pPr>
              <w:ind w:left="0" w:leftChars="0" w:firstLine="0" w:firstLineChars="0"/>
              <w:rPr>
                <w:rFonts w:hint="default"/>
                <w:color w:val="auto"/>
                <w:lang w:eastAsia="zh-CN"/>
              </w:rPr>
            </w:pPr>
          </w:p>
          <w:p w14:paraId="60F14FE7">
            <w:pPr>
              <w:pStyle w:val="43"/>
              <w:rPr>
                <w:rFonts w:hint="default" w:ascii="Times New Roman" w:hAnsi="Times New Roman" w:eastAsia="宋体" w:cs="Times New Roman"/>
                <w:strike w:val="0"/>
                <w:dstrike w:val="0"/>
                <w:color w:val="auto"/>
                <w:lang w:eastAsia="zh-CN"/>
              </w:rPr>
            </w:pPr>
          </w:p>
          <w:p w14:paraId="72D59C2E">
            <w:pPr>
              <w:pStyle w:val="43"/>
              <w:rPr>
                <w:rFonts w:hint="default" w:ascii="Times New Roman" w:hAnsi="Times New Roman" w:eastAsia="宋体" w:cs="Times New Roman"/>
                <w:strike w:val="0"/>
                <w:dstrike w:val="0"/>
                <w:color w:val="auto"/>
                <w:lang w:eastAsia="zh-CN"/>
              </w:rPr>
            </w:pPr>
          </w:p>
        </w:tc>
        <w:tc>
          <w:tcPr>
            <w:tcW w:w="4734" w:type="pct"/>
            <w:vAlign w:val="top"/>
          </w:tcPr>
          <w:p w14:paraId="1B3A4343">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cs="Times New Roman" w:eastAsiaTheme="minorEastAsia"/>
                <w:color w:val="auto"/>
                <w:lang w:val="en-US" w:eastAsia="zh-CN"/>
              </w:rPr>
            </w:pPr>
            <w:r>
              <w:rPr>
                <w:rFonts w:hint="eastAsia" w:cs="Times New Roman" w:eastAsiaTheme="minorEastAsia"/>
                <w:color w:val="auto"/>
                <w:lang w:val="en-US" w:eastAsia="zh-CN"/>
              </w:rPr>
              <w:t>根据咨询自然资源局、北城街道办事处以及建设单位提供相关资料，本项目用地范围内不涉及占压矿产资源，项目用地位于北城街道刺桐光社区居民委员会村庄建设边界范围外，不涉及占用永久基本农田，不涉及占用生态保护红线，项目用地地块为北城街道刺桐光社区居民委员会闲置的空地，由于历史原因，已闲置多年。根据现场踏勘，该闲置的空地和厂房未建设有危废暂存间、生产设施等对场地产生污染的影响源，无</w:t>
            </w:r>
            <w:r>
              <w:rPr>
                <w:rFonts w:hint="default" w:cs="Times New Roman" w:eastAsiaTheme="minorEastAsia"/>
                <w:color w:val="auto"/>
                <w:lang w:val="en-US" w:eastAsia="zh-CN"/>
              </w:rPr>
              <w:t>原有环境问题</w:t>
            </w:r>
            <w:r>
              <w:rPr>
                <w:rFonts w:hint="eastAsia" w:cs="Times New Roman" w:eastAsiaTheme="minorEastAsia"/>
                <w:color w:val="auto"/>
                <w:lang w:val="en-US" w:eastAsia="zh-CN"/>
              </w:rPr>
              <w:t>遗留，无土壤污染问题遗留</w:t>
            </w:r>
            <w:r>
              <w:rPr>
                <w:rFonts w:hint="default" w:cs="Times New Roman" w:eastAsiaTheme="minorEastAsia"/>
                <w:color w:val="auto"/>
                <w:lang w:val="en-US" w:eastAsia="zh-CN"/>
              </w:rPr>
              <w:t>。</w:t>
            </w:r>
          </w:p>
          <w:p w14:paraId="3B36326A">
            <w:pPr>
              <w:pStyle w:val="19"/>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jc w:val="both"/>
              <w:textAlignment w:val="auto"/>
              <w:rPr>
                <w:rFonts w:hint="default" w:cs="Times New Roman" w:eastAsiaTheme="minorEastAsia"/>
                <w:color w:val="auto"/>
                <w:lang w:val="en-US" w:eastAsia="zh-CN"/>
              </w:rPr>
            </w:pPr>
            <w:r>
              <w:rPr>
                <w:rFonts w:hint="eastAsia" w:cs="Times New Roman" w:eastAsiaTheme="minorEastAsia"/>
                <w:color w:val="auto"/>
                <w:lang w:val="en-US" w:eastAsia="zh-CN"/>
              </w:rPr>
              <w:t>目前，该地块周边建设有《EPS泡沫颗粒生产线项目》、《</w:t>
            </w:r>
            <w:r>
              <w:rPr>
                <w:rFonts w:hint="default" w:cs="Times New Roman" w:eastAsiaTheme="minorEastAsia"/>
                <w:color w:val="auto"/>
                <w:lang w:val="en-US" w:eastAsia="zh-CN"/>
              </w:rPr>
              <w:t>啤酒副产品（废酵母液、湿酒糟）的回收与加工项目</w:t>
            </w:r>
            <w:r>
              <w:rPr>
                <w:rFonts w:hint="eastAsia" w:cs="Times New Roman" w:eastAsiaTheme="minorEastAsia"/>
                <w:color w:val="auto"/>
                <w:lang w:val="en-US" w:eastAsia="zh-CN"/>
              </w:rPr>
              <w:t>》和《年产1万吨PP、PE塑料颗粒项目》等。</w:t>
            </w:r>
            <w:r>
              <w:rPr>
                <w:rFonts w:hint="default" w:cs="Times New Roman" w:eastAsiaTheme="minorEastAsia"/>
                <w:color w:val="auto"/>
                <w:lang w:val="en-US" w:eastAsia="zh-CN"/>
              </w:rPr>
              <w:t>本项目租用</w:t>
            </w:r>
            <w:r>
              <w:rPr>
                <w:rFonts w:hint="eastAsia" w:cs="Times New Roman" w:eastAsiaTheme="minorEastAsia"/>
                <w:color w:val="auto"/>
                <w:lang w:val="en-US" w:eastAsia="zh-CN"/>
              </w:rPr>
              <w:t>云南省玉溪市红塔区北城街道刺桐关社区一组岔箐脑闲置的封闭式厂房进行建设（用地性质为采矿用地），该厂房为封闭的彩钢结构，1层，</w:t>
            </w:r>
            <w:r>
              <w:rPr>
                <w:rFonts w:hint="eastAsia" w:cs="Times New Roman"/>
                <w:color w:val="auto"/>
                <w:sz w:val="24"/>
                <w:lang w:val="en-US" w:eastAsia="zh-CN"/>
              </w:rPr>
              <w:t>整个生产工段布设于封闭的厂房内，</w:t>
            </w:r>
            <w:r>
              <w:rPr>
                <w:rFonts w:hint="default" w:ascii="Times New Roman" w:hAnsi="Times New Roman" w:eastAsia="宋体" w:cs="Times New Roman"/>
                <w:color w:val="auto"/>
                <w:sz w:val="24"/>
                <w:lang w:val="en-US" w:eastAsia="zh-CN"/>
              </w:rPr>
              <w:t>从</w:t>
            </w:r>
            <w:r>
              <w:rPr>
                <w:rFonts w:hint="eastAsia" w:cs="Times New Roman"/>
                <w:color w:val="auto"/>
                <w:sz w:val="24"/>
                <w:lang w:val="en-US" w:eastAsia="zh-CN"/>
              </w:rPr>
              <w:t>东</w:t>
            </w:r>
            <w:r>
              <w:rPr>
                <w:rFonts w:hint="default" w:ascii="Times New Roman" w:hAnsi="Times New Roman" w:eastAsia="宋体" w:cs="Times New Roman"/>
                <w:color w:val="auto"/>
                <w:sz w:val="24"/>
                <w:lang w:val="en-US" w:eastAsia="zh-CN"/>
              </w:rPr>
              <w:t>北往</w:t>
            </w:r>
            <w:r>
              <w:rPr>
                <w:rFonts w:hint="eastAsia" w:cs="Times New Roman"/>
                <w:color w:val="auto"/>
                <w:sz w:val="24"/>
                <w:lang w:val="en-US" w:eastAsia="zh-CN"/>
              </w:rPr>
              <w:t>西</w:t>
            </w:r>
            <w:r>
              <w:rPr>
                <w:rFonts w:hint="default" w:ascii="Times New Roman" w:hAnsi="Times New Roman" w:eastAsia="宋体" w:cs="Times New Roman"/>
                <w:color w:val="auto"/>
                <w:sz w:val="24"/>
                <w:lang w:val="en-US" w:eastAsia="zh-CN"/>
              </w:rPr>
              <w:t>南依次为</w:t>
            </w:r>
            <w:r>
              <w:rPr>
                <w:rFonts w:hint="eastAsia" w:cs="Times New Roman"/>
                <w:color w:val="auto"/>
                <w:sz w:val="24"/>
                <w:lang w:val="en-US" w:eastAsia="zh-CN"/>
              </w:rPr>
              <w:t>原料区、生产加工区、成品堆存区、生物质蒸汽发生器区、一般固废暂存区以及危废暂存间</w:t>
            </w:r>
            <w:r>
              <w:rPr>
                <w:rFonts w:hint="default" w:ascii="Times New Roman" w:hAnsi="Times New Roman" w:eastAsia="宋体" w:cs="Times New Roman"/>
                <w:color w:val="auto"/>
                <w:sz w:val="24"/>
                <w:lang w:val="en-US" w:eastAsia="zh-CN"/>
              </w:rPr>
              <w:t>，</w:t>
            </w:r>
            <w:r>
              <w:rPr>
                <w:rFonts w:hint="eastAsia" w:cs="Times New Roman"/>
                <w:color w:val="auto"/>
                <w:sz w:val="24"/>
                <w:szCs w:val="24"/>
                <w:lang w:val="en-US" w:eastAsia="zh-CN"/>
              </w:rPr>
              <w:t>办公生活区布设于闲置的场地，采用简易的活动板房，位于项目东南面，远离生产区，厨房紧邻办公生活区，为砖混结构，蓄水池位于办公生活区中部，</w:t>
            </w:r>
            <w:r>
              <w:rPr>
                <w:rFonts w:hint="eastAsia" w:cs="Times New Roman" w:eastAsiaTheme="minorEastAsia"/>
                <w:color w:val="auto"/>
                <w:sz w:val="24"/>
                <w:szCs w:val="24"/>
                <w:lang w:val="en-US" w:eastAsia="zh-CN"/>
              </w:rPr>
              <w:t>一体化污水处理设施和化粪池布设于生活区西南侧，</w:t>
            </w:r>
            <w:r>
              <w:rPr>
                <w:rFonts w:hint="default" w:ascii="Times New Roman" w:hAnsi="Times New Roman" w:eastAsia="宋体" w:cs="Times New Roman"/>
                <w:color w:val="auto"/>
                <w:sz w:val="24"/>
                <w:szCs w:val="24"/>
                <w:lang w:val="en-US" w:eastAsia="zh-CN"/>
              </w:rPr>
              <w:t>项目出入口布设于厂区</w:t>
            </w:r>
            <w:r>
              <w:rPr>
                <w:rFonts w:hint="eastAsia" w:cs="Times New Roman"/>
                <w:color w:val="auto"/>
                <w:sz w:val="24"/>
                <w:szCs w:val="24"/>
                <w:lang w:val="en-US" w:eastAsia="zh-CN"/>
              </w:rPr>
              <w:t>东</w:t>
            </w:r>
            <w:r>
              <w:rPr>
                <w:rFonts w:hint="default" w:ascii="Times New Roman" w:hAnsi="Times New Roman" w:eastAsia="宋体" w:cs="Times New Roman"/>
                <w:color w:val="auto"/>
                <w:sz w:val="24"/>
                <w:szCs w:val="24"/>
                <w:lang w:val="en-US" w:eastAsia="zh-CN"/>
              </w:rPr>
              <w:t>侧，临近</w:t>
            </w:r>
            <w:r>
              <w:rPr>
                <w:rFonts w:hint="eastAsia" w:cs="Times New Roman"/>
                <w:color w:val="auto"/>
                <w:sz w:val="24"/>
                <w:szCs w:val="24"/>
                <w:lang w:val="en-US" w:eastAsia="zh-CN"/>
              </w:rPr>
              <w:t>内部道路</w:t>
            </w:r>
            <w:r>
              <w:rPr>
                <w:rFonts w:hint="default" w:ascii="Times New Roman" w:hAnsi="Times New Roman" w:eastAsia="宋体" w:cs="Times New Roman"/>
                <w:color w:val="auto"/>
                <w:sz w:val="24"/>
                <w:szCs w:val="24"/>
                <w:lang w:val="en-US" w:eastAsia="zh-CN"/>
              </w:rPr>
              <w:t>，方便原料和成品的运输</w:t>
            </w:r>
            <w:r>
              <w:rPr>
                <w:rFonts w:hint="eastAsia" w:ascii="Times New Roman" w:hAnsi="Times New Roman" w:eastAsia="宋体" w:cs="Times New Roman"/>
                <w:color w:val="auto"/>
                <w:sz w:val="24"/>
                <w:szCs w:val="24"/>
                <w:lang w:val="en-US" w:eastAsia="zh-CN"/>
              </w:rPr>
              <w:t>，</w:t>
            </w:r>
            <w:r>
              <w:rPr>
                <w:rFonts w:hint="eastAsia" w:cs="Times New Roman" w:eastAsiaTheme="minorEastAsia"/>
                <w:color w:val="auto"/>
                <w:lang w:val="en-US" w:eastAsia="zh-CN"/>
              </w:rPr>
              <w:t>该封闭结构的厂房和现有闲置的空地满足本项目建设的相关要求</w:t>
            </w:r>
            <w:r>
              <w:rPr>
                <w:rFonts w:hint="default" w:cs="Times New Roman" w:eastAsiaTheme="minorEastAsia"/>
                <w:color w:val="auto"/>
                <w:lang w:val="en-US" w:eastAsia="zh-CN"/>
              </w:rPr>
              <w:t>。本项目属于新建项目，</w:t>
            </w:r>
            <w:r>
              <w:rPr>
                <w:rFonts w:hint="eastAsia" w:cs="Times New Roman" w:eastAsiaTheme="minorEastAsia"/>
                <w:color w:val="auto"/>
                <w:lang w:val="en-US" w:eastAsia="zh-CN"/>
              </w:rPr>
              <w:t>无</w:t>
            </w:r>
            <w:r>
              <w:rPr>
                <w:rFonts w:hint="default" w:cs="Times New Roman" w:eastAsiaTheme="minorEastAsia"/>
                <w:color w:val="auto"/>
                <w:lang w:val="en-US" w:eastAsia="zh-CN"/>
              </w:rPr>
              <w:t>原有环境问题</w:t>
            </w:r>
            <w:r>
              <w:rPr>
                <w:rFonts w:hint="eastAsia" w:cs="Times New Roman" w:eastAsiaTheme="minorEastAsia"/>
                <w:color w:val="auto"/>
                <w:lang w:val="en-US" w:eastAsia="zh-CN"/>
              </w:rPr>
              <w:t>遗留</w:t>
            </w:r>
            <w:r>
              <w:rPr>
                <w:rFonts w:hint="default" w:cs="Times New Roman" w:eastAsiaTheme="minorEastAsia"/>
                <w:color w:val="auto"/>
                <w:lang w:val="en-US" w:eastAsia="zh-CN"/>
              </w:rPr>
              <w:t>。</w:t>
            </w:r>
          </w:p>
          <w:p w14:paraId="33056BFD">
            <w:pPr>
              <w:pStyle w:val="20"/>
              <w:rPr>
                <w:rFonts w:hint="default" w:cs="Times New Roman" w:eastAsiaTheme="minorEastAsia"/>
                <w:color w:val="auto"/>
                <w:lang w:val="en-US" w:eastAsia="zh-CN"/>
              </w:rPr>
            </w:pPr>
          </w:p>
          <w:p w14:paraId="52599009">
            <w:pPr>
              <w:rPr>
                <w:rFonts w:hint="default" w:cs="Times New Roman" w:eastAsiaTheme="minorEastAsia"/>
                <w:color w:val="auto"/>
                <w:lang w:val="en-US" w:eastAsia="zh-CN"/>
              </w:rPr>
            </w:pPr>
          </w:p>
          <w:p w14:paraId="57BC969F">
            <w:pPr>
              <w:pStyle w:val="2"/>
              <w:rPr>
                <w:rFonts w:hint="default" w:cs="Times New Roman" w:eastAsiaTheme="minorEastAsia"/>
                <w:color w:val="auto"/>
                <w:lang w:val="en-US" w:eastAsia="zh-CN"/>
              </w:rPr>
            </w:pPr>
          </w:p>
          <w:p w14:paraId="56BB9C93">
            <w:pPr>
              <w:pStyle w:val="2"/>
              <w:rPr>
                <w:rFonts w:hint="default" w:cs="Times New Roman" w:eastAsiaTheme="minorEastAsia"/>
                <w:color w:val="auto"/>
                <w:lang w:val="en-US" w:eastAsia="zh-CN"/>
              </w:rPr>
            </w:pPr>
          </w:p>
          <w:p w14:paraId="20AA7A1D">
            <w:pPr>
              <w:pStyle w:val="2"/>
              <w:rPr>
                <w:rFonts w:hint="default" w:cs="Times New Roman" w:eastAsiaTheme="minorEastAsia"/>
                <w:color w:val="auto"/>
                <w:lang w:val="en-US" w:eastAsia="zh-CN"/>
              </w:rPr>
            </w:pPr>
          </w:p>
          <w:p w14:paraId="249A729A">
            <w:pPr>
              <w:pStyle w:val="2"/>
              <w:ind w:left="0" w:leftChars="0" w:firstLine="0" w:firstLineChars="0"/>
              <w:jc w:val="both"/>
              <w:rPr>
                <w:rFonts w:hint="default" w:cs="Times New Roman" w:eastAsiaTheme="minorEastAsia"/>
                <w:color w:val="auto"/>
                <w:lang w:val="en-US" w:eastAsia="zh-CN"/>
              </w:rPr>
            </w:pPr>
          </w:p>
          <w:p w14:paraId="799B409C">
            <w:pPr>
              <w:pStyle w:val="2"/>
              <w:rPr>
                <w:rFonts w:hint="default" w:cs="Times New Roman" w:eastAsiaTheme="minorEastAsia"/>
                <w:color w:val="auto"/>
                <w:lang w:val="en-US" w:eastAsia="zh-CN"/>
              </w:rPr>
            </w:pPr>
          </w:p>
          <w:p w14:paraId="0D688987">
            <w:pPr>
              <w:pStyle w:val="2"/>
              <w:ind w:left="0" w:leftChars="0" w:firstLine="0" w:firstLineChars="0"/>
              <w:jc w:val="both"/>
              <w:rPr>
                <w:rFonts w:hint="default" w:cs="Times New Roman" w:eastAsiaTheme="minorEastAsia"/>
                <w:color w:val="auto"/>
                <w:lang w:val="en-US" w:eastAsia="zh-CN"/>
              </w:rPr>
            </w:pPr>
          </w:p>
          <w:p w14:paraId="3C26DD7F">
            <w:pPr>
              <w:pStyle w:val="2"/>
              <w:ind w:left="0" w:leftChars="0" w:firstLine="0" w:firstLineChars="0"/>
              <w:jc w:val="both"/>
              <w:rPr>
                <w:rFonts w:hint="default" w:cs="Times New Roman" w:eastAsiaTheme="minorEastAsia"/>
                <w:color w:val="auto"/>
                <w:lang w:val="en-US" w:eastAsia="zh-CN"/>
              </w:rPr>
            </w:pPr>
          </w:p>
          <w:p w14:paraId="39F22E7A">
            <w:pPr>
              <w:pStyle w:val="2"/>
              <w:ind w:left="0" w:leftChars="0" w:firstLine="0" w:firstLineChars="0"/>
              <w:jc w:val="both"/>
              <w:rPr>
                <w:rFonts w:hint="default" w:cs="Times New Roman" w:eastAsiaTheme="minorEastAsia"/>
                <w:color w:val="auto"/>
                <w:lang w:val="en-US" w:eastAsia="zh-CN"/>
              </w:rPr>
            </w:pPr>
          </w:p>
        </w:tc>
      </w:tr>
    </w:tbl>
    <w:p w14:paraId="229D516C">
      <w:pPr>
        <w:ind w:left="0" w:leftChars="0" w:firstLine="0" w:firstLineChars="0"/>
        <w:rPr>
          <w:rFonts w:hint="default" w:ascii="Times New Roman" w:hAnsi="Times New Roman" w:cs="Times New Roman"/>
          <w:color w:val="auto"/>
        </w:rPr>
        <w:sectPr>
          <w:footerReference r:id="rId8" w:type="default"/>
          <w:pgSz w:w="11906" w:h="16838"/>
          <w:pgMar w:top="1440" w:right="1800" w:bottom="1440" w:left="1800" w:header="851" w:footer="992" w:gutter="0"/>
          <w:pgNumType w:fmt="decimal" w:start="1"/>
          <w:cols w:space="720" w:num="1"/>
          <w:docGrid w:type="lines" w:linePitch="312" w:charSpace="0"/>
        </w:sectPr>
      </w:pPr>
    </w:p>
    <w:p w14:paraId="6B7A9880">
      <w:pPr>
        <w:pStyle w:val="4"/>
        <w:numPr>
          <w:ilvl w:val="0"/>
          <w:numId w:val="0"/>
        </w:numPr>
        <w:ind w:firstLine="0" w:firstLineChars="0"/>
        <w:jc w:val="center"/>
        <w:rPr>
          <w:rFonts w:hint="default" w:ascii="Times New Roman" w:hAnsi="Times New Roman" w:cs="Times New Roman"/>
          <w:color w:val="auto"/>
        </w:rPr>
      </w:pPr>
      <w:bookmarkStart w:id="20" w:name="_Toc4973"/>
      <w:r>
        <w:rPr>
          <w:rFonts w:hint="default" w:ascii="Times New Roman" w:hAnsi="Times New Roman" w:eastAsia="宋体" w:cs="Times New Roman"/>
          <w:b/>
          <w:color w:val="auto"/>
          <w:kern w:val="44"/>
          <w:sz w:val="28"/>
          <w:szCs w:val="24"/>
          <w:lang w:val="en-US" w:eastAsia="zh-CN" w:bidi="ar-SA"/>
        </w:rPr>
        <w:t>三、</w:t>
      </w:r>
      <w:r>
        <w:rPr>
          <w:rFonts w:hint="default" w:ascii="Times New Roman" w:hAnsi="Times New Roman" w:cs="Times New Roman"/>
          <w:color w:val="auto"/>
        </w:rPr>
        <w:t>区域环境质量现状、环境保护目标及评价标准</w:t>
      </w:r>
      <w:bookmarkEnd w:id="20"/>
    </w:p>
    <w:tbl>
      <w:tblPr>
        <w:tblStyle w:val="3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071"/>
      </w:tblGrid>
      <w:tr w14:paraId="1D0C1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Align w:val="center"/>
          </w:tcPr>
          <w:p w14:paraId="727AB5B3">
            <w:pPr>
              <w:ind w:firstLine="0" w:firstLineChars="0"/>
              <w:rPr>
                <w:rFonts w:hint="default" w:ascii="Times New Roman" w:hAnsi="Times New Roman" w:cs="Times New Roman"/>
                <w:color w:val="auto"/>
              </w:rPr>
            </w:pPr>
            <w:r>
              <w:rPr>
                <w:rFonts w:hint="default" w:ascii="Times New Roman" w:hAnsi="Times New Roman" w:cs="Times New Roman"/>
                <w:color w:val="auto"/>
              </w:rPr>
              <w:t>区域</w:t>
            </w:r>
          </w:p>
          <w:p w14:paraId="208611D4">
            <w:pPr>
              <w:ind w:firstLine="0" w:firstLineChars="0"/>
              <w:rPr>
                <w:rFonts w:hint="default" w:ascii="Times New Roman" w:hAnsi="Times New Roman" w:cs="Times New Roman"/>
                <w:color w:val="auto"/>
              </w:rPr>
            </w:pPr>
            <w:r>
              <w:rPr>
                <w:rFonts w:hint="default" w:ascii="Times New Roman" w:hAnsi="Times New Roman" w:cs="Times New Roman"/>
                <w:color w:val="auto"/>
              </w:rPr>
              <w:t>环境</w:t>
            </w:r>
          </w:p>
          <w:p w14:paraId="61FCAB41">
            <w:pPr>
              <w:ind w:firstLine="0" w:firstLineChars="0"/>
              <w:rPr>
                <w:rFonts w:hint="default" w:ascii="Times New Roman" w:hAnsi="Times New Roman" w:cs="Times New Roman"/>
                <w:color w:val="auto"/>
              </w:rPr>
            </w:pPr>
            <w:r>
              <w:rPr>
                <w:rFonts w:hint="default" w:ascii="Times New Roman" w:hAnsi="Times New Roman" w:cs="Times New Roman"/>
                <w:color w:val="auto"/>
              </w:rPr>
              <w:t>质量</w:t>
            </w:r>
          </w:p>
          <w:p w14:paraId="10DC7B93">
            <w:pPr>
              <w:ind w:firstLine="0" w:firstLineChars="0"/>
              <w:rPr>
                <w:rFonts w:hint="default" w:ascii="Times New Roman" w:hAnsi="Times New Roman" w:cs="Times New Roman"/>
                <w:color w:val="auto"/>
              </w:rPr>
            </w:pPr>
            <w:r>
              <w:rPr>
                <w:rFonts w:hint="default" w:ascii="Times New Roman" w:hAnsi="Times New Roman" w:cs="Times New Roman"/>
                <w:color w:val="auto"/>
              </w:rPr>
              <w:t>现状</w:t>
            </w:r>
          </w:p>
        </w:tc>
        <w:tc>
          <w:tcPr>
            <w:tcW w:w="4734" w:type="pct"/>
          </w:tcPr>
          <w:p w14:paraId="5846830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1</w:t>
            </w:r>
            <w:r>
              <w:rPr>
                <w:rFonts w:hint="eastAsia" w:cs="Times New Roman"/>
                <w:b/>
                <w:bCs/>
                <w:color w:val="auto"/>
                <w:lang w:eastAsia="zh-CN"/>
              </w:rPr>
              <w:t>、</w:t>
            </w:r>
            <w:r>
              <w:rPr>
                <w:rFonts w:hint="default" w:ascii="Times New Roman" w:hAnsi="Times New Roman" w:cs="Times New Roman"/>
                <w:b/>
                <w:bCs/>
                <w:color w:val="auto"/>
              </w:rPr>
              <w:t>环境空气质量现状</w:t>
            </w:r>
          </w:p>
          <w:p w14:paraId="77D33A67">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（1）环境空气执行标准</w:t>
            </w:r>
          </w:p>
          <w:p w14:paraId="63B4109D">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项目区属环境空气功能区二类区，环境空气质量六项基本因子执行《环境空气质量标准》（GB3095-2012）二级标准及2018修改单，非甲烷总烃</w:t>
            </w:r>
            <w:r>
              <w:rPr>
                <w:rFonts w:hint="default" w:ascii="Times New Roman" w:hAnsi="Times New Roman" w:eastAsia="宋体" w:cs="Times New Roman"/>
                <w:color w:val="auto"/>
                <w:sz w:val="24"/>
                <w:szCs w:val="24"/>
                <w:lang w:val="en-US" w:eastAsia="zh-CN"/>
              </w:rPr>
              <w:t>参照</w:t>
            </w:r>
            <w:r>
              <w:rPr>
                <w:color w:val="auto"/>
                <w:sz w:val="24"/>
                <w:lang w:bidi="ar"/>
              </w:rPr>
              <w:t>《大气污染物综合排</w:t>
            </w:r>
            <w:r>
              <w:rPr>
                <w:color w:val="auto"/>
                <w:sz w:val="24"/>
                <w:szCs w:val="20"/>
                <w:lang w:bidi="ar"/>
              </w:rPr>
              <w:t>放标准详解》</w:t>
            </w:r>
            <w:r>
              <w:rPr>
                <w:rFonts w:hint="default" w:ascii="Times New Roman" w:hAnsi="Times New Roman" w:eastAsia="宋体" w:cs="Times New Roman"/>
                <w:color w:val="auto"/>
                <w:sz w:val="24"/>
                <w:szCs w:val="24"/>
              </w:rPr>
              <w:t>执行，标准值见表3-1。</w:t>
            </w:r>
          </w:p>
          <w:p w14:paraId="7EF03D44">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表3-1  环境空气质量标准</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996"/>
              <w:gridCol w:w="1695"/>
              <w:gridCol w:w="2858"/>
            </w:tblGrid>
            <w:tr w14:paraId="08534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24" w:type="pct"/>
                  <w:vAlign w:val="center"/>
                </w:tcPr>
                <w:p w14:paraId="192D7A1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污染物名称</w:t>
                  </w:r>
                </w:p>
              </w:tc>
              <w:tc>
                <w:tcPr>
                  <w:tcW w:w="1272" w:type="pct"/>
                  <w:vAlign w:val="center"/>
                </w:tcPr>
                <w:p w14:paraId="0986040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取值时间</w:t>
                  </w:r>
                </w:p>
              </w:tc>
              <w:tc>
                <w:tcPr>
                  <w:tcW w:w="1080" w:type="pct"/>
                  <w:vAlign w:val="center"/>
                </w:tcPr>
                <w:p w14:paraId="1FBF503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lang w:eastAsia="zh-CN"/>
                    </w:rPr>
                  </w:pPr>
                  <w:r>
                    <w:rPr>
                      <w:rFonts w:hint="default" w:ascii="Times New Roman" w:hAnsi="Times New Roman" w:cs="Times New Roman" w:eastAsiaTheme="minorEastAsia"/>
                      <w:b/>
                      <w:bCs w:val="0"/>
                      <w:color w:val="auto"/>
                      <w:sz w:val="21"/>
                      <w:szCs w:val="21"/>
                    </w:rPr>
                    <w:t>标准浓度限值</w:t>
                  </w:r>
                </w:p>
              </w:tc>
              <w:tc>
                <w:tcPr>
                  <w:tcW w:w="1822" w:type="pct"/>
                  <w:vAlign w:val="center"/>
                </w:tcPr>
                <w:p w14:paraId="45BDACE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执行标准</w:t>
                  </w:r>
                </w:p>
              </w:tc>
            </w:tr>
            <w:tr w14:paraId="3D57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24" w:type="pct"/>
                  <w:vMerge w:val="restart"/>
                  <w:vAlign w:val="center"/>
                </w:tcPr>
                <w:p w14:paraId="55BA774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SO</w:t>
                  </w:r>
                  <w:r>
                    <w:rPr>
                      <w:rFonts w:hint="default" w:ascii="Times New Roman" w:hAnsi="Times New Roman" w:cs="Times New Roman" w:eastAsiaTheme="minorEastAsia"/>
                      <w:bCs/>
                      <w:color w:val="auto"/>
                      <w:sz w:val="21"/>
                      <w:szCs w:val="21"/>
                      <w:vertAlign w:val="subscript"/>
                    </w:rPr>
                    <w:t>2</w:t>
                  </w:r>
                </w:p>
              </w:tc>
              <w:tc>
                <w:tcPr>
                  <w:tcW w:w="1272" w:type="pct"/>
                  <w:vAlign w:val="center"/>
                </w:tcPr>
                <w:p w14:paraId="59587BB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年平均</w:t>
                  </w:r>
                </w:p>
              </w:tc>
              <w:tc>
                <w:tcPr>
                  <w:tcW w:w="1080" w:type="pct"/>
                  <w:vAlign w:val="center"/>
                </w:tcPr>
                <w:p w14:paraId="62513DD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60ug/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restart"/>
                  <w:vAlign w:val="center"/>
                </w:tcPr>
                <w:p w14:paraId="2C61541B">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《环境空气质量标准》（GB3095-2012）二级标准及2018修改单</w:t>
                  </w:r>
                </w:p>
              </w:tc>
            </w:tr>
            <w:tr w14:paraId="2BF5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24" w:type="pct"/>
                  <w:vMerge w:val="continue"/>
                  <w:vAlign w:val="center"/>
                </w:tcPr>
                <w:p w14:paraId="25C54D0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vAlign w:val="center"/>
                </w:tcPr>
                <w:p w14:paraId="1407F54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80" w:type="pct"/>
                  <w:vAlign w:val="center"/>
                </w:tcPr>
                <w:p w14:paraId="65E74BA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150ug/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77D19A2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0CBA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24" w:type="pct"/>
                  <w:vMerge w:val="continue"/>
                  <w:vAlign w:val="center"/>
                </w:tcPr>
                <w:p w14:paraId="0CB04F3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vAlign w:val="center"/>
                </w:tcPr>
                <w:p w14:paraId="5433130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1小时平均</w:t>
                  </w:r>
                </w:p>
              </w:tc>
              <w:tc>
                <w:tcPr>
                  <w:tcW w:w="1080" w:type="pct"/>
                  <w:vAlign w:val="center"/>
                </w:tcPr>
                <w:p w14:paraId="256B408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500ug/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1472E9D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27BB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24" w:type="pct"/>
                  <w:vMerge w:val="restart"/>
                  <w:vAlign w:val="center"/>
                </w:tcPr>
                <w:p w14:paraId="6B50DAC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NO</w:t>
                  </w:r>
                  <w:r>
                    <w:rPr>
                      <w:rFonts w:hint="default" w:ascii="Times New Roman" w:hAnsi="Times New Roman" w:cs="Times New Roman" w:eastAsiaTheme="minorEastAsia"/>
                      <w:bCs/>
                      <w:color w:val="auto"/>
                      <w:sz w:val="21"/>
                      <w:szCs w:val="21"/>
                      <w:vertAlign w:val="subscript"/>
                    </w:rPr>
                    <w:t>2</w:t>
                  </w:r>
                </w:p>
              </w:tc>
              <w:tc>
                <w:tcPr>
                  <w:tcW w:w="1272" w:type="pct"/>
                  <w:vAlign w:val="center"/>
                </w:tcPr>
                <w:p w14:paraId="7FD8AEF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年平均</w:t>
                  </w:r>
                </w:p>
              </w:tc>
              <w:tc>
                <w:tcPr>
                  <w:tcW w:w="1080" w:type="pct"/>
                  <w:vAlign w:val="center"/>
                </w:tcPr>
                <w:p w14:paraId="5884F4A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40ug/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7D84520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52454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24" w:type="pct"/>
                  <w:vMerge w:val="continue"/>
                  <w:vAlign w:val="center"/>
                </w:tcPr>
                <w:p w14:paraId="0C5CBB2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vAlign w:val="center"/>
                </w:tcPr>
                <w:p w14:paraId="74E6EAE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80" w:type="pct"/>
                  <w:vAlign w:val="center"/>
                </w:tcPr>
                <w:p w14:paraId="7B35B53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80ug/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6B101D6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6820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24" w:type="pct"/>
                  <w:vMerge w:val="continue"/>
                  <w:vAlign w:val="center"/>
                </w:tcPr>
                <w:p w14:paraId="0A91611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vAlign w:val="center"/>
                </w:tcPr>
                <w:p w14:paraId="502C2E1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1小时平均</w:t>
                  </w:r>
                </w:p>
              </w:tc>
              <w:tc>
                <w:tcPr>
                  <w:tcW w:w="1080" w:type="pct"/>
                  <w:vAlign w:val="center"/>
                </w:tcPr>
                <w:p w14:paraId="64EE0B5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200ug/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6D4431D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57F3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24" w:type="pct"/>
                  <w:vMerge w:val="restart"/>
                  <w:vAlign w:val="center"/>
                </w:tcPr>
                <w:p w14:paraId="49D8090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NO</w:t>
                  </w:r>
                  <w:r>
                    <w:rPr>
                      <w:rFonts w:hint="eastAsia" w:cs="Times New Roman" w:eastAsiaTheme="minorEastAsia"/>
                      <w:bCs/>
                      <w:color w:val="auto"/>
                      <w:sz w:val="21"/>
                      <w:szCs w:val="21"/>
                      <w:vertAlign w:val="subscript"/>
                      <w:lang w:val="en-US" w:eastAsia="zh-CN"/>
                    </w:rPr>
                    <w:t>X</w:t>
                  </w:r>
                </w:p>
              </w:tc>
              <w:tc>
                <w:tcPr>
                  <w:tcW w:w="1272" w:type="pct"/>
                  <w:shd w:val="clear" w:color="auto" w:fill="auto"/>
                  <w:vAlign w:val="center"/>
                </w:tcPr>
                <w:p w14:paraId="3BE4BEEF">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rPr>
                    <w:t>年平均</w:t>
                  </w:r>
                </w:p>
              </w:tc>
              <w:tc>
                <w:tcPr>
                  <w:tcW w:w="1080" w:type="pct"/>
                  <w:vAlign w:val="center"/>
                </w:tcPr>
                <w:p w14:paraId="2061B31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50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19FF1AD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37F4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24" w:type="pct"/>
                  <w:vMerge w:val="continue"/>
                  <w:vAlign w:val="center"/>
                </w:tcPr>
                <w:p w14:paraId="728B9EB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shd w:val="clear" w:color="auto" w:fill="auto"/>
                  <w:vAlign w:val="center"/>
                </w:tcPr>
                <w:p w14:paraId="0FF650AF">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rPr>
                    <w:t>24小时平均</w:t>
                  </w:r>
                </w:p>
              </w:tc>
              <w:tc>
                <w:tcPr>
                  <w:tcW w:w="1080" w:type="pct"/>
                  <w:vAlign w:val="center"/>
                </w:tcPr>
                <w:p w14:paraId="24C375C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100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4C2FC37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59594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24" w:type="pct"/>
                  <w:vMerge w:val="continue"/>
                  <w:vAlign w:val="center"/>
                </w:tcPr>
                <w:p w14:paraId="42AE46E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shd w:val="clear" w:color="auto" w:fill="auto"/>
                  <w:vAlign w:val="center"/>
                </w:tcPr>
                <w:p w14:paraId="0409B144">
                  <w:pPr>
                    <w:pStyle w:val="5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bCs/>
                      <w:color w:val="auto"/>
                      <w:kern w:val="2"/>
                      <w:sz w:val="21"/>
                      <w:szCs w:val="21"/>
                      <w:lang w:val="en-US" w:eastAsia="zh-CN" w:bidi="ar-SA"/>
                    </w:rPr>
                  </w:pPr>
                  <w:r>
                    <w:rPr>
                      <w:rFonts w:hint="default" w:ascii="Times New Roman" w:hAnsi="Times New Roman" w:cs="Times New Roman" w:eastAsiaTheme="minorEastAsia"/>
                      <w:bCs/>
                      <w:color w:val="auto"/>
                      <w:sz w:val="21"/>
                      <w:szCs w:val="21"/>
                    </w:rPr>
                    <w:t>1小时平均</w:t>
                  </w:r>
                </w:p>
              </w:tc>
              <w:tc>
                <w:tcPr>
                  <w:tcW w:w="1080" w:type="pct"/>
                  <w:vAlign w:val="center"/>
                </w:tcPr>
                <w:p w14:paraId="6018D22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250</w:t>
                  </w:r>
                  <w:r>
                    <w:rPr>
                      <w:rFonts w:hint="default" w:ascii="Times New Roman" w:hAnsi="Times New Roman" w:cs="Times New Roman" w:eastAsiaTheme="minorEastAsia"/>
                      <w:bCs/>
                      <w:color w:val="auto"/>
                      <w:sz w:val="21"/>
                      <w:szCs w:val="21"/>
                    </w:rPr>
                    <w:t>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132F6A6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451B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24" w:type="pct"/>
                  <w:vMerge w:val="restart"/>
                  <w:vAlign w:val="center"/>
                </w:tcPr>
                <w:p w14:paraId="0122286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CO</w:t>
                  </w:r>
                </w:p>
              </w:tc>
              <w:tc>
                <w:tcPr>
                  <w:tcW w:w="1272" w:type="pct"/>
                  <w:vAlign w:val="center"/>
                </w:tcPr>
                <w:p w14:paraId="7B3A21E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80" w:type="pct"/>
                  <w:vAlign w:val="center"/>
                </w:tcPr>
                <w:p w14:paraId="4755015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4</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3C95D4A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662E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824" w:type="pct"/>
                  <w:vMerge w:val="continue"/>
                  <w:vAlign w:val="center"/>
                </w:tcPr>
                <w:p w14:paraId="6027D76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vAlign w:val="center"/>
                </w:tcPr>
                <w:p w14:paraId="4A52B10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1小时平均</w:t>
                  </w:r>
                </w:p>
              </w:tc>
              <w:tc>
                <w:tcPr>
                  <w:tcW w:w="1080" w:type="pct"/>
                  <w:vAlign w:val="center"/>
                </w:tcPr>
                <w:p w14:paraId="628BC10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rPr>
                    <w:t>10</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589D173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0708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824" w:type="pct"/>
                  <w:vMerge w:val="restart"/>
                  <w:vAlign w:val="center"/>
                </w:tcPr>
                <w:p w14:paraId="3EB8A68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O</w:t>
                  </w:r>
                  <w:r>
                    <w:rPr>
                      <w:rFonts w:hint="default" w:ascii="Times New Roman" w:hAnsi="Times New Roman" w:cs="Times New Roman" w:eastAsiaTheme="minorEastAsia"/>
                      <w:bCs/>
                      <w:color w:val="auto"/>
                      <w:sz w:val="21"/>
                      <w:szCs w:val="21"/>
                      <w:vertAlign w:val="subscript"/>
                    </w:rPr>
                    <w:t>3</w:t>
                  </w:r>
                </w:p>
              </w:tc>
              <w:tc>
                <w:tcPr>
                  <w:tcW w:w="1272" w:type="pct"/>
                  <w:vAlign w:val="center"/>
                </w:tcPr>
                <w:p w14:paraId="1872A6D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日最大8小时平均</w:t>
                  </w:r>
                </w:p>
              </w:tc>
              <w:tc>
                <w:tcPr>
                  <w:tcW w:w="1080" w:type="pct"/>
                  <w:vAlign w:val="center"/>
                </w:tcPr>
                <w:p w14:paraId="557016D6">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160ug/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58D309A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6010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24" w:type="pct"/>
                  <w:vMerge w:val="continue"/>
                  <w:vAlign w:val="center"/>
                </w:tcPr>
                <w:p w14:paraId="0C5C4A6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vAlign w:val="center"/>
                </w:tcPr>
                <w:p w14:paraId="1B1B456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1小时平均</w:t>
                  </w:r>
                </w:p>
              </w:tc>
              <w:tc>
                <w:tcPr>
                  <w:tcW w:w="1080" w:type="pct"/>
                  <w:vAlign w:val="center"/>
                </w:tcPr>
                <w:p w14:paraId="70C2731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200ug/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6238E74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6CEB9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24" w:type="pct"/>
                  <w:vMerge w:val="restart"/>
                  <w:vAlign w:val="center"/>
                </w:tcPr>
                <w:p w14:paraId="715CAFD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PM</w:t>
                  </w:r>
                  <w:r>
                    <w:rPr>
                      <w:rFonts w:hint="default" w:ascii="Times New Roman" w:hAnsi="Times New Roman" w:cs="Times New Roman" w:eastAsiaTheme="minorEastAsia"/>
                      <w:bCs/>
                      <w:color w:val="auto"/>
                      <w:sz w:val="21"/>
                      <w:szCs w:val="21"/>
                      <w:vertAlign w:val="subscript"/>
                    </w:rPr>
                    <w:t>10</w:t>
                  </w:r>
                </w:p>
              </w:tc>
              <w:tc>
                <w:tcPr>
                  <w:tcW w:w="1272" w:type="pct"/>
                  <w:vAlign w:val="center"/>
                </w:tcPr>
                <w:p w14:paraId="0AB4923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年平均</w:t>
                  </w:r>
                </w:p>
              </w:tc>
              <w:tc>
                <w:tcPr>
                  <w:tcW w:w="1080" w:type="pct"/>
                  <w:vAlign w:val="center"/>
                </w:tcPr>
                <w:p w14:paraId="1E1C68EC">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70ug/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7AA4CC6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346F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24" w:type="pct"/>
                  <w:vMerge w:val="continue"/>
                  <w:vAlign w:val="center"/>
                </w:tcPr>
                <w:p w14:paraId="72722C7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vAlign w:val="center"/>
                </w:tcPr>
                <w:p w14:paraId="498B77E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80" w:type="pct"/>
                  <w:vAlign w:val="center"/>
                </w:tcPr>
                <w:p w14:paraId="2F8B3237">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150ug/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0F2914E3">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4AC9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24" w:type="pct"/>
                  <w:vMerge w:val="restart"/>
                  <w:vAlign w:val="center"/>
                </w:tcPr>
                <w:p w14:paraId="1A604F4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P</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bscript"/>
                    </w:rPr>
                    <w:t>2</w:t>
                  </w:r>
                  <w:r>
                    <w:rPr>
                      <w:rFonts w:hint="default" w:ascii="Times New Roman" w:hAnsi="Times New Roman" w:cs="Times New Roman" w:eastAsiaTheme="minorEastAsia"/>
                      <w:bCs/>
                      <w:color w:val="auto"/>
                      <w:sz w:val="21"/>
                      <w:szCs w:val="21"/>
                      <w:vertAlign w:val="subscript"/>
                    </w:rPr>
                    <w:t>.5</w:t>
                  </w:r>
                </w:p>
              </w:tc>
              <w:tc>
                <w:tcPr>
                  <w:tcW w:w="1272" w:type="pct"/>
                  <w:vAlign w:val="center"/>
                </w:tcPr>
                <w:p w14:paraId="37767D5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年平均</w:t>
                  </w:r>
                </w:p>
              </w:tc>
              <w:tc>
                <w:tcPr>
                  <w:tcW w:w="1080" w:type="pct"/>
                  <w:vAlign w:val="center"/>
                </w:tcPr>
                <w:p w14:paraId="2258E38B">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35ug/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5AB5291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6D137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24" w:type="pct"/>
                  <w:vMerge w:val="continue"/>
                  <w:vAlign w:val="center"/>
                </w:tcPr>
                <w:p w14:paraId="3831BFF5">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c>
                <w:tcPr>
                  <w:tcW w:w="1272" w:type="pct"/>
                  <w:vAlign w:val="center"/>
                </w:tcPr>
                <w:p w14:paraId="407F59D1">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24小时平均</w:t>
                  </w:r>
                </w:p>
              </w:tc>
              <w:tc>
                <w:tcPr>
                  <w:tcW w:w="1080" w:type="pct"/>
                  <w:vAlign w:val="center"/>
                </w:tcPr>
                <w:p w14:paraId="5FD7C88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75ug/</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p>
              </w:tc>
              <w:tc>
                <w:tcPr>
                  <w:tcW w:w="1822" w:type="pct"/>
                  <w:vMerge w:val="continue"/>
                  <w:vAlign w:val="center"/>
                </w:tcPr>
                <w:p w14:paraId="21F0944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rPr>
                  </w:pPr>
                </w:p>
              </w:tc>
            </w:tr>
            <w:tr w14:paraId="3DD42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4" w:type="pct"/>
                  <w:vAlign w:val="center"/>
                </w:tcPr>
                <w:p w14:paraId="2A7C78F2">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highlight w:val="yellow"/>
                    </w:rPr>
                  </w:pPr>
                  <w:r>
                    <w:rPr>
                      <w:rFonts w:hint="default" w:ascii="Times New Roman" w:hAnsi="Times New Roman" w:cs="Times New Roman" w:eastAsiaTheme="minorEastAsia"/>
                      <w:color w:val="auto"/>
                      <w:sz w:val="21"/>
                      <w:szCs w:val="21"/>
                    </w:rPr>
                    <w:t>非甲烷总烃</w:t>
                  </w:r>
                </w:p>
              </w:tc>
              <w:tc>
                <w:tcPr>
                  <w:tcW w:w="1272" w:type="pct"/>
                  <w:vAlign w:val="center"/>
                </w:tcPr>
                <w:p w14:paraId="73F23D5D">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highlight w:val="none"/>
                    </w:rPr>
                  </w:pPr>
                  <w:r>
                    <w:rPr>
                      <w:rFonts w:hint="default" w:ascii="Times New Roman" w:hAnsi="Times New Roman" w:cs="Times New Roman" w:eastAsiaTheme="minorEastAsia"/>
                      <w:bCs/>
                      <w:color w:val="auto"/>
                      <w:sz w:val="21"/>
                      <w:szCs w:val="21"/>
                      <w:highlight w:val="none"/>
                      <w:lang w:val="en-US" w:eastAsia="zh-CN"/>
                    </w:rPr>
                    <w:t>1</w:t>
                  </w:r>
                  <w:r>
                    <w:rPr>
                      <w:rFonts w:hint="default" w:ascii="Times New Roman" w:hAnsi="Times New Roman" w:cs="Times New Roman" w:eastAsiaTheme="minorEastAsia"/>
                      <w:bCs/>
                      <w:color w:val="auto"/>
                      <w:sz w:val="21"/>
                      <w:szCs w:val="21"/>
                      <w:highlight w:val="none"/>
                    </w:rPr>
                    <w:t>小时平均</w:t>
                  </w:r>
                </w:p>
              </w:tc>
              <w:tc>
                <w:tcPr>
                  <w:tcW w:w="1080" w:type="pct"/>
                  <w:vAlign w:val="center"/>
                </w:tcPr>
                <w:p w14:paraId="65E39DB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highlight w:val="none"/>
                      <w:lang w:val="en-US" w:eastAsia="zh-CN"/>
                    </w:rPr>
                  </w:pPr>
                  <w:r>
                    <w:rPr>
                      <w:rFonts w:hint="default" w:ascii="Times New Roman" w:hAnsi="Times New Roman" w:cs="Times New Roman" w:eastAsiaTheme="minorEastAsia"/>
                      <w:bCs/>
                      <w:color w:val="auto"/>
                      <w:sz w:val="21"/>
                      <w:szCs w:val="21"/>
                      <w:highlight w:val="none"/>
                      <w:lang w:val="en-US" w:eastAsia="zh-CN"/>
                    </w:rPr>
                    <w:t>2</w:t>
                  </w:r>
                  <w:r>
                    <w:rPr>
                      <w:rFonts w:hint="default" w:ascii="Times New Roman" w:hAnsi="Times New Roman" w:cs="Times New Roman" w:eastAsiaTheme="minorEastAsia"/>
                      <w:color w:val="auto"/>
                      <w:sz w:val="21"/>
                      <w:szCs w:val="21"/>
                      <w:highlight w:val="none"/>
                    </w:rPr>
                    <w:t>mg/m</w:t>
                  </w:r>
                  <w:r>
                    <w:rPr>
                      <w:rFonts w:hint="default" w:ascii="Times New Roman" w:hAnsi="Times New Roman" w:cs="Times New Roman" w:eastAsiaTheme="minorEastAsia"/>
                      <w:color w:val="auto"/>
                      <w:sz w:val="21"/>
                      <w:szCs w:val="21"/>
                      <w:highlight w:val="none"/>
                      <w:vertAlign w:val="superscript"/>
                    </w:rPr>
                    <w:t>3</w:t>
                  </w:r>
                </w:p>
              </w:tc>
              <w:tc>
                <w:tcPr>
                  <w:tcW w:w="1822" w:type="pct"/>
                  <w:vAlign w:val="center"/>
                </w:tcPr>
                <w:p w14:paraId="1CE54C2A">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bCs/>
                      <w:color w:val="auto"/>
                      <w:sz w:val="21"/>
                      <w:szCs w:val="21"/>
                      <w:highlight w:val="yellow"/>
                    </w:rPr>
                  </w:pPr>
                  <w:r>
                    <w:rPr>
                      <w:rFonts w:hint="default" w:ascii="Times New Roman" w:hAnsi="Times New Roman" w:cs="Times New Roman" w:eastAsiaTheme="minorEastAsia"/>
                      <w:bCs/>
                      <w:color w:val="auto"/>
                      <w:sz w:val="21"/>
                      <w:szCs w:val="21"/>
                    </w:rPr>
                    <w:t>《大气污染物综合排放标准详解》</w:t>
                  </w:r>
                </w:p>
              </w:tc>
            </w:tr>
          </w:tbl>
          <w:p w14:paraId="1100A6BB">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（2）环境空气质量现状</w:t>
            </w:r>
          </w:p>
          <w:p w14:paraId="7B4D0A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项目位于云南省玉溪市红塔区北城街道刺桐关社区一组岔箐脑，属于环境空气二类功能区，区域环境空气质量执行《环境空气质量标准》（GB3095-2012）中的二级标准。</w:t>
            </w:r>
          </w:p>
          <w:p w14:paraId="55437D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根据《202</w:t>
            </w:r>
            <w:r>
              <w:rPr>
                <w:rFonts w:hint="eastAsia"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lang w:val="en-US" w:eastAsia="zh-CN"/>
              </w:rPr>
              <w:t>年度玉溪市生态环境状况公报》：2024年，中心城区环境空气质量一级240天，二级124天，超标2天。与去年同期相比，一级天数增加29天，二级天数减少18天，超标天数减少了10天。其中，细颗粒物（PM</w:t>
            </w:r>
            <w:r>
              <w:rPr>
                <w:rFonts w:hint="default" w:ascii="Times New Roman" w:hAnsi="Times New Roman" w:cs="Times New Roman"/>
                <w:color w:val="auto"/>
                <w:sz w:val="24"/>
                <w:szCs w:val="24"/>
                <w:vertAlign w:val="subscript"/>
                <w:lang w:val="en-US" w:eastAsia="zh-CN"/>
              </w:rPr>
              <w:t>2.5</w:t>
            </w:r>
            <w:r>
              <w:rPr>
                <w:rFonts w:hint="default" w:ascii="Times New Roman" w:hAnsi="Times New Roman" w:cs="Times New Roman"/>
                <w:color w:val="auto"/>
                <w:sz w:val="24"/>
                <w:szCs w:val="24"/>
                <w:lang w:val="en-US" w:eastAsia="zh-CN"/>
              </w:rPr>
              <w:t>）平均浓度为 19.6μg/m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，中心城区环境空气质量优良天数比率为 99.5%，较上年同期上升2.8个百分点；江川区、澄江市、通海县、华宁县、易门县、峨山县、新平县、元江县空气质量优良天数比率分别为99.4%、100%、99.4%、99.7%、99.7%、99.4%、99.7%、99.4%。项目所在区域（红塔区）属环境空气质量达标区。</w:t>
            </w:r>
          </w:p>
          <w:p w14:paraId="6830EE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本次评价引用红塔区</w:t>
            </w:r>
            <w:r>
              <w:rPr>
                <w:rFonts w:hint="default" w:ascii="Times New Roman" w:hAnsi="Times New Roman" w:cs="Times New Roman" w:eastAsiaTheme="minorEastAsia"/>
                <w:color w:val="auto"/>
                <w:sz w:val="24"/>
                <w:szCs w:val="24"/>
              </w:rPr>
              <w:t>环境空气质量自动监测站</w:t>
            </w:r>
            <w:r>
              <w:rPr>
                <w:rFonts w:hint="default" w:ascii="Times New Roman" w:hAnsi="Times New Roman" w:cs="Times New Roman" w:eastAsiaTheme="minorEastAsia"/>
                <w:color w:val="auto"/>
                <w:sz w:val="24"/>
                <w:szCs w:val="24"/>
                <w:lang w:eastAsia="zh-CN"/>
              </w:rPr>
              <w:t>（</w:t>
            </w:r>
            <w:r>
              <w:rPr>
                <w:rFonts w:hint="eastAsia" w:cs="Times New Roman" w:eastAsiaTheme="minorEastAsia"/>
                <w:color w:val="auto"/>
                <w:sz w:val="24"/>
                <w:szCs w:val="24"/>
                <w:lang w:val="en-US" w:eastAsia="zh-CN"/>
              </w:rPr>
              <w:t>北城街道</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2023年全年长期监测数据对项目区域</w:t>
            </w:r>
            <w:r>
              <w:rPr>
                <w:rFonts w:hint="default" w:ascii="Times New Roman" w:hAnsi="Times New Roman" w:cs="Times New Roman" w:eastAsiaTheme="minorEastAsia"/>
                <w:color w:val="auto"/>
                <w:sz w:val="24"/>
                <w:szCs w:val="24"/>
              </w:rPr>
              <w:t>基本污染物环境质量</w:t>
            </w:r>
            <w:r>
              <w:rPr>
                <w:rFonts w:hint="default" w:ascii="Times New Roman" w:hAnsi="Times New Roman" w:cs="Times New Roman" w:eastAsiaTheme="minorEastAsia"/>
                <w:color w:val="auto"/>
                <w:sz w:val="24"/>
                <w:szCs w:val="24"/>
                <w:lang w:val="en-US" w:eastAsia="zh-CN"/>
              </w:rPr>
              <w:t>现状进行评价，</w:t>
            </w:r>
            <w:r>
              <w:rPr>
                <w:rFonts w:hint="default" w:ascii="Times New Roman" w:hAnsi="Times New Roman" w:cs="Times New Roman" w:eastAsiaTheme="minorEastAsia"/>
                <w:color w:val="auto"/>
              </w:rPr>
              <w:t>监测点位距离本项目</w:t>
            </w:r>
            <w:r>
              <w:rPr>
                <w:rFonts w:hint="default" w:ascii="Times New Roman" w:hAnsi="Times New Roman" w:cs="Times New Roman" w:eastAsiaTheme="minorEastAsia"/>
                <w:color w:val="auto"/>
                <w:lang w:val="en-US" w:eastAsia="zh-CN"/>
              </w:rPr>
              <w:t>约</w:t>
            </w:r>
            <w:r>
              <w:rPr>
                <w:rFonts w:hint="eastAsia" w:cs="Times New Roman" w:eastAsiaTheme="minorEastAsia"/>
                <w:color w:val="auto"/>
                <w:lang w:val="en-US" w:eastAsia="zh-CN"/>
              </w:rPr>
              <w:t>11.4</w:t>
            </w:r>
            <w:r>
              <w:rPr>
                <w:rFonts w:hint="default" w:ascii="Times New Roman" w:hAnsi="Times New Roman" w:cs="Times New Roman" w:eastAsiaTheme="minorEastAsia"/>
                <w:color w:val="auto"/>
              </w:rPr>
              <w:t>km</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sz w:val="24"/>
                <w:szCs w:val="24"/>
                <w:lang w:val="en-US" w:eastAsia="zh-CN"/>
              </w:rPr>
              <w:t>2023年红塔区</w:t>
            </w:r>
            <w:r>
              <w:rPr>
                <w:rFonts w:hint="default" w:ascii="Times New Roman" w:hAnsi="Times New Roman" w:cs="Times New Roman" w:eastAsiaTheme="minorEastAsia"/>
                <w:color w:val="auto"/>
                <w:sz w:val="24"/>
                <w:szCs w:val="24"/>
              </w:rPr>
              <w:t>环境空气质量自动监测站</w:t>
            </w:r>
            <w:r>
              <w:rPr>
                <w:rFonts w:hint="default" w:ascii="Times New Roman" w:hAnsi="Times New Roman" w:cs="Times New Roman" w:eastAsiaTheme="minorEastAsia"/>
                <w:color w:val="auto"/>
                <w:sz w:val="24"/>
                <w:szCs w:val="24"/>
                <w:lang w:eastAsia="zh-CN"/>
              </w:rPr>
              <w:t>（</w:t>
            </w:r>
            <w:r>
              <w:rPr>
                <w:rFonts w:hint="eastAsia" w:cs="Times New Roman" w:eastAsiaTheme="minorEastAsia"/>
                <w:color w:val="auto"/>
                <w:sz w:val="24"/>
                <w:szCs w:val="24"/>
                <w:lang w:val="en-US" w:eastAsia="zh-CN"/>
              </w:rPr>
              <w:t>北城街道，全年有效数据为365天</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基本污染物</w:t>
            </w:r>
            <w:r>
              <w:rPr>
                <w:rFonts w:hint="default" w:ascii="Times New Roman" w:hAnsi="Times New Roman" w:cs="Times New Roman" w:eastAsiaTheme="minorEastAsia"/>
                <w:color w:val="auto"/>
                <w:sz w:val="24"/>
                <w:szCs w:val="24"/>
              </w:rPr>
              <w:t>监测结果统计</w:t>
            </w:r>
            <w:r>
              <w:rPr>
                <w:rFonts w:hint="default" w:ascii="Times New Roman" w:hAnsi="Times New Roman" w:cs="Times New Roman" w:eastAsiaTheme="minorEastAsia"/>
                <w:color w:val="auto"/>
                <w:sz w:val="24"/>
                <w:szCs w:val="24"/>
                <w:lang w:val="en-US" w:eastAsia="zh-CN"/>
              </w:rPr>
              <w:t>见表3-2。</w:t>
            </w:r>
          </w:p>
          <w:p w14:paraId="181D1CBF">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w:t>
            </w:r>
            <w:r>
              <w:rPr>
                <w:rFonts w:hint="default" w:ascii="Times New Roman" w:hAnsi="Times New Roman" w:cs="Times New Roman"/>
                <w:color w:val="auto"/>
                <w:sz w:val="24"/>
                <w:szCs w:val="32"/>
                <w:lang w:val="en-US" w:eastAsia="zh-CN"/>
              </w:rPr>
              <w:t>3-2</w:t>
            </w:r>
            <w:r>
              <w:rPr>
                <w:rFonts w:hint="default" w:ascii="Times New Roman" w:hAnsi="Times New Roman" w:cs="Times New Roman"/>
                <w:color w:val="auto"/>
                <w:sz w:val="24"/>
                <w:szCs w:val="32"/>
              </w:rPr>
              <w:t xml:space="preserve">   基本污染物环境质量现状</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2542"/>
              <w:gridCol w:w="1125"/>
              <w:gridCol w:w="1360"/>
              <w:gridCol w:w="1001"/>
              <w:gridCol w:w="907"/>
            </w:tblGrid>
            <w:tr w14:paraId="67F2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578" w:type="pct"/>
                  <w:tcBorders>
                    <w:tl2br w:val="nil"/>
                    <w:tr2bl w:val="nil"/>
                  </w:tcBorders>
                  <w:noWrap w:val="0"/>
                  <w:vAlign w:val="center"/>
                </w:tcPr>
                <w:p w14:paraId="1A19DF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污染物</w:t>
                  </w:r>
                </w:p>
              </w:tc>
              <w:tc>
                <w:tcPr>
                  <w:tcW w:w="1620" w:type="pct"/>
                  <w:tcBorders>
                    <w:tl2br w:val="nil"/>
                    <w:tr2bl w:val="nil"/>
                  </w:tcBorders>
                  <w:noWrap w:val="0"/>
                  <w:vAlign w:val="center"/>
                </w:tcPr>
                <w:p w14:paraId="5E2C10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年评价指标</w:t>
                  </w:r>
                </w:p>
              </w:tc>
              <w:tc>
                <w:tcPr>
                  <w:tcW w:w="717" w:type="pct"/>
                  <w:tcBorders>
                    <w:tl2br w:val="nil"/>
                    <w:tr2bl w:val="nil"/>
                  </w:tcBorders>
                  <w:noWrap w:val="0"/>
                  <w:vAlign w:val="center"/>
                </w:tcPr>
                <w:p w14:paraId="7F4E4A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现状浓度</w:t>
                  </w:r>
                </w:p>
                <w:p w14:paraId="199254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（µg/m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lang w:val="en-US" w:eastAsia="zh-CN"/>
                    </w:rPr>
                    <w:t>）</w:t>
                  </w:r>
                </w:p>
              </w:tc>
              <w:tc>
                <w:tcPr>
                  <w:tcW w:w="867" w:type="pct"/>
                  <w:tcBorders>
                    <w:tl2br w:val="nil"/>
                    <w:tr2bl w:val="nil"/>
                  </w:tcBorders>
                  <w:noWrap w:val="0"/>
                  <w:vAlign w:val="center"/>
                </w:tcPr>
                <w:p w14:paraId="385751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标准值</w:t>
                  </w:r>
                </w:p>
                <w:p w14:paraId="39C3CB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（µg/m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lang w:val="en-US" w:eastAsia="zh-CN"/>
                    </w:rPr>
                    <w:t>）</w:t>
                  </w:r>
                </w:p>
              </w:tc>
              <w:tc>
                <w:tcPr>
                  <w:tcW w:w="638" w:type="pct"/>
                  <w:tcBorders>
                    <w:tl2br w:val="nil"/>
                    <w:tr2bl w:val="nil"/>
                  </w:tcBorders>
                  <w:noWrap w:val="0"/>
                  <w:vAlign w:val="center"/>
                </w:tcPr>
                <w:p w14:paraId="3DC570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占标率/%</w:t>
                  </w:r>
                </w:p>
              </w:tc>
              <w:tc>
                <w:tcPr>
                  <w:tcW w:w="578" w:type="pct"/>
                  <w:tcBorders>
                    <w:tl2br w:val="nil"/>
                    <w:tr2bl w:val="nil"/>
                  </w:tcBorders>
                  <w:noWrap w:val="0"/>
                  <w:vAlign w:val="center"/>
                </w:tcPr>
                <w:p w14:paraId="3CCC6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达标情况</w:t>
                  </w:r>
                </w:p>
              </w:tc>
            </w:tr>
            <w:tr w14:paraId="297B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exact"/>
                <w:jc w:val="center"/>
              </w:trPr>
              <w:tc>
                <w:tcPr>
                  <w:tcW w:w="578" w:type="pct"/>
                  <w:vMerge w:val="restart"/>
                  <w:tcBorders>
                    <w:tl2br w:val="nil"/>
                    <w:tr2bl w:val="nil"/>
                  </w:tcBorders>
                  <w:noWrap w:val="0"/>
                  <w:vAlign w:val="center"/>
                </w:tcPr>
                <w:p w14:paraId="4608F6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SO</w:t>
                  </w:r>
                  <w:r>
                    <w:rPr>
                      <w:rFonts w:hint="default" w:ascii="Times New Roman" w:hAnsi="Times New Roman" w:cs="Times New Roman" w:eastAsiaTheme="minorEastAsia"/>
                      <w:b w:val="0"/>
                      <w:bCs w:val="0"/>
                      <w:color w:val="auto"/>
                      <w:sz w:val="21"/>
                      <w:szCs w:val="21"/>
                      <w:vertAlign w:val="subscript"/>
                      <w:lang w:val="en-US" w:eastAsia="zh-CN"/>
                    </w:rPr>
                    <w:t>2</w:t>
                  </w:r>
                </w:p>
              </w:tc>
              <w:tc>
                <w:tcPr>
                  <w:tcW w:w="1620" w:type="pct"/>
                  <w:tcBorders>
                    <w:tl2br w:val="nil"/>
                    <w:tr2bl w:val="nil"/>
                  </w:tcBorders>
                  <w:noWrap w:val="0"/>
                  <w:vAlign w:val="center"/>
                </w:tcPr>
                <w:p w14:paraId="6A6029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717" w:type="pct"/>
                  <w:tcBorders>
                    <w:tl2br w:val="nil"/>
                    <w:tr2bl w:val="nil"/>
                  </w:tcBorders>
                  <w:noWrap w:val="0"/>
                  <w:vAlign w:val="center"/>
                </w:tcPr>
                <w:p w14:paraId="15460F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6.76</w:t>
                  </w:r>
                </w:p>
              </w:tc>
              <w:tc>
                <w:tcPr>
                  <w:tcW w:w="867" w:type="pct"/>
                  <w:tcBorders>
                    <w:tl2br w:val="nil"/>
                    <w:tr2bl w:val="nil"/>
                  </w:tcBorders>
                  <w:noWrap w:val="0"/>
                  <w:vAlign w:val="center"/>
                </w:tcPr>
                <w:p w14:paraId="7351D9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60</w:t>
                  </w:r>
                </w:p>
              </w:tc>
              <w:tc>
                <w:tcPr>
                  <w:tcW w:w="638" w:type="pct"/>
                  <w:tcBorders>
                    <w:tl2br w:val="nil"/>
                    <w:tr2bl w:val="nil"/>
                  </w:tcBorders>
                  <w:noWrap w:val="0"/>
                  <w:vAlign w:val="center"/>
                </w:tcPr>
                <w:p w14:paraId="1436D8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11.27</w:t>
                  </w:r>
                </w:p>
              </w:tc>
              <w:tc>
                <w:tcPr>
                  <w:tcW w:w="578" w:type="pct"/>
                  <w:tcBorders>
                    <w:tl2br w:val="nil"/>
                    <w:tr2bl w:val="nil"/>
                  </w:tcBorders>
                  <w:noWrap w:val="0"/>
                  <w:vAlign w:val="center"/>
                </w:tcPr>
                <w:p w14:paraId="26EEA0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7D2BB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578" w:type="pct"/>
                  <w:vMerge w:val="continue"/>
                  <w:tcBorders>
                    <w:tl2br w:val="nil"/>
                    <w:tr2bl w:val="nil"/>
                  </w:tcBorders>
                  <w:noWrap w:val="0"/>
                  <w:vAlign w:val="center"/>
                </w:tcPr>
                <w:p w14:paraId="3AEA4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620" w:type="pct"/>
                  <w:tcBorders>
                    <w:tl2br w:val="nil"/>
                    <w:tr2bl w:val="nil"/>
                  </w:tcBorders>
                  <w:noWrap w:val="0"/>
                  <w:vAlign w:val="center"/>
                </w:tcPr>
                <w:p w14:paraId="3C752F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24h平均第98百分位数</w:t>
                  </w:r>
                </w:p>
              </w:tc>
              <w:tc>
                <w:tcPr>
                  <w:tcW w:w="717" w:type="pct"/>
                  <w:tcBorders>
                    <w:tl2br w:val="nil"/>
                    <w:tr2bl w:val="nil"/>
                  </w:tcBorders>
                  <w:noWrap w:val="0"/>
                  <w:vAlign w:val="center"/>
                </w:tcPr>
                <w:p w14:paraId="7289B9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11</w:t>
                  </w:r>
                </w:p>
              </w:tc>
              <w:tc>
                <w:tcPr>
                  <w:tcW w:w="867" w:type="pct"/>
                  <w:tcBorders>
                    <w:tl2br w:val="nil"/>
                    <w:tr2bl w:val="nil"/>
                  </w:tcBorders>
                  <w:noWrap w:val="0"/>
                  <w:vAlign w:val="center"/>
                </w:tcPr>
                <w:p w14:paraId="6E3A6E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150</w:t>
                  </w:r>
                </w:p>
              </w:tc>
              <w:tc>
                <w:tcPr>
                  <w:tcW w:w="638" w:type="pct"/>
                  <w:tcBorders>
                    <w:tl2br w:val="nil"/>
                    <w:tr2bl w:val="nil"/>
                  </w:tcBorders>
                  <w:noWrap w:val="0"/>
                  <w:vAlign w:val="center"/>
                </w:tcPr>
                <w:p w14:paraId="56D2D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7.33</w:t>
                  </w:r>
                </w:p>
              </w:tc>
              <w:tc>
                <w:tcPr>
                  <w:tcW w:w="578" w:type="pct"/>
                  <w:tcBorders>
                    <w:tl2br w:val="nil"/>
                    <w:tr2bl w:val="nil"/>
                  </w:tcBorders>
                  <w:noWrap w:val="0"/>
                  <w:vAlign w:val="center"/>
                </w:tcPr>
                <w:p w14:paraId="6E95DD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4D89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578" w:type="pct"/>
                  <w:vMerge w:val="restart"/>
                  <w:tcBorders>
                    <w:tl2br w:val="nil"/>
                    <w:tr2bl w:val="nil"/>
                  </w:tcBorders>
                  <w:noWrap w:val="0"/>
                  <w:vAlign w:val="center"/>
                </w:tcPr>
                <w:p w14:paraId="49493F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NO</w:t>
                  </w:r>
                  <w:r>
                    <w:rPr>
                      <w:rFonts w:hint="default" w:ascii="Times New Roman" w:hAnsi="Times New Roman" w:cs="Times New Roman" w:eastAsiaTheme="minorEastAsia"/>
                      <w:b w:val="0"/>
                      <w:bCs w:val="0"/>
                      <w:color w:val="auto"/>
                      <w:sz w:val="21"/>
                      <w:szCs w:val="21"/>
                      <w:vertAlign w:val="subscript"/>
                      <w:lang w:val="en-US" w:eastAsia="zh-CN"/>
                    </w:rPr>
                    <w:t>2</w:t>
                  </w:r>
                </w:p>
              </w:tc>
              <w:tc>
                <w:tcPr>
                  <w:tcW w:w="1620" w:type="pct"/>
                  <w:tcBorders>
                    <w:tl2br w:val="nil"/>
                    <w:tr2bl w:val="nil"/>
                  </w:tcBorders>
                  <w:noWrap w:val="0"/>
                  <w:vAlign w:val="center"/>
                </w:tcPr>
                <w:p w14:paraId="66094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717" w:type="pct"/>
                  <w:tcBorders>
                    <w:tl2br w:val="nil"/>
                    <w:tr2bl w:val="nil"/>
                  </w:tcBorders>
                  <w:noWrap w:val="0"/>
                  <w:vAlign w:val="center"/>
                </w:tcPr>
                <w:p w14:paraId="2B9F19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14.25</w:t>
                  </w:r>
                </w:p>
              </w:tc>
              <w:tc>
                <w:tcPr>
                  <w:tcW w:w="867" w:type="pct"/>
                  <w:tcBorders>
                    <w:tl2br w:val="nil"/>
                    <w:tr2bl w:val="nil"/>
                  </w:tcBorders>
                  <w:noWrap w:val="0"/>
                  <w:vAlign w:val="center"/>
                </w:tcPr>
                <w:p w14:paraId="3CBD03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40</w:t>
                  </w:r>
                </w:p>
              </w:tc>
              <w:tc>
                <w:tcPr>
                  <w:tcW w:w="638" w:type="pct"/>
                  <w:tcBorders>
                    <w:tl2br w:val="nil"/>
                    <w:tr2bl w:val="nil"/>
                  </w:tcBorders>
                  <w:noWrap w:val="0"/>
                  <w:vAlign w:val="center"/>
                </w:tcPr>
                <w:p w14:paraId="275157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35.63</w:t>
                  </w:r>
                </w:p>
              </w:tc>
              <w:tc>
                <w:tcPr>
                  <w:tcW w:w="578" w:type="pct"/>
                  <w:tcBorders>
                    <w:tl2br w:val="nil"/>
                    <w:tr2bl w:val="nil"/>
                  </w:tcBorders>
                  <w:noWrap w:val="0"/>
                  <w:vAlign w:val="center"/>
                </w:tcPr>
                <w:p w14:paraId="35646A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74737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578" w:type="pct"/>
                  <w:vMerge w:val="continue"/>
                  <w:tcBorders>
                    <w:tl2br w:val="nil"/>
                    <w:tr2bl w:val="nil"/>
                  </w:tcBorders>
                  <w:noWrap w:val="0"/>
                  <w:vAlign w:val="center"/>
                </w:tcPr>
                <w:p w14:paraId="333556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620" w:type="pct"/>
                  <w:tcBorders>
                    <w:tl2br w:val="nil"/>
                    <w:tr2bl w:val="nil"/>
                  </w:tcBorders>
                  <w:noWrap w:val="0"/>
                  <w:vAlign w:val="center"/>
                </w:tcPr>
                <w:p w14:paraId="493D33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24h平均第98百分位数</w:t>
                  </w:r>
                </w:p>
              </w:tc>
              <w:tc>
                <w:tcPr>
                  <w:tcW w:w="717" w:type="pct"/>
                  <w:tcBorders>
                    <w:tl2br w:val="nil"/>
                    <w:tr2bl w:val="nil"/>
                  </w:tcBorders>
                  <w:noWrap w:val="0"/>
                  <w:vAlign w:val="center"/>
                </w:tcPr>
                <w:p w14:paraId="683425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27.78</w:t>
                  </w:r>
                </w:p>
              </w:tc>
              <w:tc>
                <w:tcPr>
                  <w:tcW w:w="867" w:type="pct"/>
                  <w:tcBorders>
                    <w:tl2br w:val="nil"/>
                    <w:tr2bl w:val="nil"/>
                  </w:tcBorders>
                  <w:noWrap w:val="0"/>
                  <w:vAlign w:val="center"/>
                </w:tcPr>
                <w:p w14:paraId="43838A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80</w:t>
                  </w:r>
                </w:p>
              </w:tc>
              <w:tc>
                <w:tcPr>
                  <w:tcW w:w="638" w:type="pct"/>
                  <w:tcBorders>
                    <w:tl2br w:val="nil"/>
                    <w:tr2bl w:val="nil"/>
                  </w:tcBorders>
                  <w:noWrap w:val="0"/>
                  <w:vAlign w:val="center"/>
                </w:tcPr>
                <w:p w14:paraId="69D574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34.73</w:t>
                  </w:r>
                </w:p>
              </w:tc>
              <w:tc>
                <w:tcPr>
                  <w:tcW w:w="578" w:type="pct"/>
                  <w:tcBorders>
                    <w:tl2br w:val="nil"/>
                    <w:tr2bl w:val="nil"/>
                  </w:tcBorders>
                  <w:noWrap w:val="0"/>
                  <w:vAlign w:val="center"/>
                </w:tcPr>
                <w:p w14:paraId="74C093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6EE1E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578" w:type="pct"/>
                  <w:vMerge w:val="restart"/>
                  <w:tcBorders>
                    <w:tl2br w:val="nil"/>
                    <w:tr2bl w:val="nil"/>
                  </w:tcBorders>
                  <w:noWrap w:val="0"/>
                  <w:vAlign w:val="center"/>
                </w:tcPr>
                <w:p w14:paraId="69263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PM</w:t>
                  </w:r>
                  <w:r>
                    <w:rPr>
                      <w:rFonts w:hint="default" w:ascii="Times New Roman" w:hAnsi="Times New Roman" w:cs="Times New Roman" w:eastAsiaTheme="minorEastAsia"/>
                      <w:b w:val="0"/>
                      <w:bCs w:val="0"/>
                      <w:color w:val="auto"/>
                      <w:sz w:val="21"/>
                      <w:szCs w:val="21"/>
                      <w:vertAlign w:val="subscript"/>
                      <w:lang w:val="en-US" w:eastAsia="zh-CN"/>
                    </w:rPr>
                    <w:t>10</w:t>
                  </w:r>
                </w:p>
              </w:tc>
              <w:tc>
                <w:tcPr>
                  <w:tcW w:w="1620" w:type="pct"/>
                  <w:tcBorders>
                    <w:tl2br w:val="nil"/>
                    <w:tr2bl w:val="nil"/>
                  </w:tcBorders>
                  <w:noWrap w:val="0"/>
                  <w:vAlign w:val="center"/>
                </w:tcPr>
                <w:p w14:paraId="3C9496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717" w:type="pct"/>
                  <w:tcBorders>
                    <w:tl2br w:val="nil"/>
                    <w:tr2bl w:val="nil"/>
                  </w:tcBorders>
                  <w:noWrap w:val="0"/>
                  <w:vAlign w:val="center"/>
                </w:tcPr>
                <w:p w14:paraId="62BED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28.48</w:t>
                  </w:r>
                </w:p>
              </w:tc>
              <w:tc>
                <w:tcPr>
                  <w:tcW w:w="867" w:type="pct"/>
                  <w:tcBorders>
                    <w:tl2br w:val="nil"/>
                    <w:tr2bl w:val="nil"/>
                  </w:tcBorders>
                  <w:noWrap w:val="0"/>
                  <w:vAlign w:val="center"/>
                </w:tcPr>
                <w:p w14:paraId="71BEB0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70</w:t>
                  </w:r>
                </w:p>
              </w:tc>
              <w:tc>
                <w:tcPr>
                  <w:tcW w:w="638" w:type="pct"/>
                  <w:tcBorders>
                    <w:tl2br w:val="nil"/>
                    <w:tr2bl w:val="nil"/>
                  </w:tcBorders>
                  <w:noWrap w:val="0"/>
                  <w:vAlign w:val="center"/>
                </w:tcPr>
                <w:p w14:paraId="022FB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40.68</w:t>
                  </w:r>
                </w:p>
              </w:tc>
              <w:tc>
                <w:tcPr>
                  <w:tcW w:w="578" w:type="pct"/>
                  <w:tcBorders>
                    <w:tl2br w:val="nil"/>
                    <w:tr2bl w:val="nil"/>
                  </w:tcBorders>
                  <w:noWrap w:val="0"/>
                  <w:vAlign w:val="center"/>
                </w:tcPr>
                <w:p w14:paraId="6D4EA6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420B2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578" w:type="pct"/>
                  <w:vMerge w:val="continue"/>
                  <w:tcBorders>
                    <w:tl2br w:val="nil"/>
                    <w:tr2bl w:val="nil"/>
                  </w:tcBorders>
                  <w:noWrap w:val="0"/>
                  <w:vAlign w:val="center"/>
                </w:tcPr>
                <w:p w14:paraId="00DD6A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620" w:type="pct"/>
                  <w:tcBorders>
                    <w:tl2br w:val="nil"/>
                    <w:tr2bl w:val="nil"/>
                  </w:tcBorders>
                  <w:noWrap w:val="0"/>
                  <w:vAlign w:val="center"/>
                </w:tcPr>
                <w:p w14:paraId="32349B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24h平均第95百分位数</w:t>
                  </w:r>
                </w:p>
              </w:tc>
              <w:tc>
                <w:tcPr>
                  <w:tcW w:w="717" w:type="pct"/>
                  <w:tcBorders>
                    <w:tl2br w:val="nil"/>
                    <w:tr2bl w:val="nil"/>
                  </w:tcBorders>
                  <w:noWrap w:val="0"/>
                  <w:vAlign w:val="center"/>
                </w:tcPr>
                <w:p w14:paraId="03E5D5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54.8</w:t>
                  </w:r>
                </w:p>
              </w:tc>
              <w:tc>
                <w:tcPr>
                  <w:tcW w:w="867" w:type="pct"/>
                  <w:tcBorders>
                    <w:tl2br w:val="nil"/>
                    <w:tr2bl w:val="nil"/>
                  </w:tcBorders>
                  <w:noWrap w:val="0"/>
                  <w:vAlign w:val="center"/>
                </w:tcPr>
                <w:p w14:paraId="7948E8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150</w:t>
                  </w:r>
                </w:p>
              </w:tc>
              <w:tc>
                <w:tcPr>
                  <w:tcW w:w="638" w:type="pct"/>
                  <w:tcBorders>
                    <w:tl2br w:val="nil"/>
                    <w:tr2bl w:val="nil"/>
                  </w:tcBorders>
                  <w:noWrap w:val="0"/>
                  <w:vAlign w:val="center"/>
                </w:tcPr>
                <w:p w14:paraId="1224F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36.53</w:t>
                  </w:r>
                </w:p>
              </w:tc>
              <w:tc>
                <w:tcPr>
                  <w:tcW w:w="578" w:type="pct"/>
                  <w:tcBorders>
                    <w:tl2br w:val="nil"/>
                    <w:tr2bl w:val="nil"/>
                  </w:tcBorders>
                  <w:noWrap w:val="0"/>
                  <w:vAlign w:val="center"/>
                </w:tcPr>
                <w:p w14:paraId="1D786C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7E06A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exact"/>
                <w:jc w:val="center"/>
              </w:trPr>
              <w:tc>
                <w:tcPr>
                  <w:tcW w:w="578" w:type="pct"/>
                  <w:vMerge w:val="restart"/>
                  <w:tcBorders>
                    <w:tl2br w:val="nil"/>
                    <w:tr2bl w:val="nil"/>
                  </w:tcBorders>
                  <w:noWrap w:val="0"/>
                  <w:vAlign w:val="center"/>
                </w:tcPr>
                <w:p w14:paraId="6ECCFC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CO</w:t>
                  </w:r>
                </w:p>
              </w:tc>
              <w:tc>
                <w:tcPr>
                  <w:tcW w:w="1620" w:type="pct"/>
                  <w:tcBorders>
                    <w:tl2br w:val="nil"/>
                    <w:tr2bl w:val="nil"/>
                  </w:tcBorders>
                  <w:noWrap w:val="0"/>
                  <w:vAlign w:val="center"/>
                </w:tcPr>
                <w:p w14:paraId="06A54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717" w:type="pct"/>
                  <w:tcBorders>
                    <w:tl2br w:val="nil"/>
                    <w:tr2bl w:val="nil"/>
                  </w:tcBorders>
                  <w:noWrap w:val="0"/>
                  <w:vAlign w:val="center"/>
                </w:tcPr>
                <w:p w14:paraId="45B3E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600</w:t>
                  </w:r>
                </w:p>
              </w:tc>
              <w:tc>
                <w:tcPr>
                  <w:tcW w:w="867" w:type="pct"/>
                  <w:tcBorders>
                    <w:tl2br w:val="nil"/>
                    <w:tr2bl w:val="nil"/>
                  </w:tcBorders>
                  <w:noWrap w:val="0"/>
                  <w:vAlign w:val="center"/>
                </w:tcPr>
                <w:p w14:paraId="38715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638" w:type="pct"/>
                  <w:tcBorders>
                    <w:tl2br w:val="nil"/>
                    <w:tr2bl w:val="nil"/>
                  </w:tcBorders>
                  <w:noWrap w:val="0"/>
                  <w:vAlign w:val="center"/>
                </w:tcPr>
                <w:p w14:paraId="06D5B6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578" w:type="pct"/>
                  <w:tcBorders>
                    <w:tl2br w:val="nil"/>
                    <w:tr2bl w:val="nil"/>
                  </w:tcBorders>
                  <w:noWrap w:val="0"/>
                  <w:vAlign w:val="center"/>
                </w:tcPr>
                <w:p w14:paraId="521AC0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w:t>
                  </w:r>
                </w:p>
              </w:tc>
            </w:tr>
            <w:tr w14:paraId="549AB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578" w:type="pct"/>
                  <w:vMerge w:val="continue"/>
                  <w:tcBorders>
                    <w:tl2br w:val="nil"/>
                    <w:tr2bl w:val="nil"/>
                  </w:tcBorders>
                  <w:noWrap w:val="0"/>
                  <w:vAlign w:val="center"/>
                </w:tcPr>
                <w:p w14:paraId="7D5D8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620" w:type="pct"/>
                  <w:tcBorders>
                    <w:tl2br w:val="nil"/>
                    <w:tr2bl w:val="nil"/>
                  </w:tcBorders>
                  <w:noWrap w:val="0"/>
                  <w:vAlign w:val="center"/>
                </w:tcPr>
                <w:p w14:paraId="6530A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24h平均第95百分位数</w:t>
                  </w:r>
                </w:p>
              </w:tc>
              <w:tc>
                <w:tcPr>
                  <w:tcW w:w="717" w:type="pct"/>
                  <w:tcBorders>
                    <w:tl2br w:val="nil"/>
                    <w:tr2bl w:val="nil"/>
                  </w:tcBorders>
                  <w:noWrap w:val="0"/>
                  <w:vAlign w:val="center"/>
                </w:tcPr>
                <w:p w14:paraId="006E99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800</w:t>
                  </w:r>
                </w:p>
              </w:tc>
              <w:tc>
                <w:tcPr>
                  <w:tcW w:w="867" w:type="pct"/>
                  <w:tcBorders>
                    <w:tl2br w:val="nil"/>
                    <w:tr2bl w:val="nil"/>
                  </w:tcBorders>
                  <w:noWrap w:val="0"/>
                  <w:vAlign w:val="center"/>
                </w:tcPr>
                <w:p w14:paraId="63312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4000</w:t>
                  </w:r>
                </w:p>
              </w:tc>
              <w:tc>
                <w:tcPr>
                  <w:tcW w:w="638" w:type="pct"/>
                  <w:tcBorders>
                    <w:tl2br w:val="nil"/>
                    <w:tr2bl w:val="nil"/>
                  </w:tcBorders>
                  <w:noWrap w:val="0"/>
                  <w:vAlign w:val="center"/>
                </w:tcPr>
                <w:p w14:paraId="601A4A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w:t>
                  </w:r>
                </w:p>
              </w:tc>
              <w:tc>
                <w:tcPr>
                  <w:tcW w:w="578" w:type="pct"/>
                  <w:tcBorders>
                    <w:tl2br w:val="nil"/>
                    <w:tr2bl w:val="nil"/>
                  </w:tcBorders>
                  <w:noWrap w:val="0"/>
                  <w:vAlign w:val="center"/>
                </w:tcPr>
                <w:p w14:paraId="75906E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095E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jc w:val="center"/>
              </w:trPr>
              <w:tc>
                <w:tcPr>
                  <w:tcW w:w="578" w:type="pct"/>
                  <w:tcBorders>
                    <w:tl2br w:val="nil"/>
                    <w:tr2bl w:val="nil"/>
                  </w:tcBorders>
                  <w:noWrap w:val="0"/>
                  <w:vAlign w:val="center"/>
                </w:tcPr>
                <w:p w14:paraId="5850DD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O</w:t>
                  </w:r>
                  <w:r>
                    <w:rPr>
                      <w:rFonts w:hint="default" w:ascii="Times New Roman" w:hAnsi="Times New Roman" w:cs="Times New Roman" w:eastAsiaTheme="minorEastAsia"/>
                      <w:b w:val="0"/>
                      <w:bCs w:val="0"/>
                      <w:color w:val="auto"/>
                      <w:sz w:val="21"/>
                      <w:szCs w:val="21"/>
                      <w:vertAlign w:val="subscript"/>
                      <w:lang w:val="en-US" w:eastAsia="zh-CN"/>
                    </w:rPr>
                    <w:t>3</w:t>
                  </w:r>
                </w:p>
              </w:tc>
              <w:tc>
                <w:tcPr>
                  <w:tcW w:w="1620" w:type="pct"/>
                  <w:tcBorders>
                    <w:tl2br w:val="nil"/>
                    <w:tr2bl w:val="nil"/>
                  </w:tcBorders>
                  <w:noWrap w:val="0"/>
                  <w:vAlign w:val="center"/>
                </w:tcPr>
                <w:p w14:paraId="60A96A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8小时</w:t>
                  </w:r>
                  <w:r>
                    <w:rPr>
                      <w:rFonts w:hint="eastAsia" w:cs="Times New Roman" w:eastAsiaTheme="minorEastAsia"/>
                      <w:b w:val="0"/>
                      <w:bCs w:val="0"/>
                      <w:color w:val="auto"/>
                      <w:sz w:val="21"/>
                      <w:szCs w:val="21"/>
                      <w:lang w:val="en-US" w:eastAsia="zh-CN"/>
                    </w:rPr>
                    <w:t>滑动</w:t>
                  </w:r>
                  <w:r>
                    <w:rPr>
                      <w:rFonts w:hint="default" w:ascii="Times New Roman" w:hAnsi="Times New Roman" w:cs="Times New Roman" w:eastAsiaTheme="minorEastAsia"/>
                      <w:b w:val="0"/>
                      <w:bCs w:val="0"/>
                      <w:color w:val="auto"/>
                      <w:sz w:val="21"/>
                      <w:szCs w:val="21"/>
                      <w:lang w:val="en-US" w:eastAsia="zh-CN"/>
                    </w:rPr>
                    <w:t>平均第90百分位数</w:t>
                  </w:r>
                </w:p>
              </w:tc>
              <w:tc>
                <w:tcPr>
                  <w:tcW w:w="717" w:type="pct"/>
                  <w:tcBorders>
                    <w:tl2br w:val="nil"/>
                    <w:tr2bl w:val="nil"/>
                  </w:tcBorders>
                  <w:noWrap w:val="0"/>
                  <w:vAlign w:val="center"/>
                </w:tcPr>
                <w:p w14:paraId="176C3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119</w:t>
                  </w:r>
                </w:p>
              </w:tc>
              <w:tc>
                <w:tcPr>
                  <w:tcW w:w="867" w:type="pct"/>
                  <w:tcBorders>
                    <w:tl2br w:val="nil"/>
                    <w:tr2bl w:val="nil"/>
                  </w:tcBorders>
                  <w:noWrap w:val="0"/>
                  <w:vAlign w:val="center"/>
                </w:tcPr>
                <w:p w14:paraId="76CE3C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160</w:t>
                  </w:r>
                </w:p>
              </w:tc>
              <w:tc>
                <w:tcPr>
                  <w:tcW w:w="638" w:type="pct"/>
                  <w:tcBorders>
                    <w:tl2br w:val="nil"/>
                    <w:tr2bl w:val="nil"/>
                  </w:tcBorders>
                  <w:noWrap w:val="0"/>
                  <w:vAlign w:val="center"/>
                </w:tcPr>
                <w:p w14:paraId="2851E1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59.5</w:t>
                  </w:r>
                </w:p>
              </w:tc>
              <w:tc>
                <w:tcPr>
                  <w:tcW w:w="578" w:type="pct"/>
                  <w:tcBorders>
                    <w:tl2br w:val="nil"/>
                    <w:tr2bl w:val="nil"/>
                  </w:tcBorders>
                  <w:noWrap w:val="0"/>
                  <w:vAlign w:val="center"/>
                </w:tcPr>
                <w:p w14:paraId="2B6297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0CAF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exact"/>
                <w:jc w:val="center"/>
              </w:trPr>
              <w:tc>
                <w:tcPr>
                  <w:tcW w:w="578" w:type="pct"/>
                  <w:vMerge w:val="restart"/>
                  <w:tcBorders>
                    <w:tl2br w:val="nil"/>
                    <w:tr2bl w:val="nil"/>
                  </w:tcBorders>
                  <w:noWrap w:val="0"/>
                  <w:vAlign w:val="center"/>
                </w:tcPr>
                <w:p w14:paraId="3C3B6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PM</w:t>
                  </w:r>
                  <w:r>
                    <w:rPr>
                      <w:rFonts w:hint="default" w:ascii="Times New Roman" w:hAnsi="Times New Roman" w:cs="Times New Roman" w:eastAsiaTheme="minorEastAsia"/>
                      <w:b w:val="0"/>
                      <w:bCs w:val="0"/>
                      <w:color w:val="auto"/>
                      <w:sz w:val="21"/>
                      <w:szCs w:val="21"/>
                      <w:vertAlign w:val="subscript"/>
                      <w:lang w:val="en-US" w:eastAsia="zh-CN"/>
                    </w:rPr>
                    <w:t>2.5</w:t>
                  </w:r>
                </w:p>
              </w:tc>
              <w:tc>
                <w:tcPr>
                  <w:tcW w:w="1620" w:type="pct"/>
                  <w:tcBorders>
                    <w:tl2br w:val="nil"/>
                    <w:tr2bl w:val="nil"/>
                  </w:tcBorders>
                  <w:noWrap w:val="0"/>
                  <w:vAlign w:val="center"/>
                </w:tcPr>
                <w:p w14:paraId="5ADAA7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年平均质量浓度</w:t>
                  </w:r>
                </w:p>
              </w:tc>
              <w:tc>
                <w:tcPr>
                  <w:tcW w:w="717" w:type="pct"/>
                  <w:tcBorders>
                    <w:tl2br w:val="nil"/>
                    <w:tr2bl w:val="nil"/>
                  </w:tcBorders>
                  <w:noWrap w:val="0"/>
                  <w:vAlign w:val="center"/>
                </w:tcPr>
                <w:p w14:paraId="5255A0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17.77</w:t>
                  </w:r>
                </w:p>
              </w:tc>
              <w:tc>
                <w:tcPr>
                  <w:tcW w:w="867" w:type="pct"/>
                  <w:tcBorders>
                    <w:tl2br w:val="nil"/>
                    <w:tr2bl w:val="nil"/>
                  </w:tcBorders>
                  <w:noWrap w:val="0"/>
                  <w:vAlign w:val="center"/>
                </w:tcPr>
                <w:p w14:paraId="564BDF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35</w:t>
                  </w:r>
                </w:p>
              </w:tc>
              <w:tc>
                <w:tcPr>
                  <w:tcW w:w="638" w:type="pct"/>
                  <w:tcBorders>
                    <w:tl2br w:val="nil"/>
                    <w:tr2bl w:val="nil"/>
                  </w:tcBorders>
                  <w:noWrap w:val="0"/>
                  <w:vAlign w:val="center"/>
                </w:tcPr>
                <w:p w14:paraId="1ED8C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50.7</w:t>
                  </w:r>
                  <w:r>
                    <w:rPr>
                      <w:rFonts w:hint="eastAsia" w:cs="Times New Roman" w:eastAsiaTheme="minorEastAsia"/>
                      <w:b w:val="0"/>
                      <w:bCs w:val="0"/>
                      <w:color w:val="auto"/>
                      <w:sz w:val="21"/>
                      <w:szCs w:val="21"/>
                      <w:lang w:val="en-US" w:eastAsia="zh-CN"/>
                    </w:rPr>
                    <w:t>7</w:t>
                  </w:r>
                </w:p>
              </w:tc>
              <w:tc>
                <w:tcPr>
                  <w:tcW w:w="578" w:type="pct"/>
                  <w:tcBorders>
                    <w:tl2br w:val="nil"/>
                    <w:tr2bl w:val="nil"/>
                  </w:tcBorders>
                  <w:noWrap w:val="0"/>
                  <w:vAlign w:val="center"/>
                </w:tcPr>
                <w:p w14:paraId="7395BC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r w14:paraId="61A0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578" w:type="pct"/>
                  <w:vMerge w:val="continue"/>
                  <w:tcBorders>
                    <w:tl2br w:val="nil"/>
                    <w:tr2bl w:val="nil"/>
                  </w:tcBorders>
                  <w:noWrap w:val="0"/>
                  <w:vAlign w:val="center"/>
                </w:tcPr>
                <w:p w14:paraId="7EC461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620" w:type="pct"/>
                  <w:tcBorders>
                    <w:tl2br w:val="nil"/>
                    <w:tr2bl w:val="nil"/>
                  </w:tcBorders>
                  <w:noWrap w:val="0"/>
                  <w:vAlign w:val="center"/>
                </w:tcPr>
                <w:p w14:paraId="1304DC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24h平均第95百分位数</w:t>
                  </w:r>
                </w:p>
              </w:tc>
              <w:tc>
                <w:tcPr>
                  <w:tcW w:w="717" w:type="pct"/>
                  <w:tcBorders>
                    <w:tl2br w:val="nil"/>
                    <w:tr2bl w:val="nil"/>
                  </w:tcBorders>
                  <w:noWrap w:val="0"/>
                  <w:vAlign w:val="center"/>
                </w:tcPr>
                <w:p w14:paraId="65F637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37</w:t>
                  </w:r>
                </w:p>
              </w:tc>
              <w:tc>
                <w:tcPr>
                  <w:tcW w:w="867" w:type="pct"/>
                  <w:tcBorders>
                    <w:tl2br w:val="nil"/>
                    <w:tr2bl w:val="nil"/>
                  </w:tcBorders>
                  <w:noWrap w:val="0"/>
                  <w:vAlign w:val="center"/>
                </w:tcPr>
                <w:p w14:paraId="11CA2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75</w:t>
                  </w:r>
                </w:p>
              </w:tc>
              <w:tc>
                <w:tcPr>
                  <w:tcW w:w="638" w:type="pct"/>
                  <w:tcBorders>
                    <w:tl2br w:val="nil"/>
                    <w:tr2bl w:val="nil"/>
                  </w:tcBorders>
                  <w:noWrap w:val="0"/>
                  <w:vAlign w:val="center"/>
                </w:tcPr>
                <w:p w14:paraId="7A42F3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49.33</w:t>
                  </w:r>
                </w:p>
              </w:tc>
              <w:tc>
                <w:tcPr>
                  <w:tcW w:w="578" w:type="pct"/>
                  <w:tcBorders>
                    <w:tl2br w:val="nil"/>
                    <w:tr2bl w:val="nil"/>
                  </w:tcBorders>
                  <w:noWrap w:val="0"/>
                  <w:vAlign w:val="center"/>
                </w:tcPr>
                <w:p w14:paraId="444CF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达标</w:t>
                  </w:r>
                </w:p>
              </w:tc>
            </w:tr>
          </w:tbl>
          <w:p w14:paraId="6B3608D9">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sz w:val="24"/>
                <w:szCs w:val="24"/>
                <w:lang w:val="en-US" w:eastAsia="zh-CN"/>
              </w:rPr>
              <w:t>根据上表可知，202</w:t>
            </w:r>
            <w:r>
              <w:rPr>
                <w:rFonts w:hint="eastAsia" w:cs="Times New Roman"/>
                <w:color w:val="auto"/>
                <w:sz w:val="24"/>
                <w:szCs w:val="24"/>
                <w:lang w:val="en-US" w:eastAsia="zh-CN"/>
              </w:rPr>
              <w:t>3</w:t>
            </w:r>
            <w:r>
              <w:rPr>
                <w:rFonts w:hint="default" w:ascii="Times New Roman" w:hAnsi="Times New Roman" w:cs="Times New Roman"/>
                <w:color w:val="auto"/>
                <w:sz w:val="24"/>
                <w:szCs w:val="24"/>
                <w:lang w:val="en-US" w:eastAsia="zh-CN"/>
              </w:rPr>
              <w:t>年红塔区</w:t>
            </w:r>
            <w:r>
              <w:rPr>
                <w:rFonts w:hint="eastAsia" w:cs="Times New Roman"/>
                <w:color w:val="auto"/>
                <w:sz w:val="24"/>
                <w:szCs w:val="24"/>
                <w:lang w:val="en-US" w:eastAsia="zh-CN"/>
              </w:rPr>
              <w:t>北城街道</w:t>
            </w:r>
            <w:r>
              <w:rPr>
                <w:rFonts w:hint="default" w:ascii="Times New Roman" w:hAnsi="Times New Roman" w:cs="Times New Roman"/>
                <w:color w:val="auto"/>
                <w:sz w:val="24"/>
                <w:szCs w:val="24"/>
              </w:rPr>
              <w:t>环境空气质量自动监测站</w:t>
            </w:r>
            <w:r>
              <w:rPr>
                <w:rFonts w:hint="default" w:ascii="Times New Roman" w:hAnsi="Times New Roman" w:cs="Times New Roman"/>
                <w:color w:val="auto"/>
                <w:sz w:val="24"/>
                <w:szCs w:val="24"/>
                <w:lang w:val="en-US" w:eastAsia="zh-CN"/>
              </w:rPr>
              <w:t>SO</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、NO</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、PM</w:t>
            </w:r>
            <w:r>
              <w:rPr>
                <w:rFonts w:hint="default" w:ascii="Times New Roman" w:hAnsi="Times New Roman" w:cs="Times New Roman"/>
                <w:color w:val="auto"/>
                <w:sz w:val="24"/>
                <w:szCs w:val="24"/>
                <w:vertAlign w:val="subscript"/>
                <w:lang w:val="en-US" w:eastAsia="zh-CN"/>
              </w:rPr>
              <w:t>10</w:t>
            </w:r>
            <w:r>
              <w:rPr>
                <w:rFonts w:hint="default" w:ascii="Times New Roman" w:hAnsi="Times New Roman" w:cs="Times New Roman"/>
                <w:color w:val="auto"/>
                <w:sz w:val="24"/>
                <w:szCs w:val="24"/>
                <w:lang w:val="en-US" w:eastAsia="zh-CN"/>
              </w:rPr>
              <w:t>、PM</w:t>
            </w:r>
            <w:r>
              <w:rPr>
                <w:rFonts w:hint="default" w:ascii="Times New Roman" w:hAnsi="Times New Roman" w:cs="Times New Roman"/>
                <w:color w:val="auto"/>
                <w:sz w:val="24"/>
                <w:szCs w:val="24"/>
                <w:vertAlign w:val="subscript"/>
                <w:lang w:val="en-US" w:eastAsia="zh-CN"/>
              </w:rPr>
              <w:t>2.5</w:t>
            </w:r>
            <w:r>
              <w:rPr>
                <w:rFonts w:hint="default" w:ascii="Times New Roman" w:hAnsi="Times New Roman" w:cs="Times New Roman"/>
                <w:color w:val="auto"/>
                <w:sz w:val="24"/>
                <w:szCs w:val="24"/>
                <w:lang w:val="en-US" w:eastAsia="zh-CN"/>
              </w:rPr>
              <w:t>、CO年平均质量浓度和</w:t>
            </w:r>
            <w:r>
              <w:rPr>
                <w:rFonts w:hint="eastAsia" w:cs="Times New Roman"/>
                <w:color w:val="auto"/>
                <w:sz w:val="24"/>
                <w:szCs w:val="24"/>
                <w:lang w:val="en-US" w:eastAsia="zh-CN"/>
              </w:rPr>
              <w:t>相应</w:t>
            </w:r>
            <w:r>
              <w:rPr>
                <w:rFonts w:hint="default" w:ascii="Times New Roman" w:hAnsi="Times New Roman" w:cs="Times New Roman"/>
                <w:color w:val="auto"/>
                <w:sz w:val="24"/>
                <w:szCs w:val="24"/>
                <w:lang w:val="en-US" w:eastAsia="zh-CN"/>
              </w:rPr>
              <w:t>百分位数日平均</w:t>
            </w:r>
            <w:r>
              <w:rPr>
                <w:rFonts w:hint="eastAsia" w:cs="Times New Roman"/>
                <w:color w:val="auto"/>
                <w:sz w:val="24"/>
                <w:szCs w:val="24"/>
                <w:lang w:val="en-US" w:eastAsia="zh-CN"/>
              </w:rPr>
              <w:t>及</w:t>
            </w:r>
            <w:r>
              <w:rPr>
                <w:rFonts w:hint="default" w:ascii="Times New Roman" w:hAnsi="Times New Roman" w:cs="Times New Roman"/>
                <w:color w:val="auto"/>
                <w:sz w:val="24"/>
                <w:szCs w:val="24"/>
                <w:lang w:val="en-US" w:eastAsia="zh-CN"/>
              </w:rPr>
              <w:t>O</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eastAsiaTheme="minorEastAsia"/>
                <w:b w:val="0"/>
                <w:bCs w:val="0"/>
                <w:color w:val="auto"/>
                <w:sz w:val="24"/>
                <w:szCs w:val="24"/>
                <w:lang w:val="en-US" w:eastAsia="zh-CN"/>
              </w:rPr>
              <w:t>第90百分位数</w:t>
            </w:r>
            <w:r>
              <w:rPr>
                <w:rFonts w:hint="default" w:ascii="Times New Roman" w:hAnsi="Times New Roman" w:cs="Times New Roman" w:eastAsiaTheme="minorEastAsia"/>
                <w:color w:val="auto"/>
                <w:sz w:val="24"/>
                <w:szCs w:val="24"/>
                <w:lang w:val="en-US" w:eastAsia="zh-CN"/>
              </w:rPr>
              <w:t>8h</w:t>
            </w:r>
            <w:r>
              <w:rPr>
                <w:rFonts w:hint="default" w:cs="Times New Roman" w:eastAsiaTheme="minorEastAsia"/>
                <w:color w:val="auto"/>
                <w:sz w:val="24"/>
                <w:szCs w:val="24"/>
                <w:lang w:val="en-US" w:eastAsia="zh-CN"/>
              </w:rPr>
              <w:t>滑动</w:t>
            </w:r>
            <w:r>
              <w:rPr>
                <w:rFonts w:hint="default" w:ascii="Times New Roman" w:hAnsi="Times New Roman" w:cs="Times New Roman" w:eastAsiaTheme="minorEastAsia"/>
                <w:color w:val="auto"/>
                <w:sz w:val="24"/>
                <w:szCs w:val="24"/>
                <w:lang w:val="en-US" w:eastAsia="zh-CN"/>
              </w:rPr>
              <w:t>平均质量浓度均满足《环境空气质量标准》（GB3095-2012）</w:t>
            </w:r>
            <w:r>
              <w:rPr>
                <w:rFonts w:hint="default" w:ascii="Times New Roman" w:hAnsi="Times New Roman" w:cs="Times New Roman"/>
                <w:color w:val="auto"/>
                <w:sz w:val="24"/>
                <w:szCs w:val="24"/>
                <w:lang w:val="en-US" w:eastAsia="zh-CN"/>
              </w:rPr>
              <w:t>二级标准要求，项目区属环境空气质量</w:t>
            </w:r>
            <w:r>
              <w:rPr>
                <w:rFonts w:hint="default" w:ascii="Times New Roman" w:hAnsi="Times New Roman" w:eastAsia="宋体" w:cs="Times New Roman"/>
                <w:color w:val="auto"/>
                <w:sz w:val="24"/>
                <w:szCs w:val="24"/>
                <w:lang w:val="en-US" w:eastAsia="zh-CN"/>
              </w:rPr>
              <w:t>达标区</w:t>
            </w:r>
            <w:r>
              <w:rPr>
                <w:rFonts w:hint="eastAsia" w:ascii="Times New Roman" w:hAnsi="Times New Roman" w:eastAsia="宋体" w:cs="Times New Roman"/>
                <w:color w:val="auto"/>
                <w:sz w:val="24"/>
                <w:szCs w:val="24"/>
                <w:lang w:val="en-US" w:eastAsia="zh-CN"/>
              </w:rPr>
              <w:t>。</w:t>
            </w:r>
          </w:p>
          <w:p w14:paraId="53F10F48">
            <w:pPr>
              <w:pStyle w:val="15"/>
              <w:keepNext w:val="0"/>
              <w:keepLines w:val="0"/>
              <w:pageBreakBefore w:val="0"/>
              <w:widowControl/>
              <w:kinsoku/>
              <w:wordWrap w:val="0"/>
              <w:overflowPunct/>
              <w:topLinePunct w:val="0"/>
              <w:autoSpaceDE/>
              <w:autoSpaceDN/>
              <w:bidi w:val="0"/>
              <w:adjustRightInd/>
              <w:snapToGrid/>
              <w:spacing w:before="0" w:after="0" w:line="360" w:lineRule="auto"/>
              <w:ind w:right="0" w:firstLine="482" w:firstLineChars="200"/>
              <w:jc w:val="left"/>
              <w:textAlignment w:val="auto"/>
              <w:rPr>
                <w:rFonts w:hint="default" w:ascii="Times New Roman" w:hAnsi="Times New Roman" w:eastAsia="宋体" w:cs="Times New Roman"/>
                <w:b/>
                <w:bCs/>
                <w:i w:val="0"/>
                <w:color w:val="auto"/>
                <w:kern w:val="2"/>
                <w:sz w:val="24"/>
                <w:szCs w:val="24"/>
                <w:lang w:val="en-US" w:eastAsia="zh-CN" w:bidi="ar-SA"/>
              </w:rPr>
            </w:pPr>
            <w:r>
              <w:rPr>
                <w:rFonts w:hint="default" w:ascii="Times New Roman" w:hAnsi="Times New Roman" w:eastAsia="宋体" w:cs="Times New Roman"/>
                <w:b/>
                <w:bCs/>
                <w:i w:val="0"/>
                <w:color w:val="auto"/>
                <w:kern w:val="2"/>
                <w:sz w:val="24"/>
                <w:szCs w:val="24"/>
                <w:lang w:val="en-US" w:eastAsia="zh-CN" w:bidi="ar-SA"/>
              </w:rPr>
              <w:t>（3）特征污染物</w:t>
            </w:r>
            <w:r>
              <w:rPr>
                <w:rFonts w:hint="eastAsia" w:ascii="Times New Roman" w:hAnsi="Times New Roman" w:cs="Times New Roman"/>
                <w:b/>
                <w:bCs/>
                <w:i w:val="0"/>
                <w:color w:val="auto"/>
                <w:kern w:val="2"/>
                <w:sz w:val="24"/>
                <w:szCs w:val="24"/>
                <w:lang w:val="en-US" w:eastAsia="zh-CN" w:bidi="ar-SA"/>
              </w:rPr>
              <w:t>（非甲烷总烃、TSP、NO</w:t>
            </w:r>
            <w:r>
              <w:rPr>
                <w:rFonts w:hint="eastAsia" w:ascii="Times New Roman" w:hAnsi="Times New Roman" w:cs="Times New Roman"/>
                <w:b/>
                <w:bCs/>
                <w:i w:val="0"/>
                <w:color w:val="auto"/>
                <w:kern w:val="2"/>
                <w:sz w:val="24"/>
                <w:szCs w:val="24"/>
                <w:vertAlign w:val="subscript"/>
                <w:lang w:val="en-US" w:eastAsia="zh-CN" w:bidi="ar-SA"/>
              </w:rPr>
              <w:t>X</w:t>
            </w:r>
            <w:r>
              <w:rPr>
                <w:rFonts w:hint="eastAsia" w:ascii="Times New Roman" w:hAnsi="Times New Roman" w:cs="Times New Roman"/>
                <w:b/>
                <w:bCs/>
                <w:i w:val="0"/>
                <w:color w:val="auto"/>
                <w:kern w:val="2"/>
                <w:sz w:val="24"/>
                <w:szCs w:val="24"/>
                <w:lang w:val="en-US" w:eastAsia="zh-CN" w:bidi="ar-SA"/>
              </w:rPr>
              <w:t>）</w:t>
            </w:r>
          </w:p>
          <w:p w14:paraId="3E752141">
            <w:pPr>
              <w:keepNext w:val="0"/>
              <w:keepLines w:val="0"/>
              <w:pageBreakBefore w:val="0"/>
              <w:kinsoku/>
              <w:overflowPunct/>
              <w:topLinePunct w:val="0"/>
              <w:autoSpaceDE/>
              <w:autoSpaceDN/>
              <w:bidi w:val="0"/>
              <w:adjustRightInd/>
              <w:snapToGrid/>
              <w:ind w:firstLine="48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根据《建设项目环境影响报告表编制技术指南（污染影响类）（试行）》</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排放国家、地方环境空气质量标准中有标准限值要求的特征污染物时，引用建设项目周边5千米范围内近3年的现有监测数据，无相关数据的选择当季主导风向下风向1个点位补充不少于3天的监测数据</w:t>
            </w:r>
            <w:r>
              <w:rPr>
                <w:rFonts w:hint="eastAsia"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w:t>
            </w:r>
          </w:p>
          <w:p w14:paraId="7AECE090">
            <w:pPr>
              <w:keepNext w:val="0"/>
              <w:keepLines w:val="0"/>
              <w:pageBreakBefore w:val="0"/>
              <w:kinsoku/>
              <w:overflowPunct/>
              <w:topLinePunct w:val="0"/>
              <w:autoSpaceDE/>
              <w:autoSpaceDN/>
              <w:bidi w:val="0"/>
              <w:adjustRightInd/>
              <w:snapToGrid/>
              <w:ind w:firstLine="48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本项目特征评价因子为非甲烷总烃、</w:t>
            </w:r>
            <w:r>
              <w:rPr>
                <w:rFonts w:hint="eastAsia" w:cs="Times New Roman" w:eastAsiaTheme="minorEastAsia"/>
                <w:color w:val="auto"/>
                <w:sz w:val="24"/>
                <w:szCs w:val="24"/>
                <w:lang w:val="en-US" w:eastAsia="zh-CN"/>
              </w:rPr>
              <w:t>TSP、</w:t>
            </w:r>
            <w:r>
              <w:rPr>
                <w:rFonts w:hint="default" w:ascii="Times New Roman" w:hAnsi="Times New Roman" w:cs="Times New Roman" w:eastAsiaTheme="minorEastAsia"/>
                <w:color w:val="auto"/>
                <w:sz w:val="24"/>
                <w:szCs w:val="24"/>
                <w:lang w:val="en-US" w:eastAsia="zh-CN"/>
              </w:rPr>
              <w:t>甲苯、</w:t>
            </w:r>
            <w:r>
              <w:rPr>
                <w:rFonts w:hint="eastAsia" w:cs="Times New Roman" w:eastAsiaTheme="minorEastAsia"/>
                <w:color w:val="auto"/>
                <w:sz w:val="24"/>
                <w:szCs w:val="24"/>
                <w:lang w:val="en-US" w:eastAsia="zh-CN"/>
              </w:rPr>
              <w:t>氮氧化物、</w:t>
            </w:r>
            <w:r>
              <w:rPr>
                <w:rFonts w:hint="default" w:ascii="Times New Roman" w:hAnsi="Times New Roman" w:cs="Times New Roman" w:eastAsiaTheme="minorEastAsia"/>
                <w:color w:val="auto"/>
                <w:sz w:val="24"/>
                <w:szCs w:val="24"/>
                <w:lang w:val="en-US" w:eastAsia="zh-CN"/>
              </w:rPr>
              <w:t>乙苯、</w:t>
            </w:r>
            <w:r>
              <w:rPr>
                <w:rFonts w:hint="default" w:ascii="Times New Roman" w:hAnsi="Times New Roman" w:cs="Times New Roman" w:eastAsiaTheme="minorEastAsia"/>
                <w:color w:val="auto"/>
                <w:sz w:val="24"/>
                <w:szCs w:val="24"/>
              </w:rPr>
              <w:t>苯乙烯</w:t>
            </w:r>
            <w:r>
              <w:rPr>
                <w:rFonts w:hint="default" w:ascii="Times New Roman" w:hAnsi="Times New Roman" w:cs="Times New Roman" w:eastAsiaTheme="minorEastAsia"/>
                <w:bCs/>
                <w:color w:val="auto"/>
                <w:spacing w:val="-10"/>
                <w:sz w:val="24"/>
                <w:szCs w:val="24"/>
              </w:rPr>
              <w:t>及臭气浓度</w:t>
            </w:r>
            <w:r>
              <w:rPr>
                <w:rFonts w:hint="default" w:ascii="Times New Roman" w:hAnsi="Times New Roman" w:cs="Times New Roman" w:eastAsiaTheme="minorEastAsia"/>
                <w:color w:val="auto"/>
                <w:sz w:val="24"/>
                <w:szCs w:val="24"/>
              </w:rPr>
              <w:t>，为充分了解项目区域</w:t>
            </w:r>
            <w:r>
              <w:rPr>
                <w:rFonts w:hint="default" w:ascii="Times New Roman" w:hAnsi="Times New Roman" w:cs="Times New Roman" w:eastAsiaTheme="minorEastAsia"/>
                <w:color w:val="auto"/>
                <w:sz w:val="24"/>
                <w:szCs w:val="24"/>
                <w:lang w:val="en-US" w:eastAsia="zh-CN"/>
              </w:rPr>
              <w:t>污染物</w:t>
            </w:r>
            <w:r>
              <w:rPr>
                <w:rFonts w:hint="default" w:ascii="Times New Roman" w:hAnsi="Times New Roman" w:cs="Times New Roman" w:eastAsiaTheme="minorEastAsia"/>
                <w:color w:val="auto"/>
                <w:sz w:val="24"/>
                <w:szCs w:val="24"/>
              </w:rPr>
              <w:t>环境质量现状，本次评价引用云南欣欣塑料有限公司</w:t>
            </w:r>
            <w:r>
              <w:rPr>
                <w:rFonts w:hint="default" w:ascii="Times New Roman" w:hAnsi="Times New Roman" w:cs="Times New Roman" w:eastAsiaTheme="minorEastAsia"/>
                <w:color w:val="auto"/>
                <w:sz w:val="24"/>
                <w:szCs w:val="24"/>
                <w:lang w:val="en-US" w:eastAsia="zh-CN"/>
              </w:rPr>
              <w:t>建设的《</w:t>
            </w:r>
            <w:r>
              <w:rPr>
                <w:rFonts w:hint="default" w:ascii="Times New Roman" w:hAnsi="Times New Roman" w:cs="Times New Roman" w:eastAsiaTheme="minorEastAsia"/>
                <w:color w:val="auto"/>
                <w:sz w:val="24"/>
                <w:szCs w:val="24"/>
              </w:rPr>
              <w:t>EPS泡沫颗粒生产线项目</w:t>
            </w:r>
            <w:r>
              <w:rPr>
                <w:rFonts w:hint="default" w:ascii="Times New Roman" w:hAnsi="Times New Roman" w:cs="Times New Roman" w:eastAsiaTheme="minorEastAsia"/>
                <w:color w:val="auto"/>
                <w:sz w:val="24"/>
                <w:szCs w:val="24"/>
                <w:lang w:val="en-US" w:eastAsia="zh-CN"/>
              </w:rPr>
              <w:t>》中的监测数据，该监测时间为</w:t>
            </w:r>
            <w:r>
              <w:rPr>
                <w:rFonts w:hint="default" w:ascii="Times New Roman" w:hAnsi="Times New Roman" w:cs="Times New Roman" w:eastAsiaTheme="minorEastAsia"/>
                <w:color w:val="auto"/>
                <w:sz w:val="24"/>
                <w:szCs w:val="24"/>
              </w:rPr>
              <w:t>2023年7月5日~7月8日</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监测公司为</w:t>
            </w:r>
            <w:r>
              <w:rPr>
                <w:rFonts w:hint="default" w:ascii="Times New Roman" w:hAnsi="Times New Roman" w:cs="Times New Roman" w:eastAsiaTheme="minorEastAsia"/>
                <w:color w:val="auto"/>
                <w:sz w:val="24"/>
                <w:szCs w:val="24"/>
              </w:rPr>
              <w:t>云南靓阳检测有限公司</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eastAsia="zh-CN"/>
              </w:rPr>
              <w:t>该项目</w:t>
            </w:r>
            <w:r>
              <w:rPr>
                <w:rFonts w:hint="default" w:ascii="Times New Roman" w:hAnsi="Times New Roman" w:cs="Times New Roman" w:eastAsiaTheme="minorEastAsia"/>
                <w:color w:val="auto"/>
                <w:sz w:val="24"/>
                <w:szCs w:val="24"/>
              </w:rPr>
              <w:t>设置了</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个监测点位，监测点位于本项目</w:t>
            </w:r>
            <w:r>
              <w:rPr>
                <w:rFonts w:hint="default" w:ascii="Times New Roman" w:hAnsi="Times New Roman" w:cs="Times New Roman" w:eastAsiaTheme="minorEastAsia"/>
                <w:color w:val="auto"/>
                <w:sz w:val="24"/>
                <w:szCs w:val="24"/>
                <w:lang w:val="en-US" w:eastAsia="zh-CN"/>
              </w:rPr>
              <w:t>东</w:t>
            </w:r>
            <w:r>
              <w:rPr>
                <w:rFonts w:hint="default" w:ascii="Times New Roman" w:hAnsi="Times New Roman" w:cs="Times New Roman" w:eastAsiaTheme="minorEastAsia"/>
                <w:color w:val="auto"/>
                <w:sz w:val="24"/>
                <w:szCs w:val="24"/>
              </w:rPr>
              <w:t>面</w:t>
            </w:r>
            <w:r>
              <w:rPr>
                <w:rFonts w:hint="default" w:ascii="Times New Roman" w:hAnsi="Times New Roman" w:cs="Times New Roman" w:eastAsiaTheme="minorEastAsia"/>
                <w:color w:val="auto"/>
                <w:sz w:val="24"/>
                <w:szCs w:val="24"/>
                <w:lang w:eastAsia="zh-CN"/>
              </w:rPr>
              <w:t>约</w:t>
            </w:r>
            <w:r>
              <w:rPr>
                <w:rFonts w:hint="default" w:ascii="Times New Roman" w:hAnsi="Times New Roman" w:cs="Times New Roman" w:eastAsiaTheme="minorEastAsia"/>
                <w:color w:val="auto"/>
                <w:sz w:val="24"/>
                <w:szCs w:val="24"/>
                <w:lang w:val="en-US" w:eastAsia="zh-CN"/>
              </w:rPr>
              <w:t>60</w:t>
            </w:r>
            <w:r>
              <w:rPr>
                <w:rFonts w:hint="default" w:ascii="Times New Roman" w:hAnsi="Times New Roman" w:cs="Times New Roman" w:eastAsiaTheme="minorEastAsia"/>
                <w:color w:val="auto"/>
                <w:sz w:val="24"/>
                <w:szCs w:val="24"/>
              </w:rPr>
              <w:t>m处，本项目引用的监测数据在</w:t>
            </w:r>
            <w:r>
              <w:rPr>
                <w:rFonts w:hint="default" w:ascii="Times New Roman" w:hAnsi="Times New Roman" w:cs="Times New Roman" w:eastAsiaTheme="minorEastAsia"/>
                <w:color w:val="auto"/>
                <w:sz w:val="24"/>
                <w:szCs w:val="24"/>
                <w:lang w:val="en-US" w:eastAsia="zh-CN"/>
              </w:rPr>
              <w:t>3年</w:t>
            </w:r>
            <w:r>
              <w:rPr>
                <w:rFonts w:hint="default" w:ascii="Times New Roman" w:hAnsi="Times New Roman" w:cs="Times New Roman" w:eastAsiaTheme="minorEastAsia"/>
                <w:color w:val="auto"/>
                <w:sz w:val="24"/>
                <w:szCs w:val="24"/>
              </w:rPr>
              <w:t>有效期内，</w:t>
            </w:r>
            <w:r>
              <w:rPr>
                <w:rFonts w:hint="default" w:ascii="Times New Roman" w:hAnsi="Times New Roman" w:cs="Times New Roman" w:eastAsiaTheme="minorEastAsia"/>
                <w:color w:val="auto"/>
                <w:sz w:val="24"/>
                <w:szCs w:val="24"/>
                <w:lang w:eastAsia="zh-CN"/>
              </w:rPr>
              <w:t>监测点位于项目</w:t>
            </w:r>
            <w:r>
              <w:rPr>
                <w:rFonts w:hint="default" w:ascii="Times New Roman" w:hAnsi="Times New Roman" w:cs="Times New Roman" w:eastAsiaTheme="minorEastAsia"/>
                <w:color w:val="auto"/>
                <w:sz w:val="24"/>
                <w:szCs w:val="24"/>
                <w:lang w:val="en-US" w:eastAsia="zh-CN"/>
              </w:rPr>
              <w:t>5km范围内，符合引用条件。监测结果详见下表3-3，引用监测布点图详见下图3-1。</w:t>
            </w:r>
          </w:p>
          <w:p w14:paraId="08D3EC2C">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表3-</w:t>
            </w:r>
            <w:r>
              <w:rPr>
                <w:rFonts w:hint="default" w:ascii="Times New Roman" w:hAnsi="Times New Roman" w:cs="Times New Roman"/>
                <w:color w:val="auto"/>
                <w:sz w:val="24"/>
                <w:szCs w:val="32"/>
                <w:lang w:val="en-US" w:eastAsia="zh-CN"/>
              </w:rPr>
              <w:t>3</w:t>
            </w:r>
            <w:r>
              <w:rPr>
                <w:rFonts w:hint="default" w:ascii="Times New Roman" w:hAnsi="Times New Roman" w:cs="Times New Roman"/>
                <w:color w:val="auto"/>
                <w:sz w:val="24"/>
                <w:szCs w:val="32"/>
              </w:rPr>
              <w:t xml:space="preserve"> 非甲烷总烃</w:t>
            </w:r>
            <w:r>
              <w:rPr>
                <w:rFonts w:hint="eastAsia" w:cs="Times New Roman"/>
                <w:color w:val="auto"/>
                <w:sz w:val="24"/>
                <w:szCs w:val="32"/>
                <w:lang w:eastAsia="zh-CN"/>
              </w:rPr>
              <w:t>、</w:t>
            </w:r>
            <w:r>
              <w:rPr>
                <w:rFonts w:hint="eastAsia" w:cs="Times New Roman"/>
                <w:color w:val="auto"/>
                <w:sz w:val="24"/>
                <w:szCs w:val="32"/>
                <w:lang w:val="en-US" w:eastAsia="zh-CN"/>
              </w:rPr>
              <w:t>TSP、氮氧化物</w:t>
            </w:r>
            <w:r>
              <w:rPr>
                <w:rFonts w:hint="default" w:ascii="Times New Roman" w:hAnsi="Times New Roman" w:cs="Times New Roman"/>
                <w:color w:val="auto"/>
                <w:sz w:val="24"/>
                <w:szCs w:val="32"/>
              </w:rPr>
              <w:t>环境质量现状监测结果</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765"/>
              <w:gridCol w:w="1095"/>
              <w:gridCol w:w="885"/>
              <w:gridCol w:w="915"/>
              <w:gridCol w:w="870"/>
              <w:gridCol w:w="1185"/>
              <w:gridCol w:w="645"/>
              <w:gridCol w:w="705"/>
            </w:tblGrid>
            <w:tr w14:paraId="2F262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97" w:type="pct"/>
                  <w:vMerge w:val="restart"/>
                  <w:vAlign w:val="center"/>
                </w:tcPr>
                <w:p w14:paraId="0C3376AE">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监测点位</w:t>
                  </w:r>
                </w:p>
              </w:tc>
              <w:tc>
                <w:tcPr>
                  <w:tcW w:w="487" w:type="pct"/>
                  <w:vMerge w:val="restart"/>
                  <w:vAlign w:val="center"/>
                </w:tcPr>
                <w:p w14:paraId="26E0A9A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检测项目</w:t>
                  </w:r>
                </w:p>
              </w:tc>
              <w:tc>
                <w:tcPr>
                  <w:tcW w:w="697" w:type="pct"/>
                  <w:vMerge w:val="restart"/>
                  <w:vAlign w:val="center"/>
                </w:tcPr>
                <w:p w14:paraId="057CD315">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监测日期</w:t>
                  </w:r>
                </w:p>
              </w:tc>
              <w:tc>
                <w:tcPr>
                  <w:tcW w:w="2456" w:type="pct"/>
                  <w:gridSpan w:val="4"/>
                  <w:vAlign w:val="center"/>
                </w:tcPr>
                <w:p w14:paraId="36E17F04">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检测结果（mg/m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w:t>
                  </w:r>
                </w:p>
              </w:tc>
              <w:tc>
                <w:tcPr>
                  <w:tcW w:w="411" w:type="pct"/>
                  <w:vMerge w:val="restart"/>
                  <w:vAlign w:val="center"/>
                </w:tcPr>
                <w:p w14:paraId="52EFA4AC">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标准限值</w:t>
                  </w:r>
                </w:p>
              </w:tc>
              <w:tc>
                <w:tcPr>
                  <w:tcW w:w="449" w:type="pct"/>
                  <w:vMerge w:val="restart"/>
                  <w:vAlign w:val="center"/>
                </w:tcPr>
                <w:p w14:paraId="436AFAC8">
                  <w:pPr>
                    <w:pStyle w:val="104"/>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达标情况</w:t>
                  </w:r>
                </w:p>
              </w:tc>
            </w:tr>
            <w:tr w14:paraId="3AEF3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497" w:type="pct"/>
                  <w:vMerge w:val="continue"/>
                  <w:vAlign w:val="center"/>
                </w:tcPr>
                <w:p w14:paraId="3B705F7F">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87" w:type="pct"/>
                  <w:vMerge w:val="continue"/>
                  <w:vAlign w:val="center"/>
                </w:tcPr>
                <w:p w14:paraId="5CDD914B">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697" w:type="pct"/>
                  <w:vMerge w:val="continue"/>
                  <w:vAlign w:val="center"/>
                </w:tcPr>
                <w:p w14:paraId="5AA45A9F">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564" w:type="pct"/>
                  <w:vAlign w:val="center"/>
                </w:tcPr>
                <w:p w14:paraId="0D702FCD">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02:00~03:00</w:t>
                  </w:r>
                </w:p>
              </w:tc>
              <w:tc>
                <w:tcPr>
                  <w:tcW w:w="583" w:type="pct"/>
                  <w:vAlign w:val="center"/>
                </w:tcPr>
                <w:p w14:paraId="4887AECB">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08:00~09:00</w:t>
                  </w:r>
                </w:p>
              </w:tc>
              <w:tc>
                <w:tcPr>
                  <w:tcW w:w="554" w:type="pct"/>
                  <w:vAlign w:val="center"/>
                </w:tcPr>
                <w:p w14:paraId="17E95F72">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14:00~15:00</w:t>
                  </w:r>
                </w:p>
              </w:tc>
              <w:tc>
                <w:tcPr>
                  <w:tcW w:w="755" w:type="pct"/>
                  <w:vAlign w:val="center"/>
                </w:tcPr>
                <w:p w14:paraId="5AC9A8AA">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20:00~21:00</w:t>
                  </w:r>
                </w:p>
              </w:tc>
              <w:tc>
                <w:tcPr>
                  <w:tcW w:w="411" w:type="pct"/>
                  <w:vMerge w:val="continue"/>
                  <w:vAlign w:val="center"/>
                </w:tcPr>
                <w:p w14:paraId="7F56680D">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49" w:type="pct"/>
                  <w:vMerge w:val="continue"/>
                  <w:vAlign w:val="center"/>
                </w:tcPr>
                <w:p w14:paraId="618AFF33">
                  <w:pPr>
                    <w:pStyle w:val="104"/>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r>
            <w:tr w14:paraId="0637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restart"/>
                  <w:vAlign w:val="center"/>
                </w:tcPr>
                <w:p w14:paraId="166F592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项目区下风向</w:t>
                  </w:r>
                </w:p>
              </w:tc>
              <w:tc>
                <w:tcPr>
                  <w:tcW w:w="487" w:type="pct"/>
                  <w:vMerge w:val="restart"/>
                  <w:vAlign w:val="center"/>
                </w:tcPr>
                <w:p w14:paraId="666DFFB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非甲烷总烃</w:t>
                  </w:r>
                </w:p>
              </w:tc>
              <w:tc>
                <w:tcPr>
                  <w:tcW w:w="697" w:type="pct"/>
                  <w:vAlign w:val="center"/>
                </w:tcPr>
                <w:p w14:paraId="36A21D94">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2023.7.5</w:t>
                  </w:r>
                </w:p>
              </w:tc>
              <w:tc>
                <w:tcPr>
                  <w:tcW w:w="564" w:type="pct"/>
                  <w:vAlign w:val="center"/>
                </w:tcPr>
                <w:p w14:paraId="7697E401">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0.45</w:t>
                  </w:r>
                </w:p>
              </w:tc>
              <w:tc>
                <w:tcPr>
                  <w:tcW w:w="583" w:type="pct"/>
                  <w:vAlign w:val="center"/>
                </w:tcPr>
                <w:p w14:paraId="72B5AF04">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0.54</w:t>
                  </w:r>
                </w:p>
              </w:tc>
              <w:tc>
                <w:tcPr>
                  <w:tcW w:w="554" w:type="pct"/>
                  <w:vAlign w:val="center"/>
                </w:tcPr>
                <w:p w14:paraId="7345FE3D">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0.52</w:t>
                  </w:r>
                </w:p>
              </w:tc>
              <w:tc>
                <w:tcPr>
                  <w:tcW w:w="755" w:type="pct"/>
                  <w:vAlign w:val="center"/>
                </w:tcPr>
                <w:p w14:paraId="0BE29D33">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0.47</w:t>
                  </w:r>
                </w:p>
              </w:tc>
              <w:tc>
                <w:tcPr>
                  <w:tcW w:w="411" w:type="pct"/>
                  <w:vMerge w:val="restart"/>
                  <w:vAlign w:val="center"/>
                </w:tcPr>
                <w:p w14:paraId="57EA52FE">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w:t>
                  </w:r>
                </w:p>
              </w:tc>
              <w:tc>
                <w:tcPr>
                  <w:tcW w:w="449" w:type="pct"/>
                  <w:vAlign w:val="center"/>
                </w:tcPr>
                <w:p w14:paraId="0DEAC10C">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14:paraId="47B7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continue"/>
                  <w:vAlign w:val="center"/>
                </w:tcPr>
                <w:p w14:paraId="46C1B0AC">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87" w:type="pct"/>
                  <w:vMerge w:val="continue"/>
                  <w:vAlign w:val="center"/>
                </w:tcPr>
                <w:p w14:paraId="13A8EE4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697" w:type="pct"/>
                  <w:vAlign w:val="center"/>
                </w:tcPr>
                <w:p w14:paraId="74E00B9E">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2023.7.6</w:t>
                  </w:r>
                </w:p>
              </w:tc>
              <w:tc>
                <w:tcPr>
                  <w:tcW w:w="564" w:type="pct"/>
                  <w:vAlign w:val="center"/>
                </w:tcPr>
                <w:p w14:paraId="1DF599B3">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0.43</w:t>
                  </w:r>
                </w:p>
              </w:tc>
              <w:tc>
                <w:tcPr>
                  <w:tcW w:w="583" w:type="pct"/>
                  <w:vAlign w:val="center"/>
                </w:tcPr>
                <w:p w14:paraId="3C39EEDF">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0.46</w:t>
                  </w:r>
                </w:p>
              </w:tc>
              <w:tc>
                <w:tcPr>
                  <w:tcW w:w="554" w:type="pct"/>
                  <w:vAlign w:val="center"/>
                </w:tcPr>
                <w:p w14:paraId="530AA2A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0.48</w:t>
                  </w:r>
                </w:p>
              </w:tc>
              <w:tc>
                <w:tcPr>
                  <w:tcW w:w="755" w:type="pct"/>
                  <w:vAlign w:val="center"/>
                </w:tcPr>
                <w:p w14:paraId="32D530FC">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0.41</w:t>
                  </w:r>
                </w:p>
              </w:tc>
              <w:tc>
                <w:tcPr>
                  <w:tcW w:w="411" w:type="pct"/>
                  <w:vMerge w:val="continue"/>
                  <w:vAlign w:val="center"/>
                </w:tcPr>
                <w:p w14:paraId="3B316BF0">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49" w:type="pct"/>
                  <w:vAlign w:val="center"/>
                </w:tcPr>
                <w:p w14:paraId="7112F434">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14:paraId="593A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continue"/>
                  <w:vAlign w:val="center"/>
                </w:tcPr>
                <w:p w14:paraId="2EE378CF">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87" w:type="pct"/>
                  <w:vMerge w:val="continue"/>
                  <w:vAlign w:val="center"/>
                </w:tcPr>
                <w:p w14:paraId="31805FC8">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697" w:type="pct"/>
                  <w:vAlign w:val="center"/>
                </w:tcPr>
                <w:p w14:paraId="63FB08C0">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2023.7.7</w:t>
                  </w:r>
                </w:p>
              </w:tc>
              <w:tc>
                <w:tcPr>
                  <w:tcW w:w="564" w:type="pct"/>
                  <w:vAlign w:val="center"/>
                </w:tcPr>
                <w:p w14:paraId="258C1C61">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0.38</w:t>
                  </w:r>
                </w:p>
              </w:tc>
              <w:tc>
                <w:tcPr>
                  <w:tcW w:w="583" w:type="pct"/>
                  <w:vAlign w:val="center"/>
                </w:tcPr>
                <w:p w14:paraId="7681C84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0.46</w:t>
                  </w:r>
                </w:p>
              </w:tc>
              <w:tc>
                <w:tcPr>
                  <w:tcW w:w="554" w:type="pct"/>
                  <w:vAlign w:val="center"/>
                </w:tcPr>
                <w:p w14:paraId="49C3CC7E">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0.47</w:t>
                  </w:r>
                </w:p>
              </w:tc>
              <w:tc>
                <w:tcPr>
                  <w:tcW w:w="755" w:type="pct"/>
                  <w:vAlign w:val="center"/>
                </w:tcPr>
                <w:p w14:paraId="174928AC">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0.45</w:t>
                  </w:r>
                </w:p>
              </w:tc>
              <w:tc>
                <w:tcPr>
                  <w:tcW w:w="411" w:type="pct"/>
                  <w:vMerge w:val="continue"/>
                  <w:vAlign w:val="center"/>
                </w:tcPr>
                <w:p w14:paraId="1B3D14BA">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49" w:type="pct"/>
                  <w:vAlign w:val="center"/>
                </w:tcPr>
                <w:p w14:paraId="1B4BE6CD">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14:paraId="5E2E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restart"/>
                  <w:vAlign w:val="center"/>
                </w:tcPr>
                <w:p w14:paraId="136D9FD9">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z w:val="21"/>
                      <w:szCs w:val="21"/>
                    </w:rPr>
                    <w:t>监测点位</w:t>
                  </w:r>
                </w:p>
              </w:tc>
              <w:tc>
                <w:tcPr>
                  <w:tcW w:w="487" w:type="pct"/>
                  <w:vMerge w:val="restart"/>
                  <w:vAlign w:val="center"/>
                </w:tcPr>
                <w:p w14:paraId="4814E340">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eastAsia" w:cs="Times New Roman" w:eastAsiaTheme="minorEastAsia"/>
                      <w:color w:val="auto"/>
                      <w:sz w:val="21"/>
                      <w:szCs w:val="21"/>
                      <w:lang w:val="en-US" w:eastAsia="zh-CN"/>
                    </w:rPr>
                  </w:pPr>
                  <w:r>
                    <w:rPr>
                      <w:rFonts w:hint="default" w:ascii="Times New Roman" w:hAnsi="Times New Roman" w:cs="Times New Roman" w:eastAsiaTheme="minorEastAsia"/>
                      <w:b/>
                      <w:bCs/>
                      <w:color w:val="auto"/>
                      <w:sz w:val="21"/>
                      <w:szCs w:val="21"/>
                    </w:rPr>
                    <w:t>检测项目</w:t>
                  </w:r>
                </w:p>
              </w:tc>
              <w:tc>
                <w:tcPr>
                  <w:tcW w:w="697" w:type="pct"/>
                  <w:vMerge w:val="restart"/>
                  <w:shd w:val="clear" w:color="auto" w:fill="auto"/>
                  <w:vAlign w:val="center"/>
                </w:tcPr>
                <w:p w14:paraId="23D4802C">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bCs/>
                      <w:color w:val="auto"/>
                      <w:sz w:val="21"/>
                      <w:szCs w:val="21"/>
                    </w:rPr>
                    <w:t>监测日期</w:t>
                  </w:r>
                </w:p>
              </w:tc>
              <w:tc>
                <w:tcPr>
                  <w:tcW w:w="2456" w:type="pct"/>
                  <w:gridSpan w:val="4"/>
                  <w:vAlign w:val="center"/>
                </w:tcPr>
                <w:p w14:paraId="12EC1DF9">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eastAsia" w:cs="Times New Roman" w:eastAsiaTheme="minorEastAsia"/>
                      <w:color w:val="auto"/>
                      <w:sz w:val="21"/>
                      <w:szCs w:val="21"/>
                      <w:lang w:val="en-US" w:eastAsia="zh-CN"/>
                    </w:rPr>
                  </w:pPr>
                  <w:r>
                    <w:rPr>
                      <w:rFonts w:hint="default" w:ascii="Times New Roman" w:hAnsi="Times New Roman" w:cs="Times New Roman" w:eastAsiaTheme="minorEastAsia"/>
                      <w:b/>
                      <w:bCs/>
                      <w:color w:val="auto"/>
                      <w:sz w:val="21"/>
                      <w:szCs w:val="21"/>
                    </w:rPr>
                    <w:t>检测结果（μg/m³）</w:t>
                  </w:r>
                </w:p>
              </w:tc>
              <w:tc>
                <w:tcPr>
                  <w:tcW w:w="411" w:type="pct"/>
                  <w:vMerge w:val="restart"/>
                  <w:shd w:val="clear" w:color="auto" w:fill="auto"/>
                  <w:vAlign w:val="center"/>
                </w:tcPr>
                <w:p w14:paraId="55CA3F8D">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eastAsia"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sz w:val="21"/>
                      <w:szCs w:val="21"/>
                    </w:rPr>
                    <w:t>标准限值</w:t>
                  </w:r>
                </w:p>
              </w:tc>
              <w:tc>
                <w:tcPr>
                  <w:tcW w:w="449" w:type="pct"/>
                  <w:vMerge w:val="restart"/>
                  <w:shd w:val="clear" w:color="auto" w:fill="auto"/>
                  <w:vAlign w:val="center"/>
                </w:tcPr>
                <w:p w14:paraId="56795A80">
                  <w:pPr>
                    <w:pStyle w:val="104"/>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sz w:val="21"/>
                      <w:szCs w:val="21"/>
                    </w:rPr>
                    <w:t>达标情况</w:t>
                  </w:r>
                </w:p>
              </w:tc>
            </w:tr>
            <w:tr w14:paraId="7B50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continue"/>
                  <w:vAlign w:val="center"/>
                </w:tcPr>
                <w:p w14:paraId="5D886830">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p>
              </w:tc>
              <w:tc>
                <w:tcPr>
                  <w:tcW w:w="487" w:type="pct"/>
                  <w:vMerge w:val="continue"/>
                  <w:vAlign w:val="center"/>
                </w:tcPr>
                <w:p w14:paraId="14E70122">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p>
              </w:tc>
              <w:tc>
                <w:tcPr>
                  <w:tcW w:w="697" w:type="pct"/>
                  <w:vMerge w:val="continue"/>
                  <w:shd w:val="clear" w:color="auto" w:fill="auto"/>
                  <w:vAlign w:val="center"/>
                </w:tcPr>
                <w:p w14:paraId="07D4D18A">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p>
              </w:tc>
              <w:tc>
                <w:tcPr>
                  <w:tcW w:w="564" w:type="pct"/>
                  <w:shd w:val="clear" w:color="auto" w:fill="auto"/>
                  <w:vAlign w:val="center"/>
                </w:tcPr>
                <w:p w14:paraId="52B30374">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eastAsia"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sz w:val="21"/>
                      <w:szCs w:val="21"/>
                    </w:rPr>
                    <w:t>02:00~03:00</w:t>
                  </w:r>
                </w:p>
              </w:tc>
              <w:tc>
                <w:tcPr>
                  <w:tcW w:w="583" w:type="pct"/>
                  <w:shd w:val="clear" w:color="auto" w:fill="auto"/>
                  <w:vAlign w:val="center"/>
                </w:tcPr>
                <w:p w14:paraId="0DF861A6">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eastAsia"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sz w:val="21"/>
                      <w:szCs w:val="21"/>
                    </w:rPr>
                    <w:t>08:00~09:00</w:t>
                  </w:r>
                </w:p>
              </w:tc>
              <w:tc>
                <w:tcPr>
                  <w:tcW w:w="554" w:type="pct"/>
                  <w:shd w:val="clear" w:color="auto" w:fill="auto"/>
                  <w:vAlign w:val="center"/>
                </w:tcPr>
                <w:p w14:paraId="709A77F6">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eastAsia"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sz w:val="21"/>
                      <w:szCs w:val="21"/>
                    </w:rPr>
                    <w:t>14:00~15:00</w:t>
                  </w:r>
                </w:p>
              </w:tc>
              <w:tc>
                <w:tcPr>
                  <w:tcW w:w="755" w:type="pct"/>
                  <w:shd w:val="clear" w:color="auto" w:fill="auto"/>
                  <w:vAlign w:val="center"/>
                </w:tcPr>
                <w:p w14:paraId="15BB00BF">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eastAsia" w:ascii="Times New Roman" w:hAnsi="Times New Roman" w:cs="Times New Roman" w:eastAsiaTheme="minorEastAsia"/>
                      <w:b/>
                      <w:bCs/>
                      <w:color w:val="auto"/>
                      <w:kern w:val="0"/>
                      <w:sz w:val="21"/>
                      <w:szCs w:val="21"/>
                      <w:lang w:val="en-US" w:eastAsia="zh-CN" w:bidi="ar-SA"/>
                    </w:rPr>
                  </w:pPr>
                  <w:r>
                    <w:rPr>
                      <w:rFonts w:hint="default" w:ascii="Times New Roman" w:hAnsi="Times New Roman" w:cs="Times New Roman" w:eastAsiaTheme="minorEastAsia"/>
                      <w:b/>
                      <w:bCs/>
                      <w:color w:val="auto"/>
                      <w:sz w:val="21"/>
                      <w:szCs w:val="21"/>
                    </w:rPr>
                    <w:t>20:00~21:00</w:t>
                  </w:r>
                </w:p>
              </w:tc>
              <w:tc>
                <w:tcPr>
                  <w:tcW w:w="411" w:type="pct"/>
                  <w:vMerge w:val="continue"/>
                  <w:vAlign w:val="center"/>
                </w:tcPr>
                <w:p w14:paraId="26C28067">
                  <w:pPr>
                    <w:keepNext w:val="0"/>
                    <w:keepLines w:val="0"/>
                    <w:pageBreakBefore w:val="0"/>
                    <w:widowControl w:val="0"/>
                    <w:kinsoku/>
                    <w:wordWrap/>
                    <w:overflowPunct/>
                    <w:topLinePunct w:val="0"/>
                    <w:bidi w:val="0"/>
                    <w:adjustRightInd/>
                    <w:snapToGrid/>
                    <w:spacing w:line="240" w:lineRule="auto"/>
                    <w:ind w:firstLine="0" w:firstLineChars="0"/>
                    <w:jc w:val="center"/>
                    <w:rPr>
                      <w:rFonts w:hint="eastAsia" w:cs="Times New Roman" w:eastAsiaTheme="minorEastAsia"/>
                      <w:color w:val="auto"/>
                      <w:sz w:val="21"/>
                      <w:szCs w:val="21"/>
                      <w:lang w:val="en-US" w:eastAsia="zh-CN"/>
                    </w:rPr>
                  </w:pPr>
                </w:p>
              </w:tc>
              <w:tc>
                <w:tcPr>
                  <w:tcW w:w="449" w:type="pct"/>
                  <w:vMerge w:val="continue"/>
                  <w:vAlign w:val="center"/>
                </w:tcPr>
                <w:p w14:paraId="3639813D">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r>
            <w:tr w14:paraId="2C266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restart"/>
                  <w:vAlign w:val="center"/>
                </w:tcPr>
                <w:p w14:paraId="69C892E4">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项目区下风向</w:t>
                  </w:r>
                </w:p>
              </w:tc>
              <w:tc>
                <w:tcPr>
                  <w:tcW w:w="487" w:type="pct"/>
                  <w:vMerge w:val="restart"/>
                  <w:vAlign w:val="center"/>
                </w:tcPr>
                <w:p w14:paraId="25D2B795">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氮氧化物</w:t>
                  </w:r>
                </w:p>
              </w:tc>
              <w:tc>
                <w:tcPr>
                  <w:tcW w:w="697" w:type="pct"/>
                  <w:shd w:val="clear" w:color="auto" w:fill="auto"/>
                  <w:vAlign w:val="center"/>
                </w:tcPr>
                <w:p w14:paraId="12530104">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2023.7.5</w:t>
                  </w:r>
                </w:p>
              </w:tc>
              <w:tc>
                <w:tcPr>
                  <w:tcW w:w="564" w:type="pct"/>
                  <w:vAlign w:val="center"/>
                </w:tcPr>
                <w:p w14:paraId="6EB05046">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11</w:t>
                  </w:r>
                </w:p>
              </w:tc>
              <w:tc>
                <w:tcPr>
                  <w:tcW w:w="583" w:type="pct"/>
                  <w:vAlign w:val="center"/>
                </w:tcPr>
                <w:p w14:paraId="1617FB32">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554" w:type="pct"/>
                  <w:vAlign w:val="center"/>
                </w:tcPr>
                <w:p w14:paraId="5E236932">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13</w:t>
                  </w:r>
                </w:p>
              </w:tc>
              <w:tc>
                <w:tcPr>
                  <w:tcW w:w="755" w:type="pct"/>
                  <w:vAlign w:val="center"/>
                </w:tcPr>
                <w:p w14:paraId="2CDBDCD8">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w:t>
                  </w:r>
                </w:p>
              </w:tc>
              <w:tc>
                <w:tcPr>
                  <w:tcW w:w="411" w:type="pct"/>
                  <w:vMerge w:val="restart"/>
                  <w:vAlign w:val="center"/>
                </w:tcPr>
                <w:p w14:paraId="3CA6DEEF">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250</w:t>
                  </w:r>
                </w:p>
              </w:tc>
              <w:tc>
                <w:tcPr>
                  <w:tcW w:w="449" w:type="pct"/>
                  <w:vAlign w:val="center"/>
                </w:tcPr>
                <w:p w14:paraId="3C8FB9BA">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14:paraId="49DA4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continue"/>
                  <w:vAlign w:val="center"/>
                </w:tcPr>
                <w:p w14:paraId="78AC2653">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87" w:type="pct"/>
                  <w:vMerge w:val="continue"/>
                  <w:vAlign w:val="center"/>
                </w:tcPr>
                <w:p w14:paraId="56355C3F">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697" w:type="pct"/>
                  <w:shd w:val="clear" w:color="auto" w:fill="auto"/>
                  <w:vAlign w:val="center"/>
                </w:tcPr>
                <w:p w14:paraId="64F6494A">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2023.7.6</w:t>
                  </w:r>
                </w:p>
              </w:tc>
              <w:tc>
                <w:tcPr>
                  <w:tcW w:w="564" w:type="pct"/>
                  <w:vAlign w:val="center"/>
                </w:tcPr>
                <w:p w14:paraId="67EDC8A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17</w:t>
                  </w:r>
                </w:p>
              </w:tc>
              <w:tc>
                <w:tcPr>
                  <w:tcW w:w="583" w:type="pct"/>
                  <w:vAlign w:val="center"/>
                </w:tcPr>
                <w:p w14:paraId="0CC2FC20">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18</w:t>
                  </w:r>
                </w:p>
              </w:tc>
              <w:tc>
                <w:tcPr>
                  <w:tcW w:w="554" w:type="pct"/>
                  <w:vAlign w:val="center"/>
                </w:tcPr>
                <w:p w14:paraId="15C08DEC">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16</w:t>
                  </w:r>
                </w:p>
              </w:tc>
              <w:tc>
                <w:tcPr>
                  <w:tcW w:w="755" w:type="pct"/>
                  <w:vAlign w:val="center"/>
                </w:tcPr>
                <w:p w14:paraId="286A0059">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411" w:type="pct"/>
                  <w:vMerge w:val="continue"/>
                  <w:vAlign w:val="center"/>
                </w:tcPr>
                <w:p w14:paraId="0B09FCA1">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49" w:type="pct"/>
                  <w:vAlign w:val="center"/>
                </w:tcPr>
                <w:p w14:paraId="7491FA93">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14:paraId="3D12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continue"/>
                  <w:vAlign w:val="center"/>
                </w:tcPr>
                <w:p w14:paraId="6AAF9F26">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87" w:type="pct"/>
                  <w:vMerge w:val="continue"/>
                  <w:vAlign w:val="center"/>
                </w:tcPr>
                <w:p w14:paraId="4DFFB2B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697" w:type="pct"/>
                  <w:shd w:val="clear" w:color="auto" w:fill="auto"/>
                  <w:vAlign w:val="center"/>
                </w:tcPr>
                <w:p w14:paraId="6E36B199">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sz w:val="21"/>
                      <w:szCs w:val="21"/>
                    </w:rPr>
                    <w:t>2023.7.7</w:t>
                  </w:r>
                </w:p>
              </w:tc>
              <w:tc>
                <w:tcPr>
                  <w:tcW w:w="564" w:type="pct"/>
                  <w:vAlign w:val="center"/>
                </w:tcPr>
                <w:p w14:paraId="7B1862B3">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11</w:t>
                  </w:r>
                </w:p>
              </w:tc>
              <w:tc>
                <w:tcPr>
                  <w:tcW w:w="583" w:type="pct"/>
                  <w:vAlign w:val="center"/>
                </w:tcPr>
                <w:p w14:paraId="174A092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16</w:t>
                  </w:r>
                </w:p>
              </w:tc>
              <w:tc>
                <w:tcPr>
                  <w:tcW w:w="554" w:type="pct"/>
                  <w:vAlign w:val="center"/>
                </w:tcPr>
                <w:p w14:paraId="2D186950">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14</w:t>
                  </w:r>
                </w:p>
              </w:tc>
              <w:tc>
                <w:tcPr>
                  <w:tcW w:w="755" w:type="pct"/>
                  <w:vAlign w:val="center"/>
                </w:tcPr>
                <w:p w14:paraId="77CCCEEA">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15</w:t>
                  </w:r>
                </w:p>
              </w:tc>
              <w:tc>
                <w:tcPr>
                  <w:tcW w:w="411" w:type="pct"/>
                  <w:vMerge w:val="continue"/>
                  <w:vAlign w:val="center"/>
                </w:tcPr>
                <w:p w14:paraId="3072DCAB">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49" w:type="pct"/>
                  <w:vAlign w:val="center"/>
                </w:tcPr>
                <w:p w14:paraId="1EC3D0C1">
                  <w:pPr>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14:paraId="7B46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97" w:type="pct"/>
                  <w:vAlign w:val="center"/>
                </w:tcPr>
                <w:p w14:paraId="00765AD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监测点位</w:t>
                  </w:r>
                </w:p>
              </w:tc>
              <w:tc>
                <w:tcPr>
                  <w:tcW w:w="487" w:type="pct"/>
                  <w:vAlign w:val="center"/>
                </w:tcPr>
                <w:p w14:paraId="4C1A34A4">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检测项目</w:t>
                  </w:r>
                </w:p>
              </w:tc>
              <w:tc>
                <w:tcPr>
                  <w:tcW w:w="2399" w:type="pct"/>
                  <w:gridSpan w:val="4"/>
                  <w:vAlign w:val="center"/>
                </w:tcPr>
                <w:p w14:paraId="0984B474">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监测日期/时段</w:t>
                  </w:r>
                </w:p>
              </w:tc>
              <w:tc>
                <w:tcPr>
                  <w:tcW w:w="755" w:type="pct"/>
                  <w:shd w:val="clear" w:color="auto" w:fill="auto"/>
                  <w:vAlign w:val="center"/>
                </w:tcPr>
                <w:p w14:paraId="525B6033">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检测结果（μg/m³）</w:t>
                  </w:r>
                </w:p>
              </w:tc>
              <w:tc>
                <w:tcPr>
                  <w:tcW w:w="411" w:type="pct"/>
                  <w:shd w:val="clear" w:color="auto" w:fill="auto"/>
                  <w:vAlign w:val="center"/>
                </w:tcPr>
                <w:p w14:paraId="1945A5D2">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标准限值</w:t>
                  </w:r>
                </w:p>
              </w:tc>
              <w:tc>
                <w:tcPr>
                  <w:tcW w:w="449" w:type="pct"/>
                  <w:shd w:val="clear" w:color="auto" w:fill="auto"/>
                  <w:vAlign w:val="center"/>
                </w:tcPr>
                <w:p w14:paraId="1684DFCB">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rPr>
                    <w:t>达标情况</w:t>
                  </w:r>
                </w:p>
              </w:tc>
            </w:tr>
            <w:tr w14:paraId="2DA9D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restart"/>
                  <w:shd w:val="clear" w:color="auto" w:fill="auto"/>
                  <w:vAlign w:val="center"/>
                </w:tcPr>
                <w:p w14:paraId="413D78B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项目区下风向</w:t>
                  </w:r>
                </w:p>
              </w:tc>
              <w:tc>
                <w:tcPr>
                  <w:tcW w:w="487" w:type="pct"/>
                  <w:vMerge w:val="restart"/>
                  <w:shd w:val="clear" w:color="auto" w:fill="auto"/>
                  <w:vAlign w:val="center"/>
                </w:tcPr>
                <w:p w14:paraId="61B638AA">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TSP</w:t>
                  </w:r>
                </w:p>
              </w:tc>
              <w:tc>
                <w:tcPr>
                  <w:tcW w:w="1261" w:type="pct"/>
                  <w:gridSpan w:val="2"/>
                  <w:shd w:val="clear" w:color="auto" w:fill="auto"/>
                  <w:vAlign w:val="center"/>
                </w:tcPr>
                <w:p w14:paraId="18F6781B">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2023.7.5~2023.7.6</w:t>
                  </w:r>
                </w:p>
              </w:tc>
              <w:tc>
                <w:tcPr>
                  <w:tcW w:w="1137" w:type="pct"/>
                  <w:gridSpan w:val="2"/>
                  <w:shd w:val="clear" w:color="auto" w:fill="auto"/>
                  <w:vAlign w:val="center"/>
                </w:tcPr>
                <w:p w14:paraId="691F2AB2">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08:00~次日08:00</w:t>
                  </w:r>
                </w:p>
              </w:tc>
              <w:tc>
                <w:tcPr>
                  <w:tcW w:w="755" w:type="pct"/>
                  <w:shd w:val="clear" w:color="auto" w:fill="auto"/>
                  <w:vAlign w:val="center"/>
                </w:tcPr>
                <w:p w14:paraId="09CC9E75">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128</w:t>
                  </w:r>
                </w:p>
              </w:tc>
              <w:tc>
                <w:tcPr>
                  <w:tcW w:w="411" w:type="pct"/>
                  <w:vMerge w:val="restart"/>
                  <w:shd w:val="clear" w:color="auto" w:fill="auto"/>
                  <w:vAlign w:val="center"/>
                </w:tcPr>
                <w:p w14:paraId="7DE84328">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300</w:t>
                  </w:r>
                </w:p>
              </w:tc>
              <w:tc>
                <w:tcPr>
                  <w:tcW w:w="449" w:type="pct"/>
                  <w:shd w:val="clear" w:color="auto" w:fill="auto"/>
                  <w:vAlign w:val="center"/>
                </w:tcPr>
                <w:p w14:paraId="6FC74238">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达标</w:t>
                  </w:r>
                </w:p>
              </w:tc>
            </w:tr>
            <w:tr w14:paraId="1B072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continue"/>
                  <w:vAlign w:val="center"/>
                </w:tcPr>
                <w:p w14:paraId="287638A1">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87" w:type="pct"/>
                  <w:vMerge w:val="continue"/>
                  <w:vAlign w:val="center"/>
                </w:tcPr>
                <w:p w14:paraId="29A26667">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1261" w:type="pct"/>
                  <w:gridSpan w:val="2"/>
                  <w:shd w:val="clear" w:color="auto" w:fill="auto"/>
                  <w:vAlign w:val="center"/>
                </w:tcPr>
                <w:p w14:paraId="62BF1D8D">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2023.7.6~2023.7.7</w:t>
                  </w:r>
                </w:p>
              </w:tc>
              <w:tc>
                <w:tcPr>
                  <w:tcW w:w="1137" w:type="pct"/>
                  <w:gridSpan w:val="2"/>
                  <w:shd w:val="clear" w:color="auto" w:fill="auto"/>
                  <w:vAlign w:val="center"/>
                </w:tcPr>
                <w:p w14:paraId="52FAF5EB">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08:00~次日08:00</w:t>
                  </w:r>
                </w:p>
              </w:tc>
              <w:tc>
                <w:tcPr>
                  <w:tcW w:w="755" w:type="pct"/>
                  <w:shd w:val="clear" w:color="auto" w:fill="auto"/>
                  <w:vAlign w:val="center"/>
                </w:tcPr>
                <w:p w14:paraId="48BED4A0">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96</w:t>
                  </w:r>
                </w:p>
              </w:tc>
              <w:tc>
                <w:tcPr>
                  <w:tcW w:w="411" w:type="pct"/>
                  <w:vMerge w:val="continue"/>
                  <w:vAlign w:val="center"/>
                </w:tcPr>
                <w:p w14:paraId="3952486B">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49" w:type="pct"/>
                  <w:vAlign w:val="center"/>
                </w:tcPr>
                <w:p w14:paraId="240ED42C">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r w14:paraId="0D7E0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97" w:type="pct"/>
                  <w:vMerge w:val="continue"/>
                  <w:vAlign w:val="center"/>
                </w:tcPr>
                <w:p w14:paraId="6518069D">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87" w:type="pct"/>
                  <w:vMerge w:val="continue"/>
                  <w:vAlign w:val="center"/>
                </w:tcPr>
                <w:p w14:paraId="2B2C0BB4">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p>
              </w:tc>
              <w:tc>
                <w:tcPr>
                  <w:tcW w:w="1261" w:type="pct"/>
                  <w:gridSpan w:val="2"/>
                  <w:shd w:val="clear" w:color="auto" w:fill="auto"/>
                  <w:vAlign w:val="center"/>
                </w:tcPr>
                <w:p w14:paraId="333B0B91">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2023.7.7~2023.7.8</w:t>
                  </w:r>
                </w:p>
              </w:tc>
              <w:tc>
                <w:tcPr>
                  <w:tcW w:w="1137" w:type="pct"/>
                  <w:gridSpan w:val="2"/>
                  <w:shd w:val="clear" w:color="auto" w:fill="auto"/>
                  <w:vAlign w:val="center"/>
                </w:tcPr>
                <w:p w14:paraId="0D8F04CD">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08:00~次日08:00</w:t>
                  </w:r>
                </w:p>
              </w:tc>
              <w:tc>
                <w:tcPr>
                  <w:tcW w:w="755" w:type="pct"/>
                  <w:shd w:val="clear" w:color="auto" w:fill="auto"/>
                  <w:vAlign w:val="center"/>
                </w:tcPr>
                <w:p w14:paraId="6CA96989">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114</w:t>
                  </w:r>
                </w:p>
              </w:tc>
              <w:tc>
                <w:tcPr>
                  <w:tcW w:w="411" w:type="pct"/>
                  <w:vMerge w:val="continue"/>
                  <w:vAlign w:val="center"/>
                </w:tcPr>
                <w:p w14:paraId="10972BC1">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p>
              </w:tc>
              <w:tc>
                <w:tcPr>
                  <w:tcW w:w="449" w:type="pct"/>
                  <w:vAlign w:val="center"/>
                </w:tcPr>
                <w:p w14:paraId="34465B82">
                  <w:pPr>
                    <w:pStyle w:val="107"/>
                    <w:keepNext w:val="0"/>
                    <w:keepLines w:val="0"/>
                    <w:pageBreakBefore w:val="0"/>
                    <w:widowControl w:val="0"/>
                    <w:kinsoku/>
                    <w:wordWrap/>
                    <w:overflowPunct/>
                    <w:topLinePunct w:val="0"/>
                    <w:bidi w:val="0"/>
                    <w:adjustRightInd/>
                    <w:snapToGrid/>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r>
          </w:tbl>
          <w:p w14:paraId="51749587">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auto"/>
                <w:kern w:val="2"/>
                <w:sz w:val="24"/>
                <w:szCs w:val="20"/>
                <w:lang w:val="en-US" w:eastAsia="zh-CN" w:bidi="ar-SA"/>
              </w:rPr>
            </w:pPr>
            <w:r>
              <w:rPr>
                <w:rFonts w:hint="eastAsia" w:ascii="Times New Roman" w:hAnsi="Times New Roman" w:cs="Times New Roman" w:eastAsiaTheme="minorEastAsia"/>
                <w:color w:val="auto"/>
                <w:kern w:val="2"/>
                <w:sz w:val="24"/>
                <w:szCs w:val="20"/>
                <w:lang w:val="en-US" w:eastAsia="zh-CN" w:bidi="ar-SA"/>
              </w:rPr>
              <w:t>由表3-3可知，</w:t>
            </w:r>
            <w:r>
              <w:rPr>
                <w:rFonts w:hint="default" w:ascii="Times New Roman" w:hAnsi="Times New Roman" w:cs="Times New Roman" w:eastAsiaTheme="minorEastAsia"/>
                <w:color w:val="auto"/>
                <w:kern w:val="2"/>
                <w:sz w:val="24"/>
                <w:szCs w:val="20"/>
                <w:lang w:val="en-US" w:eastAsia="zh-CN" w:bidi="ar-SA"/>
              </w:rPr>
              <w:t>项目区下风</w:t>
            </w:r>
            <w:r>
              <w:rPr>
                <w:rFonts w:hint="eastAsia" w:ascii="Times New Roman" w:hAnsi="Times New Roman" w:cs="Times New Roman" w:eastAsiaTheme="minorEastAsia"/>
                <w:color w:val="auto"/>
                <w:kern w:val="2"/>
                <w:sz w:val="24"/>
                <w:szCs w:val="20"/>
                <w:lang w:val="en-US" w:eastAsia="zh-CN" w:bidi="ar-SA"/>
              </w:rPr>
              <w:t>向</w:t>
            </w:r>
            <w:r>
              <w:rPr>
                <w:rFonts w:hint="default" w:ascii="Times New Roman" w:hAnsi="Times New Roman" w:cs="Times New Roman" w:eastAsiaTheme="minorEastAsia"/>
                <w:color w:val="auto"/>
                <w:kern w:val="2"/>
                <w:sz w:val="24"/>
                <w:szCs w:val="20"/>
                <w:lang w:val="en-US" w:eastAsia="zh-CN" w:bidi="ar-SA"/>
              </w:rPr>
              <w:t>监测</w:t>
            </w:r>
            <w:r>
              <w:rPr>
                <w:rFonts w:hint="eastAsia" w:ascii="Times New Roman" w:hAnsi="Times New Roman" w:cs="Times New Roman" w:eastAsiaTheme="minorEastAsia"/>
                <w:color w:val="auto"/>
                <w:kern w:val="2"/>
                <w:sz w:val="24"/>
                <w:szCs w:val="20"/>
                <w:lang w:val="en-US" w:eastAsia="zh-CN" w:bidi="ar-SA"/>
              </w:rPr>
              <w:t>点位</w:t>
            </w:r>
            <w:r>
              <w:rPr>
                <w:rFonts w:hint="default" w:ascii="Times New Roman" w:hAnsi="Times New Roman" w:cs="Times New Roman" w:eastAsiaTheme="minorEastAsia"/>
                <w:color w:val="auto"/>
                <w:kern w:val="2"/>
                <w:sz w:val="24"/>
                <w:szCs w:val="20"/>
                <w:lang w:val="en-US" w:eastAsia="zh-CN" w:bidi="ar-SA"/>
              </w:rPr>
              <w:t>非甲烷总烃小时值均能满足中国环境科学出版社出版的国家环境保护局科技标准司的《大气污染物综合排放标准详解》中浓度限值</w:t>
            </w:r>
            <w:r>
              <w:rPr>
                <w:rFonts w:hint="eastAsia" w:ascii="Times New Roman" w:hAnsi="Times New Roman" w:cs="Times New Roman" w:eastAsiaTheme="minorEastAsia"/>
                <w:color w:val="auto"/>
                <w:kern w:val="2"/>
                <w:sz w:val="24"/>
                <w:szCs w:val="20"/>
                <w:lang w:val="en-US" w:eastAsia="zh-CN" w:bidi="ar-SA"/>
              </w:rPr>
              <w:t>，</w:t>
            </w:r>
            <w:r>
              <w:rPr>
                <w:rFonts w:hint="eastAsia" w:cs="Times New Roman" w:eastAsiaTheme="minorEastAsia"/>
                <w:color w:val="auto"/>
                <w:kern w:val="2"/>
                <w:sz w:val="24"/>
                <w:szCs w:val="20"/>
                <w:lang w:val="en-US" w:eastAsia="zh-CN" w:bidi="ar-SA"/>
              </w:rPr>
              <w:t>氮氧化物小时值和</w:t>
            </w:r>
            <w:r>
              <w:rPr>
                <w:rFonts w:hint="default" w:ascii="Times New Roman" w:hAnsi="Times New Roman" w:cs="Times New Roman" w:eastAsiaTheme="minorEastAsia"/>
                <w:color w:val="auto"/>
                <w:kern w:val="2"/>
                <w:sz w:val="24"/>
                <w:szCs w:val="20"/>
                <w:lang w:val="en-US" w:eastAsia="zh-CN" w:bidi="ar-SA"/>
              </w:rPr>
              <w:t>TSP日均值浓度能够达到《环境空气质量标准》（GB3095-2012）二级评价标准要求</w:t>
            </w:r>
            <w:r>
              <w:rPr>
                <w:rFonts w:hint="eastAsia" w:ascii="Times New Roman" w:hAnsi="Times New Roman" w:cs="Times New Roman" w:eastAsiaTheme="minorEastAsia"/>
                <w:color w:val="auto"/>
                <w:kern w:val="2"/>
                <w:sz w:val="24"/>
                <w:szCs w:val="20"/>
                <w:lang w:val="en-US" w:eastAsia="zh-CN" w:bidi="ar-SA"/>
              </w:rPr>
              <w:t>，</w:t>
            </w:r>
            <w:r>
              <w:rPr>
                <w:rFonts w:hint="default" w:ascii="Times New Roman" w:hAnsi="Times New Roman" w:cs="Times New Roman" w:eastAsiaTheme="minorEastAsia"/>
                <w:color w:val="auto"/>
                <w:kern w:val="2"/>
                <w:sz w:val="24"/>
                <w:szCs w:val="20"/>
                <w:lang w:val="en-US" w:eastAsia="zh-CN" w:bidi="ar-SA"/>
              </w:rPr>
              <w:t>项目区环境空气质量满足功能区要求。</w:t>
            </w:r>
          </w:p>
          <w:p w14:paraId="633DE62A">
            <w:pPr>
              <w:pStyle w:val="15"/>
              <w:keepNext w:val="0"/>
              <w:keepLines w:val="0"/>
              <w:pageBreakBefore w:val="0"/>
              <w:widowControl/>
              <w:kinsoku/>
              <w:wordWrap w:val="0"/>
              <w:overflowPunct/>
              <w:topLinePunct w:val="0"/>
              <w:autoSpaceDE/>
              <w:autoSpaceDN/>
              <w:bidi w:val="0"/>
              <w:adjustRightInd/>
              <w:snapToGrid/>
              <w:spacing w:line="360" w:lineRule="auto"/>
              <w:ind w:right="0" w:firstLine="482" w:firstLineChars="200"/>
              <w:jc w:val="left"/>
              <w:textAlignment w:val="auto"/>
              <w:rPr>
                <w:rFonts w:hint="default" w:ascii="Times New Roman" w:hAnsi="Times New Roman" w:cs="Times New Roman" w:eastAsiaTheme="minorEastAsia"/>
                <w:b/>
                <w:bCs/>
                <w:i w:val="0"/>
                <w:color w:val="auto"/>
                <w:kern w:val="2"/>
                <w:sz w:val="24"/>
                <w:szCs w:val="24"/>
                <w:lang w:val="en-US" w:eastAsia="zh-CN" w:bidi="ar-SA"/>
              </w:rPr>
            </w:pPr>
            <w:r>
              <w:rPr>
                <w:rFonts w:hint="default" w:ascii="Times New Roman" w:hAnsi="Times New Roman" w:cs="Times New Roman" w:eastAsiaTheme="minorEastAsia"/>
                <w:b/>
                <w:bCs/>
                <w:i w:val="0"/>
                <w:color w:val="auto"/>
                <w:kern w:val="2"/>
                <w:sz w:val="24"/>
                <w:szCs w:val="24"/>
                <w:lang w:val="en-US" w:eastAsia="zh-CN" w:bidi="ar-SA"/>
              </w:rPr>
              <w:t>（4）其他特征污染物（苯乙烯、臭气浓度、甲苯、乙苯）</w:t>
            </w:r>
          </w:p>
          <w:p w14:paraId="77DD2F3B">
            <w:pPr>
              <w:pStyle w:val="21"/>
              <w:keepNext w:val="0"/>
              <w:keepLines w:val="0"/>
              <w:pageBreakBefore w:val="0"/>
              <w:widowControl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eastAsiaTheme="minorEastAsia"/>
                <w:color w:val="auto"/>
                <w:sz w:val="24"/>
              </w:rPr>
              <w:t>参考生态环境部工程评估中心在全国环评技术评估服务咨询平台（http://iconsult-eia.china-eia.com/index?aimModule=searching_detail&amp;fromHome=1&amp;infoId=2194）相关回复，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制药建设项目》（HJ611-2011）、《大气污染物综合排放标准详解》等导则或参考资料。本项目特征因子苯乙烯、</w:t>
            </w:r>
            <w:r>
              <w:rPr>
                <w:rFonts w:hint="default" w:ascii="Times New Roman" w:hAnsi="Times New Roman" w:cs="Times New Roman" w:eastAsiaTheme="minorEastAsia"/>
                <w:bCs/>
                <w:color w:val="auto"/>
                <w:spacing w:val="-10"/>
                <w:sz w:val="24"/>
              </w:rPr>
              <w:t>臭气浓度</w:t>
            </w:r>
            <w:r>
              <w:rPr>
                <w:rFonts w:hint="default" w:ascii="Times New Roman" w:hAnsi="Times New Roman" w:cs="Times New Roman" w:eastAsiaTheme="minorEastAsia"/>
                <w:bCs/>
                <w:color w:val="auto"/>
                <w:spacing w:val="-10"/>
                <w:sz w:val="24"/>
                <w:lang w:eastAsia="zh-CN"/>
              </w:rPr>
              <w:t>、</w:t>
            </w:r>
            <w:r>
              <w:rPr>
                <w:rFonts w:hint="default" w:ascii="Times New Roman" w:hAnsi="Times New Roman" w:cs="Times New Roman" w:eastAsiaTheme="minorEastAsia"/>
                <w:bCs/>
                <w:color w:val="auto"/>
                <w:spacing w:val="-10"/>
                <w:sz w:val="24"/>
                <w:lang w:val="en-US" w:eastAsia="zh-CN"/>
              </w:rPr>
              <w:t>甲苯、乙苯</w:t>
            </w:r>
            <w:r>
              <w:rPr>
                <w:rFonts w:hint="default" w:ascii="Times New Roman" w:hAnsi="Times New Roman" w:cs="Times New Roman" w:eastAsiaTheme="minorEastAsia"/>
                <w:color w:val="auto"/>
                <w:sz w:val="24"/>
              </w:rPr>
              <w:t>不属于《环境空气质量标准》（GB3095-2012）中所列项目，云南省亦无地方环境空气质量标准，因</w:t>
            </w:r>
            <w:r>
              <w:rPr>
                <w:rFonts w:hint="default" w:ascii="Times New Roman" w:hAnsi="Times New Roman" w:eastAsia="宋体" w:cs="Times New Roman"/>
                <w:color w:val="auto"/>
                <w:kern w:val="2"/>
                <w:sz w:val="24"/>
                <w:szCs w:val="24"/>
                <w:lang w:val="en-US" w:eastAsia="zh-CN" w:bidi="ar-SA"/>
              </w:rPr>
              <w:t>此未进行苯乙烯、臭气浓度、甲苯、乙苯环境质量现状检测。</w:t>
            </w:r>
          </w:p>
          <w:p w14:paraId="6DE235F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2"/>
                <w:sz w:val="24"/>
                <w:szCs w:val="24"/>
                <w:lang w:val="en-US" w:eastAsia="zh-CN" w:bidi="ar-SA"/>
              </w:rPr>
              <w:t>引用点位与本项目距离关系详见下图3-1。</w:t>
            </w:r>
            <w:r>
              <w:rPr>
                <w:color w:val="auto"/>
                <w:sz w:val="28"/>
              </w:rPr>
              <mc:AlternateContent>
                <mc:Choice Requires="wps">
                  <w:drawing>
                    <wp:anchor distT="0" distB="0" distL="114300" distR="114300" simplePos="0" relativeHeight="251668480" behindDoc="0" locked="0" layoutInCell="1" allowOverlap="1">
                      <wp:simplePos x="0" y="0"/>
                      <wp:positionH relativeFrom="column">
                        <wp:posOffset>3162300</wp:posOffset>
                      </wp:positionH>
                      <wp:positionV relativeFrom="paragraph">
                        <wp:posOffset>600075</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E8148">
                                  <w:pPr>
                                    <w:ind w:left="0" w:leftChars="0" w:firstLine="0" w:firstLineChars="0"/>
                                    <w:rPr>
                                      <w:rFonts w:hint="default" w:eastAsia="宋体"/>
                                      <w:b/>
                                      <w:bCs/>
                                      <w:color w:val="FF0000"/>
                                      <w:sz w:val="21"/>
                                      <w:szCs w:val="21"/>
                                      <w:lang w:val="en-US" w:eastAsia="zh-CN"/>
                                      <w14:shadow w14:blurRad="38100" w14:dist="19050" w14:dir="2700000" w14:sx="100000" w14:sy="100000" w14:kx="0" w14:ky="0" w14:algn="tl">
                                        <w14:schemeClr w14:val="dk1">
                                          <w14:alpha w14:val="60000"/>
                                        </w14:schemeClr>
                                      </w14:shadow>
                                    </w:rPr>
                                  </w:pPr>
                                  <w:r>
                                    <w:rPr>
                                      <w:rFonts w:hint="eastAsia"/>
                                      <w:b/>
                                      <w:bCs/>
                                      <w:color w:val="FF0000"/>
                                      <w:sz w:val="21"/>
                                      <w:szCs w:val="21"/>
                                      <w:lang w:val="en-US" w:eastAsia="zh-CN"/>
                                      <w14:shadow w14:blurRad="38100" w14:dist="19050" w14:dir="2700000" w14:sx="100000" w14:sy="100000" w14:kx="0" w14:ky="0" w14:algn="tl">
                                        <w14:schemeClr w14:val="dk1">
                                          <w14:alpha w14:val="60000"/>
                                        </w14:schemeClr>
                                      </w14:shadow>
                                    </w:rPr>
                                    <w:t>60m</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49pt;margin-top:47.25pt;height:144pt;width:144pt;mso-wrap-style:none;z-index:251668480;mso-width-relative:page;mso-height-relative:page;" filled="f" stroked="f" coordsize="21600,21600" o:gfxdata="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L1q6PZAAAACgEAAA8AAAAAAAAAAQAgAAAAIgAAAGRycy9kb3du&#10;cmV2LnhtbFBLAQIUABQAAAAIAIdO4kBSGMMUNwIAAGcEAAAOAAAAAAAAAAEAIAAAACgBAABkcnMv&#10;ZTJvRG9jLnhtbFBLBQYAAAAABgAGAFkBAADRBQAAAAA=&#10;">
                      <v:fill on="f" focussize="0,0"/>
                      <v:stroke on="f" weight="0.5pt"/>
                      <v:imagedata o:title=""/>
                      <o:lock v:ext="edit" aspectratio="f"/>
                      <v:textbox style="mso-fit-shape-to-text:t;">
                        <w:txbxContent>
                          <w:p w14:paraId="364E8148">
                            <w:pPr>
                              <w:ind w:left="0" w:leftChars="0" w:firstLine="0" w:firstLineChars="0"/>
                              <w:rPr>
                                <w:rFonts w:hint="default" w:eastAsia="宋体"/>
                                <w:b/>
                                <w:bCs/>
                                <w:color w:val="FF0000"/>
                                <w:sz w:val="21"/>
                                <w:szCs w:val="21"/>
                                <w:lang w:val="en-US" w:eastAsia="zh-CN"/>
                                <w14:shadow w14:blurRad="38100" w14:dist="19050" w14:dir="2700000" w14:sx="100000" w14:sy="100000" w14:kx="0" w14:ky="0" w14:algn="tl">
                                  <w14:schemeClr w14:val="dk1">
                                    <w14:alpha w14:val="60000"/>
                                  </w14:schemeClr>
                                </w14:shadow>
                              </w:rPr>
                            </w:pPr>
                            <w:r>
                              <w:rPr>
                                <w:rFonts w:hint="eastAsia"/>
                                <w:b/>
                                <w:bCs/>
                                <w:color w:val="FF0000"/>
                                <w:sz w:val="21"/>
                                <w:szCs w:val="21"/>
                                <w:lang w:val="en-US" w:eastAsia="zh-CN"/>
                                <w14:shadow w14:blurRad="38100" w14:dist="19050" w14:dir="2700000" w14:sx="100000" w14:sy="100000" w14:kx="0" w14:ky="0" w14:algn="tl">
                                  <w14:schemeClr w14:val="dk1">
                                    <w14:alpha w14:val="60000"/>
                                  </w14:schemeClr>
                                </w14:shadow>
                              </w:rPr>
                              <w:t>60m</w:t>
                            </w:r>
                          </w:p>
                        </w:txbxContent>
                      </v:textbox>
                    </v:shape>
                  </w:pict>
                </mc:Fallback>
              </mc:AlternateContent>
            </w:r>
            <w:r>
              <w:rPr>
                <w:color w:val="auto"/>
                <w:sz w:val="28"/>
              </w:rPr>
              <mc:AlternateContent>
                <mc:Choice Requires="wps">
                  <w:drawing>
                    <wp:anchor distT="0" distB="0" distL="114300" distR="114300" simplePos="0" relativeHeight="251667456" behindDoc="0" locked="0" layoutInCell="1" allowOverlap="1">
                      <wp:simplePos x="0" y="0"/>
                      <wp:positionH relativeFrom="column">
                        <wp:posOffset>1507490</wp:posOffset>
                      </wp:positionH>
                      <wp:positionV relativeFrom="paragraph">
                        <wp:posOffset>652780</wp:posOffset>
                      </wp:positionV>
                      <wp:extent cx="1885950" cy="876300"/>
                      <wp:effectExtent l="5080" t="11430" r="13970" b="26670"/>
                      <wp:wrapNone/>
                      <wp:docPr id="25" name="直接连接符 25"/>
                      <wp:cNvGraphicFramePr/>
                      <a:graphic xmlns:a="http://schemas.openxmlformats.org/drawingml/2006/main">
                        <a:graphicData uri="http://schemas.microsoft.com/office/word/2010/wordprocessingShape">
                          <wps:wsp>
                            <wps:cNvCnPr/>
                            <wps:spPr>
                              <a:xfrm flipV="1">
                                <a:off x="2937510" y="1579880"/>
                                <a:ext cx="1885950" cy="876300"/>
                              </a:xfrm>
                              <a:prstGeom prst="line">
                                <a:avLst/>
                              </a:prstGeom>
                              <a:ln>
                                <a:solidFill>
                                  <a:srgbClr val="FFFF00"/>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18.7pt;margin-top:51.4pt;height:69pt;width:148.5pt;z-index:251667456;mso-width-relative:page;mso-height-relative:page;" filled="f" stroked="t" coordsize="21600,21600" o:gfxdata="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keAhnYAAAACwEAAA8AAAAAAAAAAQAgAAAAIgAAAGRycy9kb3ducmV2LnhtbFBLAQIU&#10;ABQAAAAIAIdO4kBs67+O8wEAALgDAAAOAAAAAAAAAAEAIAAAACcBAABkcnMvZTJvRG9jLnhtbFBL&#10;BQYAAAAABgAGAFkBAACMBQAAAAA=&#10;">
                      <v:fill on="f" focussize="0,0"/>
                      <v:stroke weight="2pt" color="#FFFF00 [3204]" joinstyle="round"/>
                      <v:imagedata o:title=""/>
                      <o:lock v:ext="edit" aspectratio="f"/>
                    </v:line>
                  </w:pict>
                </mc:Fallback>
              </mc:AlternateContent>
            </w:r>
            <w:r>
              <w:rPr>
                <w:color w:val="auto"/>
                <w:sz w:val="28"/>
              </w:rPr>
              <mc:AlternateContent>
                <mc:Choice Requires="wps">
                  <w:drawing>
                    <wp:anchor distT="0" distB="0" distL="114300" distR="114300" simplePos="0" relativeHeight="251664384" behindDoc="0" locked="0" layoutInCell="1" allowOverlap="1">
                      <wp:simplePos x="0" y="0"/>
                      <wp:positionH relativeFrom="column">
                        <wp:posOffset>3469640</wp:posOffset>
                      </wp:positionH>
                      <wp:positionV relativeFrom="paragraph">
                        <wp:posOffset>534035</wp:posOffset>
                      </wp:positionV>
                      <wp:extent cx="161925" cy="171450"/>
                      <wp:effectExtent l="12700" t="12700" r="15875" b="25400"/>
                      <wp:wrapNone/>
                      <wp:docPr id="18" name="同心圆 18"/>
                      <wp:cNvGraphicFramePr/>
                      <a:graphic xmlns:a="http://schemas.openxmlformats.org/drawingml/2006/main">
                        <a:graphicData uri="http://schemas.microsoft.com/office/word/2010/wordprocessingShape">
                          <wps:wsp>
                            <wps:cNvSpPr/>
                            <wps:spPr>
                              <a:xfrm>
                                <a:off x="4899660" y="1461135"/>
                                <a:ext cx="161925" cy="171450"/>
                              </a:xfrm>
                              <a:prstGeom prst="donut">
                                <a:avLst/>
                              </a:prstGeom>
                              <a:solidFill>
                                <a:srgbClr val="00B05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73.2pt;margin-top:42.05pt;height:13.5pt;width:12.75pt;z-index:251664384;v-text-anchor:middle;mso-width-relative:page;mso-height-relative:page;" fillcolor="#00B050" filled="t" stroked="t" coordsize="21600,21600" o:gfxdata="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GogxnWAAAACgEAAA8AAAAAAAAAAQAgAAAAIgAAAGRy&#10;cy9kb3ducmV2LnhtbFBLAQIUABQAAAAIAIdO4kAQHbRVeQIAAO4EAAAOAAAAAAAAAAEAIAAAACUB&#10;AABkcnMvZTJvRG9jLnhtbFBLBQYAAAAABgAGAFkBAAAQBgAAAAA=&#10;" adj="5400">
                      <v:fill on="t" focussize="0,0"/>
                      <v:stroke weight="2pt" color="#000000 [3213]" joinstyle="round"/>
                      <v:imagedata o:title=""/>
                      <o:lock v:ext="edit" aspectratio="f"/>
                    </v:shape>
                  </w:pict>
                </mc:Fallback>
              </mc:AlternateContent>
            </w:r>
          </w:p>
          <w:p w14:paraId="6CE284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lang w:val="en-US" w:eastAsia="zh-CN"/>
              </w:rPr>
            </w:pPr>
            <w:r>
              <w:rPr>
                <w:color w:val="auto"/>
                <w:sz w:val="28"/>
              </w:rPr>
              <mc:AlternateContent>
                <mc:Choice Requires="wps">
                  <w:drawing>
                    <wp:anchor distT="0" distB="0" distL="114300" distR="114300" simplePos="0" relativeHeight="251663360" behindDoc="0" locked="0" layoutInCell="1" allowOverlap="1">
                      <wp:simplePos x="0" y="0"/>
                      <wp:positionH relativeFrom="column">
                        <wp:posOffset>2964815</wp:posOffset>
                      </wp:positionH>
                      <wp:positionV relativeFrom="paragraph">
                        <wp:posOffset>684530</wp:posOffset>
                      </wp:positionV>
                      <wp:extent cx="810260" cy="351790"/>
                      <wp:effectExtent l="4445" t="4445" r="23495" b="5715"/>
                      <wp:wrapNone/>
                      <wp:docPr id="17" name="文本框 17"/>
                      <wp:cNvGraphicFramePr/>
                      <a:graphic xmlns:a="http://schemas.openxmlformats.org/drawingml/2006/main">
                        <a:graphicData uri="http://schemas.microsoft.com/office/word/2010/wordprocessingShape">
                          <wps:wsp>
                            <wps:cNvSpPr txBox="1"/>
                            <wps:spPr>
                              <a:xfrm>
                                <a:off x="3747135" y="2070735"/>
                                <a:ext cx="810260" cy="3517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371C56">
                                  <w:pPr>
                                    <w:ind w:left="0" w:leftChars="0" w:firstLine="0" w:firstLineChars="0"/>
                                    <w:rPr>
                                      <w:rFonts w:hint="default" w:eastAsia="宋体"/>
                                      <w:lang w:val="en-US" w:eastAsia="zh-CN"/>
                                    </w:rPr>
                                  </w:pPr>
                                  <w:r>
                                    <w:rPr>
                                      <w:rFonts w:hint="eastAsia"/>
                                      <w:lang w:val="en-US" w:eastAsia="zh-CN"/>
                                    </w:rPr>
                                    <w:t>欣欣塑料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45pt;margin-top:53.9pt;height:27.7pt;width:63.8pt;z-index:251663360;mso-width-relative:page;mso-height-relative:page;" fillcolor="#FFFFFF [3201]" filled="t" stroked="t" coordsize="21600,21600" o:gfxdata="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4o/wjXAAAACwEAAA8AAAAAAAAAAQAgAAAAIgAAAGRycy9kb3ducmV2LnhtbFBLAQIU&#10;ABQAAAAIAIdO4kAUGzPuZgIAAMQEAAAOAAAAAAAAAAEAIAAAACYBAABkcnMvZTJvRG9jLnhtbFBL&#10;BQYAAAAABgAGAFkBAAD+BQAAAAA=&#10;">
                      <v:fill on="t" focussize="0,0"/>
                      <v:stroke weight="0.5pt" color="#000000 [3204]" joinstyle="round"/>
                      <v:imagedata o:title=""/>
                      <o:lock v:ext="edit" aspectratio="f"/>
                      <v:textbox>
                        <w:txbxContent>
                          <w:p w14:paraId="55371C56">
                            <w:pPr>
                              <w:ind w:left="0" w:leftChars="0" w:firstLine="0" w:firstLineChars="0"/>
                              <w:rPr>
                                <w:rFonts w:hint="default" w:eastAsia="宋体"/>
                                <w:lang w:val="en-US" w:eastAsia="zh-CN"/>
                              </w:rPr>
                            </w:pPr>
                            <w:r>
                              <w:rPr>
                                <w:rFonts w:hint="eastAsia"/>
                                <w:lang w:val="en-US" w:eastAsia="zh-CN"/>
                              </w:rPr>
                              <w:t>欣欣塑料</w:t>
                            </w:r>
                          </w:p>
                        </w:txbxContent>
                      </v:textbox>
                    </v:shape>
                  </w:pict>
                </mc:Fallback>
              </mc:AlternateContent>
            </w:r>
            <w:r>
              <w:rPr>
                <w:color w:val="auto"/>
                <w:sz w:val="28"/>
              </w:rPr>
              <mc:AlternateContent>
                <mc:Choice Requires="wps">
                  <w:drawing>
                    <wp:anchor distT="0" distB="0" distL="114300" distR="114300" simplePos="0" relativeHeight="251662336" behindDoc="0" locked="0" layoutInCell="1" allowOverlap="1">
                      <wp:simplePos x="0" y="0"/>
                      <wp:positionH relativeFrom="column">
                        <wp:posOffset>1240790</wp:posOffset>
                      </wp:positionH>
                      <wp:positionV relativeFrom="paragraph">
                        <wp:posOffset>1589405</wp:posOffset>
                      </wp:positionV>
                      <wp:extent cx="856615" cy="323850"/>
                      <wp:effectExtent l="4445" t="4445" r="15240" b="14605"/>
                      <wp:wrapNone/>
                      <wp:docPr id="15" name="文本框 15"/>
                      <wp:cNvGraphicFramePr/>
                      <a:graphic xmlns:a="http://schemas.openxmlformats.org/drawingml/2006/main">
                        <a:graphicData uri="http://schemas.microsoft.com/office/word/2010/wordprocessingShape">
                          <wps:wsp>
                            <wps:cNvSpPr txBox="1"/>
                            <wps:spPr>
                              <a:xfrm>
                                <a:off x="2080260" y="2880360"/>
                                <a:ext cx="856615"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F9A5773">
                                  <w:pPr>
                                    <w:ind w:left="0" w:leftChars="0" w:firstLine="0" w:firstLineChars="0"/>
                                    <w:rPr>
                                      <w:rFonts w:hint="default" w:eastAsia="宋体"/>
                                      <w:lang w:val="en-US" w:eastAsia="zh-CN"/>
                                    </w:rPr>
                                  </w:pPr>
                                  <w:r>
                                    <w:rPr>
                                      <w:rFonts w:hint="eastAsia"/>
                                      <w:lang w:val="en-US" w:eastAsia="zh-CN"/>
                                    </w:rPr>
                                    <w:t>轻花工贸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pt;margin-top:125.15pt;height:25.5pt;width:67.45pt;z-index:251662336;mso-width-relative:page;mso-height-relative:page;" fillcolor="#FFFFFF [3201]" filled="t" stroked="t" coordsize="21600,21600" o:gfxdata="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Bpjx3WAAAACwEAAA8AAAAAAAAAAQAgAAAAIgAAAGRycy9kb3ducmV2LnhtbFBLAQIUABQAAAAI&#10;AIdO4kDJ8w7kYQIAAMQEAAAOAAAAAAAAAAEAIAAAACUBAABkcnMvZTJvRG9jLnhtbFBLBQYAAAAA&#10;BgAGAFkBAAD4BQAAAAA=&#10;">
                      <v:fill on="t" focussize="0,0"/>
                      <v:stroke weight="0.5pt" color="#000000 [3204]" joinstyle="round"/>
                      <v:imagedata o:title=""/>
                      <o:lock v:ext="edit" aspectratio="f"/>
                      <v:textbox>
                        <w:txbxContent>
                          <w:p w14:paraId="7F9A5773">
                            <w:pPr>
                              <w:ind w:left="0" w:leftChars="0" w:firstLine="0" w:firstLineChars="0"/>
                              <w:rPr>
                                <w:rFonts w:hint="default" w:eastAsia="宋体"/>
                                <w:lang w:val="en-US" w:eastAsia="zh-CN"/>
                              </w:rPr>
                            </w:pPr>
                            <w:r>
                              <w:rPr>
                                <w:rFonts w:hint="eastAsia"/>
                                <w:lang w:val="en-US" w:eastAsia="zh-CN"/>
                              </w:rPr>
                              <w:t>轻花工贸</w:t>
                            </w:r>
                          </w:p>
                        </w:txbxContent>
                      </v:textbox>
                    </v:shape>
                  </w:pict>
                </mc:Fallback>
              </mc:AlternateContent>
            </w:r>
            <w:r>
              <w:rPr>
                <w:color w:val="auto"/>
                <w:sz w:val="28"/>
              </w:rPr>
              <mc:AlternateContent>
                <mc:Choice Requires="wps">
                  <w:drawing>
                    <wp:anchor distT="0" distB="0" distL="114300" distR="114300" simplePos="0" relativeHeight="251665408" behindDoc="0" locked="0" layoutInCell="1" allowOverlap="1">
                      <wp:simplePos x="0" y="0"/>
                      <wp:positionH relativeFrom="column">
                        <wp:posOffset>2261235</wp:posOffset>
                      </wp:positionH>
                      <wp:positionV relativeFrom="paragraph">
                        <wp:posOffset>55245</wp:posOffset>
                      </wp:positionV>
                      <wp:extent cx="1170305" cy="313690"/>
                      <wp:effectExtent l="4445" t="4445" r="6350" b="5715"/>
                      <wp:wrapNone/>
                      <wp:docPr id="19" name="文本框 19"/>
                      <wp:cNvGraphicFramePr/>
                      <a:graphic xmlns:a="http://schemas.openxmlformats.org/drawingml/2006/main">
                        <a:graphicData uri="http://schemas.microsoft.com/office/word/2010/wordprocessingShape">
                          <wps:wsp>
                            <wps:cNvSpPr txBox="1"/>
                            <wps:spPr>
                              <a:xfrm>
                                <a:off x="4318635" y="1223010"/>
                                <a:ext cx="1170305" cy="313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C78A06">
                                  <w:pPr>
                                    <w:ind w:left="0" w:leftChars="0" w:firstLine="0" w:firstLineChars="0"/>
                                    <w:rPr>
                                      <w:rFonts w:hint="default" w:eastAsia="宋体"/>
                                      <w:lang w:val="en-US" w:eastAsia="zh-CN"/>
                                    </w:rPr>
                                  </w:pPr>
                                  <w:r>
                                    <w:rPr>
                                      <w:rFonts w:hint="eastAsia"/>
                                      <w:lang w:val="en-US" w:eastAsia="zh-CN"/>
                                    </w:rPr>
                                    <w:t>引用监测点位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8.05pt;margin-top:4.35pt;height:24.7pt;width:92.15pt;z-index:251665408;mso-width-relative:page;mso-height-relative:page;" fillcolor="#FFFFFF [3201]" filled="t" stroked="t" coordsize="21600,21600" o:gfxdata="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Q+lTMNYAAAAIAQAADwAAAAAAAAABACAAAAAiAAAAZHJzL2Rvd25yZXYueG1sUEsBAhQAFAAA&#10;AAgAh07iQHBSHlljAgAAxQQAAA4AAAAAAAAAAQAgAAAAJQEAAGRycy9lMm9Eb2MueG1sUEsFBgAA&#10;AAAGAAYAWQEAAPoFAAAAAA==&#10;">
                      <v:fill on="t" focussize="0,0"/>
                      <v:stroke weight="0.5pt" color="#000000 [3204]" joinstyle="round"/>
                      <v:imagedata o:title=""/>
                      <o:lock v:ext="edit" aspectratio="f"/>
                      <v:textbox>
                        <w:txbxContent>
                          <w:p w14:paraId="0CC78A06">
                            <w:pPr>
                              <w:ind w:left="0" w:leftChars="0" w:firstLine="0" w:firstLineChars="0"/>
                              <w:rPr>
                                <w:rFonts w:hint="default" w:eastAsia="宋体"/>
                                <w:lang w:val="en-US" w:eastAsia="zh-CN"/>
                              </w:rPr>
                            </w:pPr>
                            <w:r>
                              <w:rPr>
                                <w:rFonts w:hint="eastAsia"/>
                                <w:lang w:val="en-US" w:eastAsia="zh-CN"/>
                              </w:rPr>
                              <w:t>引用监测点位</w:t>
                            </w:r>
                          </w:p>
                        </w:txbxContent>
                      </v:textbox>
                    </v:shape>
                  </w:pict>
                </mc:Fallback>
              </mc:AlternateContent>
            </w:r>
            <w:r>
              <w:rPr>
                <w:color w:val="auto"/>
                <w:sz w:val="28"/>
              </w:rPr>
              <mc:AlternateContent>
                <mc:Choice Requires="wps">
                  <w:drawing>
                    <wp:anchor distT="0" distB="0" distL="114300" distR="114300" simplePos="0" relativeHeight="251670528" behindDoc="0" locked="0" layoutInCell="1" allowOverlap="1">
                      <wp:simplePos x="0" y="0"/>
                      <wp:positionH relativeFrom="column">
                        <wp:posOffset>4012565</wp:posOffset>
                      </wp:positionH>
                      <wp:positionV relativeFrom="paragraph">
                        <wp:posOffset>2532380</wp:posOffset>
                      </wp:positionV>
                      <wp:extent cx="161925" cy="171450"/>
                      <wp:effectExtent l="12700" t="12700" r="15875" b="25400"/>
                      <wp:wrapNone/>
                      <wp:docPr id="37" name="同心圆 37"/>
                      <wp:cNvGraphicFramePr/>
                      <a:graphic xmlns:a="http://schemas.openxmlformats.org/drawingml/2006/main">
                        <a:graphicData uri="http://schemas.microsoft.com/office/word/2010/wordprocessingShape">
                          <wps:wsp>
                            <wps:cNvSpPr/>
                            <wps:spPr>
                              <a:xfrm>
                                <a:off x="0" y="0"/>
                                <a:ext cx="161925" cy="171450"/>
                              </a:xfrm>
                              <a:prstGeom prst="donut">
                                <a:avLst/>
                              </a:prstGeom>
                              <a:solidFill>
                                <a:srgbClr val="00B05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15.95pt;margin-top:199.4pt;height:13.5pt;width:12.75pt;z-index:251670528;v-text-anchor:middle;mso-width-relative:page;mso-height-relative:page;" fillcolor="#00B050" filled="t" stroked="t" coordsize="21600,21600" o:gfxdata="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9U+DfZAAAACwEAAA8AAAAAAAAAAQAgAAAAIgAAAGRycy9kb3ducmV2&#10;LnhtbFBLAQIUABQAAAAIAIdO4kCq2ZipbQIAAOIEAAAOAAAAAAAAAAEAIAAAACgBAABkcnMvZTJv&#10;RG9jLnhtbFBLBQYAAAAABgAGAFkBAAAHBgAAAAA=&#10;" adj="5400">
                      <v:fill on="t" focussize="0,0"/>
                      <v:stroke weight="2pt" color="#000000 [3213]" joinstyle="round"/>
                      <v:imagedata o:title=""/>
                      <o:lock v:ext="edit" aspectratio="f"/>
                    </v:shape>
                  </w:pict>
                </mc:Fallback>
              </mc:AlternateContent>
            </w:r>
            <w:r>
              <w:rPr>
                <w:color w:val="auto"/>
                <w:sz w:val="28"/>
              </w:rPr>
              <mc:AlternateContent>
                <mc:Choice Requires="wps">
                  <w:drawing>
                    <wp:anchor distT="0" distB="0" distL="114300" distR="114300" simplePos="0" relativeHeight="251669504" behindDoc="0" locked="0" layoutInCell="1" allowOverlap="1">
                      <wp:simplePos x="0" y="0"/>
                      <wp:positionH relativeFrom="column">
                        <wp:posOffset>3889375</wp:posOffset>
                      </wp:positionH>
                      <wp:positionV relativeFrom="paragraph">
                        <wp:posOffset>2032000</wp:posOffset>
                      </wp:positionV>
                      <wp:extent cx="1123315" cy="1123315"/>
                      <wp:effectExtent l="4445" t="4445" r="15240" b="15240"/>
                      <wp:wrapNone/>
                      <wp:docPr id="36" name="文本框 36"/>
                      <wp:cNvGraphicFramePr/>
                      <a:graphic xmlns:a="http://schemas.openxmlformats.org/drawingml/2006/main">
                        <a:graphicData uri="http://schemas.microsoft.com/office/word/2010/wordprocessingShape">
                          <wps:wsp>
                            <wps:cNvSpPr txBox="1"/>
                            <wps:spPr>
                              <a:xfrm>
                                <a:off x="5366385" y="2913380"/>
                                <a:ext cx="1123315" cy="11233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34F7EA">
                                  <w:pPr>
                                    <w:rPr>
                                      <w:rFonts w:hint="eastAsia"/>
                                      <w:lang w:val="en-US" w:eastAsia="zh-CN"/>
                                    </w:rPr>
                                  </w:pPr>
                                  <w:r>
                                    <w:rPr>
                                      <w:rFonts w:hint="eastAsia"/>
                                      <w:lang w:val="en-US" w:eastAsia="zh-CN"/>
                                    </w:rPr>
                                    <w:t>图 例</w:t>
                                  </w:r>
                                </w:p>
                                <w:p w14:paraId="7E0BA63A">
                                  <w:pPr>
                                    <w:pStyle w:val="15"/>
                                    <w:spacing w:line="240" w:lineRule="auto"/>
                                    <w:rPr>
                                      <w:rFonts w:hint="eastAsia"/>
                                      <w:lang w:val="en-US" w:eastAsia="zh-CN"/>
                                    </w:rPr>
                                  </w:pPr>
                                </w:p>
                                <w:p w14:paraId="642A3B62">
                                  <w:pPr>
                                    <w:pStyle w:val="15"/>
                                    <w:keepNext w:val="0"/>
                                    <w:keepLines w:val="0"/>
                                    <w:pageBreakBefore w:val="0"/>
                                    <w:widowControl/>
                                    <w:kinsoku/>
                                    <w:wordWrap/>
                                    <w:overflowPunct/>
                                    <w:topLinePunct w:val="0"/>
                                    <w:bidi w:val="0"/>
                                    <w:adjustRightInd/>
                                    <w:snapToGrid w:val="0"/>
                                    <w:spacing w:line="240" w:lineRule="auto"/>
                                    <w:ind w:left="480" w:leftChars="0" w:hanging="480" w:hangingChars="200"/>
                                    <w:textAlignment w:val="auto"/>
                                    <w:rPr>
                                      <w:rFonts w:hint="default"/>
                                      <w:lang w:val="en-US" w:eastAsia="zh-CN"/>
                                    </w:rPr>
                                  </w:pPr>
                                  <w:r>
                                    <w:rPr>
                                      <w:rFonts w:hint="eastAsia"/>
                                      <w:lang w:val="en-US" w:eastAsia="zh-CN"/>
                                    </w:rPr>
                                    <w:t xml:space="preserve">   </w:t>
                                  </w:r>
                                  <w:r>
                                    <w:rPr>
                                      <w:rFonts w:hint="eastAsia"/>
                                      <w:i w:val="0"/>
                                      <w:iCs/>
                                      <w:sz w:val="21"/>
                                      <w:szCs w:val="21"/>
                                      <w:lang w:val="en-US" w:eastAsia="zh-CN"/>
                                    </w:rPr>
                                    <w:t>表示引用监测点位</w:t>
                                  </w:r>
                                </w:p>
                                <w:p w14:paraId="0791629E">
                                  <w:pPr>
                                    <w:pStyle w:val="15"/>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6.25pt;margin-top:160pt;height:88.45pt;width:88.45pt;z-index:251669504;mso-width-relative:page;mso-height-relative:page;" fillcolor="#FFFFFF [3201]" filled="t" stroked="t" coordsize="21600,21600" o:gfxdata="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tgh2B2AAAAAsBAAAPAAAAAAAAAAEAIAAAACIAAABkcnMvZG93bnJldi54bWxQSwECFAAU&#10;AAAACACHTuJAtDnj8mMCAADGBAAADgAAAAAAAAABACAAAAAnAQAAZHJzL2Uyb0RvYy54bWxQSwUG&#10;AAAAAAYABgBZAQAA/AUAAAAA&#10;">
                      <v:fill on="t" focussize="0,0"/>
                      <v:stroke weight="0.5pt" color="#000000 [3204]" joinstyle="round"/>
                      <v:imagedata o:title=""/>
                      <o:lock v:ext="edit" aspectratio="f"/>
                      <v:textbox>
                        <w:txbxContent>
                          <w:p w14:paraId="7234F7EA">
                            <w:pPr>
                              <w:rPr>
                                <w:rFonts w:hint="eastAsia"/>
                                <w:lang w:val="en-US" w:eastAsia="zh-CN"/>
                              </w:rPr>
                            </w:pPr>
                            <w:r>
                              <w:rPr>
                                <w:rFonts w:hint="eastAsia"/>
                                <w:lang w:val="en-US" w:eastAsia="zh-CN"/>
                              </w:rPr>
                              <w:t>图 例</w:t>
                            </w:r>
                          </w:p>
                          <w:p w14:paraId="7E0BA63A">
                            <w:pPr>
                              <w:pStyle w:val="15"/>
                              <w:spacing w:line="240" w:lineRule="auto"/>
                              <w:rPr>
                                <w:rFonts w:hint="eastAsia"/>
                                <w:lang w:val="en-US" w:eastAsia="zh-CN"/>
                              </w:rPr>
                            </w:pPr>
                          </w:p>
                          <w:p w14:paraId="642A3B62">
                            <w:pPr>
                              <w:pStyle w:val="15"/>
                              <w:keepNext w:val="0"/>
                              <w:keepLines w:val="0"/>
                              <w:pageBreakBefore w:val="0"/>
                              <w:widowControl/>
                              <w:kinsoku/>
                              <w:wordWrap/>
                              <w:overflowPunct/>
                              <w:topLinePunct w:val="0"/>
                              <w:bidi w:val="0"/>
                              <w:adjustRightInd/>
                              <w:snapToGrid w:val="0"/>
                              <w:spacing w:line="240" w:lineRule="auto"/>
                              <w:ind w:left="480" w:leftChars="0" w:hanging="480" w:hangingChars="200"/>
                              <w:textAlignment w:val="auto"/>
                              <w:rPr>
                                <w:rFonts w:hint="default"/>
                                <w:lang w:val="en-US" w:eastAsia="zh-CN"/>
                              </w:rPr>
                            </w:pPr>
                            <w:r>
                              <w:rPr>
                                <w:rFonts w:hint="eastAsia"/>
                                <w:lang w:val="en-US" w:eastAsia="zh-CN"/>
                              </w:rPr>
                              <w:t xml:space="preserve">   </w:t>
                            </w:r>
                            <w:r>
                              <w:rPr>
                                <w:rFonts w:hint="eastAsia"/>
                                <w:i w:val="0"/>
                                <w:iCs/>
                                <w:sz w:val="21"/>
                                <w:szCs w:val="21"/>
                                <w:lang w:val="en-US" w:eastAsia="zh-CN"/>
                              </w:rPr>
                              <w:t>表示引用监测点位</w:t>
                            </w:r>
                          </w:p>
                          <w:p w14:paraId="0791629E">
                            <w:pPr>
                              <w:pStyle w:val="15"/>
                              <w:rPr>
                                <w:rFonts w:hint="default"/>
                                <w:lang w:val="en-US" w:eastAsia="zh-CN"/>
                              </w:rPr>
                            </w:pPr>
                          </w:p>
                        </w:txbxContent>
                      </v:textbox>
                    </v:shape>
                  </w:pict>
                </mc:Fallback>
              </mc:AlternateContent>
            </w:r>
            <w:r>
              <w:rPr>
                <w:color w:val="auto"/>
              </w:rPr>
              <w:drawing>
                <wp:anchor distT="0" distB="0" distL="114935" distR="114935" simplePos="0" relativeHeight="251666432" behindDoc="0" locked="0" layoutInCell="1" allowOverlap="1">
                  <wp:simplePos x="0" y="0"/>
                  <wp:positionH relativeFrom="column">
                    <wp:posOffset>4008120</wp:posOffset>
                  </wp:positionH>
                  <wp:positionV relativeFrom="paragraph">
                    <wp:posOffset>22225</wp:posOffset>
                  </wp:positionV>
                  <wp:extent cx="1009650" cy="1009650"/>
                  <wp:effectExtent l="0" t="0" r="0" b="0"/>
                  <wp:wrapNone/>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8"/>
                          <a:stretch>
                            <a:fillRect/>
                          </a:stretch>
                        </pic:blipFill>
                        <pic:spPr>
                          <a:xfrm>
                            <a:off x="0" y="0"/>
                            <a:ext cx="1009650" cy="1009650"/>
                          </a:xfrm>
                          <a:prstGeom prst="rect">
                            <a:avLst/>
                          </a:prstGeom>
                          <a:noFill/>
                          <a:ln>
                            <a:noFill/>
                          </a:ln>
                        </pic:spPr>
                      </pic:pic>
                    </a:graphicData>
                  </a:graphic>
                </wp:anchor>
              </w:drawing>
            </w:r>
            <w:r>
              <w:rPr>
                <w:color w:val="auto"/>
              </w:rPr>
              <w:drawing>
                <wp:inline distT="0" distB="0" distL="114300" distR="114300">
                  <wp:extent cx="5020945" cy="3143885"/>
                  <wp:effectExtent l="0" t="0" r="8255" b="18415"/>
                  <wp:docPr id="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pic:cNvPicPr>
                            <a:picLocks noChangeAspect="1"/>
                          </pic:cNvPicPr>
                        </pic:nvPicPr>
                        <pic:blipFill>
                          <a:blip r:embed="rId29"/>
                          <a:stretch>
                            <a:fillRect/>
                          </a:stretch>
                        </pic:blipFill>
                        <pic:spPr>
                          <a:xfrm>
                            <a:off x="0" y="0"/>
                            <a:ext cx="5020945" cy="3143885"/>
                          </a:xfrm>
                          <a:prstGeom prst="rect">
                            <a:avLst/>
                          </a:prstGeom>
                          <a:noFill/>
                          <a:ln>
                            <a:noFill/>
                          </a:ln>
                        </pic:spPr>
                      </pic:pic>
                    </a:graphicData>
                  </a:graphic>
                </wp:inline>
              </w:drawing>
            </w:r>
            <w:r>
              <w:rPr>
                <w:rFonts w:hint="default" w:ascii="Times New Roman" w:hAnsi="Times New Roman" w:cs="Times New Roman"/>
                <w:b/>
                <w:bCs/>
                <w:color w:val="auto"/>
                <w:sz w:val="24"/>
                <w:szCs w:val="24"/>
                <w:lang w:val="en-US" w:eastAsia="zh-CN"/>
              </w:rPr>
              <w:t xml:space="preserve">图3-1 </w:t>
            </w:r>
            <w:r>
              <w:rPr>
                <w:rFonts w:hint="default" w:ascii="Times New Roman" w:hAnsi="Times New Roman" w:eastAsia="宋体" w:cs="Times New Roman"/>
                <w:b/>
                <w:bCs/>
                <w:color w:val="auto"/>
                <w:sz w:val="24"/>
                <w:szCs w:val="24"/>
                <w:lang w:val="en-US" w:eastAsia="zh-CN"/>
              </w:rPr>
              <w:t>引用点位与本项目距离关系图</w:t>
            </w:r>
          </w:p>
          <w:p w14:paraId="5AA74A6D">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eastAsia" w:cs="Times New Roman"/>
                <w:b/>
                <w:bCs/>
                <w:color w:val="auto"/>
                <w:lang w:val="en-US" w:eastAsia="zh-CN"/>
              </w:rPr>
              <w:t>2、</w:t>
            </w:r>
            <w:r>
              <w:rPr>
                <w:rFonts w:hint="default" w:ascii="Times New Roman" w:hAnsi="Times New Roman" w:cs="Times New Roman"/>
                <w:b/>
                <w:bCs/>
                <w:color w:val="auto"/>
              </w:rPr>
              <w:t>地表水环境</w:t>
            </w:r>
          </w:p>
          <w:p w14:paraId="7D5D92E8">
            <w:pPr>
              <w:ind w:firstLine="480"/>
              <w:rPr>
                <w:rFonts w:hint="default" w:ascii="Times New Roman" w:hAnsi="Times New Roman" w:cs="Times New Roman"/>
                <w:color w:val="auto"/>
              </w:rPr>
            </w:pPr>
            <w:r>
              <w:rPr>
                <w:rFonts w:hint="default" w:ascii="Times New Roman" w:hAnsi="Times New Roman" w:cs="Times New Roman"/>
                <w:color w:val="auto"/>
              </w:rPr>
              <w:t>（1）地表水环境执行标准</w:t>
            </w:r>
          </w:p>
          <w:p w14:paraId="37021865">
            <w:pPr>
              <w:ind w:firstLine="480"/>
              <w:rPr>
                <w:rFonts w:hint="default"/>
                <w:color w:val="auto"/>
              </w:rPr>
            </w:pPr>
            <w:r>
              <w:rPr>
                <w:rFonts w:hint="default" w:ascii="Times New Roman" w:hAnsi="Times New Roman" w:eastAsia="宋体" w:cs="Times New Roman"/>
                <w:b w:val="0"/>
                <w:bCs w:val="0"/>
                <w:color w:val="auto"/>
                <w:lang w:val="zh-CN" w:eastAsia="zh-CN"/>
              </w:rPr>
              <w:t>项目区周边最近地表水体为</w:t>
            </w:r>
            <w:r>
              <w:rPr>
                <w:rFonts w:hint="default" w:ascii="Times New Roman" w:hAnsi="Times New Roman" w:cs="Times New Roman"/>
                <w:color w:val="auto"/>
                <w:sz w:val="24"/>
              </w:rPr>
              <w:t>东南侧</w:t>
            </w:r>
            <w:r>
              <w:rPr>
                <w:rFonts w:hint="eastAsia" w:cs="Times New Roman"/>
                <w:color w:val="auto"/>
                <w:sz w:val="24"/>
                <w:lang w:val="en-US" w:eastAsia="zh-CN"/>
              </w:rPr>
              <w:t>108</w:t>
            </w:r>
            <w:r>
              <w:rPr>
                <w:rFonts w:hint="default" w:ascii="Times New Roman" w:hAnsi="Times New Roman" w:cs="Times New Roman"/>
                <w:color w:val="auto"/>
                <w:sz w:val="24"/>
              </w:rPr>
              <w:t>m处的后河，后河汇入岔河，岔河流入项目南侧4020m处的西河水库</w:t>
            </w:r>
            <w:r>
              <w:rPr>
                <w:rFonts w:hint="eastAsia" w:cs="Times New Roman"/>
                <w:color w:val="auto"/>
                <w:sz w:val="24"/>
                <w:lang w:eastAsia="zh-CN"/>
              </w:rPr>
              <w:t>（</w:t>
            </w:r>
            <w:r>
              <w:rPr>
                <w:rFonts w:hint="eastAsia" w:cs="Times New Roman"/>
                <w:color w:val="auto"/>
                <w:sz w:val="24"/>
                <w:lang w:val="en-US" w:eastAsia="zh-CN"/>
              </w:rPr>
              <w:t>根据玉溪市人民政府关于批准红塔区西河水库饮用水水源地保护区划分调整技术报告的批复“取消西河水库饮用水功能，目前为农灌功能”，详见附件12</w:t>
            </w:r>
            <w:r>
              <w:rPr>
                <w:rFonts w:hint="eastAsia" w:cs="Times New Roman"/>
                <w:color w:val="auto"/>
                <w:sz w:val="24"/>
                <w:lang w:eastAsia="zh-CN"/>
              </w:rPr>
              <w:t>）</w:t>
            </w:r>
            <w:r>
              <w:rPr>
                <w:rFonts w:hint="default" w:ascii="Times New Roman" w:hAnsi="Times New Roman" w:cs="Times New Roman"/>
                <w:color w:val="auto"/>
                <w:sz w:val="24"/>
              </w:rPr>
              <w:t>，出库后流入西河，西河属于玉溪大河支流，西河水汇入玉溪大河</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玉溪大河属于珠江流域，西江水系，起始断面为东风水库坝址，终止断面为红塔区汇溪闸，总长度12.9km。根据《云南省水功能区划》（2014年修订），玉溪大河段水环境功能为工业、农业、景观用水，2030年水质目标执行《地表水水环境质量标准》（GB3838-2002）Ⅲ类标准，后河水环境功能参照玉溪大河执行，后河水质执行《地表水环境质量标准》III类标准</w:t>
            </w:r>
            <w:r>
              <w:rPr>
                <w:rFonts w:hint="default" w:ascii="Times New Roman" w:hAnsi="Times New Roman" w:cs="Times New Roman"/>
                <w:color w:val="auto"/>
              </w:rPr>
              <w:t>。具体指标见表3-</w:t>
            </w:r>
            <w:r>
              <w:rPr>
                <w:rFonts w:hint="default" w:ascii="Times New Roman" w:hAnsi="Times New Roman" w:cs="Times New Roman"/>
                <w:color w:val="auto"/>
                <w:lang w:val="en-US" w:eastAsia="zh-CN"/>
              </w:rPr>
              <w:t>4</w:t>
            </w:r>
            <w:r>
              <w:rPr>
                <w:rFonts w:hint="default" w:ascii="Times New Roman" w:hAnsi="Times New Roman" w:cs="Times New Roman"/>
                <w:color w:val="auto"/>
              </w:rPr>
              <w:t>。</w:t>
            </w:r>
          </w:p>
          <w:p w14:paraId="7114C59B">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表3-</w:t>
            </w:r>
            <w:r>
              <w:rPr>
                <w:rFonts w:hint="default" w:ascii="Times New Roman" w:hAnsi="Times New Roman" w:eastAsia="宋体" w:cs="Times New Roman"/>
                <w:color w:val="auto"/>
                <w:sz w:val="24"/>
                <w:szCs w:val="32"/>
                <w:lang w:val="en-US" w:eastAsia="zh-CN"/>
              </w:rPr>
              <w:t>4</w:t>
            </w:r>
            <w:r>
              <w:rPr>
                <w:rFonts w:hint="default" w:ascii="Times New Roman" w:hAnsi="Times New Roman" w:eastAsia="宋体" w:cs="Times New Roman"/>
                <w:color w:val="auto"/>
                <w:sz w:val="24"/>
                <w:szCs w:val="32"/>
              </w:rPr>
              <w:t xml:space="preserve">  《地表水环境质量标准》  单位：mg/L，pH除外</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075"/>
              <w:gridCol w:w="1565"/>
              <w:gridCol w:w="1228"/>
              <w:gridCol w:w="1051"/>
              <w:gridCol w:w="1180"/>
            </w:tblGrid>
            <w:tr w14:paraId="6F605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779867FD">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783F7E65">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pH</w:t>
                  </w:r>
                </w:p>
              </w:tc>
              <w:tc>
                <w:tcPr>
                  <w:tcW w:w="997" w:type="pct"/>
                  <w:tcBorders>
                    <w:top w:val="single" w:color="auto" w:sz="4" w:space="0"/>
                    <w:left w:val="single" w:color="auto" w:sz="4" w:space="0"/>
                    <w:bottom w:val="single" w:color="auto" w:sz="4" w:space="0"/>
                    <w:right w:val="single" w:color="auto" w:sz="4" w:space="0"/>
                  </w:tcBorders>
                  <w:vAlign w:val="center"/>
                </w:tcPr>
                <w:p w14:paraId="475F1B77">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COD</w:t>
                  </w:r>
                  <w:r>
                    <w:rPr>
                      <w:rFonts w:hint="default" w:ascii="Times New Roman" w:hAnsi="Times New Roman" w:cs="Times New Roman" w:eastAsiaTheme="minorEastAsia"/>
                      <w:color w:val="auto"/>
                      <w:sz w:val="21"/>
                      <w:szCs w:val="21"/>
                      <w:vertAlign w:val="subscript"/>
                    </w:rPr>
                    <w:t>Cr</w:t>
                  </w:r>
                </w:p>
              </w:tc>
              <w:tc>
                <w:tcPr>
                  <w:tcW w:w="782" w:type="pct"/>
                  <w:tcBorders>
                    <w:top w:val="single" w:color="auto" w:sz="4" w:space="0"/>
                    <w:left w:val="single" w:color="auto" w:sz="4" w:space="0"/>
                    <w:bottom w:val="single" w:color="auto" w:sz="4" w:space="0"/>
                    <w:right w:val="single" w:color="auto" w:sz="4" w:space="0"/>
                  </w:tcBorders>
                  <w:vAlign w:val="center"/>
                </w:tcPr>
                <w:p w14:paraId="22D441A9">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BOD</w:t>
                  </w:r>
                  <w:r>
                    <w:rPr>
                      <w:rFonts w:hint="default" w:ascii="Times New Roman" w:hAnsi="Times New Roman" w:cs="Times New Roman" w:eastAsiaTheme="minorEastAsia"/>
                      <w:color w:val="auto"/>
                      <w:sz w:val="21"/>
                      <w:szCs w:val="21"/>
                      <w:vertAlign w:val="subscript"/>
                    </w:rPr>
                    <w:t>5</w:t>
                  </w:r>
                </w:p>
              </w:tc>
              <w:tc>
                <w:tcPr>
                  <w:tcW w:w="670" w:type="pct"/>
                  <w:tcBorders>
                    <w:top w:val="single" w:color="auto" w:sz="4" w:space="0"/>
                    <w:left w:val="single" w:color="auto" w:sz="4" w:space="0"/>
                    <w:bottom w:val="single" w:color="auto" w:sz="4" w:space="0"/>
                    <w:right w:val="single" w:color="auto" w:sz="4" w:space="0"/>
                  </w:tcBorders>
                  <w:vAlign w:val="center"/>
                </w:tcPr>
                <w:p w14:paraId="3159AB10">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NH</w:t>
                  </w:r>
                  <w:r>
                    <w:rPr>
                      <w:rFonts w:hint="default" w:ascii="Times New Roman" w:hAnsi="Times New Roman" w:cs="Times New Roman" w:eastAsiaTheme="minorEastAsia"/>
                      <w:color w:val="auto"/>
                      <w:sz w:val="21"/>
                      <w:szCs w:val="21"/>
                      <w:vertAlign w:val="subscript"/>
                    </w:rPr>
                    <w:t>3</w:t>
                  </w:r>
                  <w:r>
                    <w:rPr>
                      <w:rFonts w:hint="default" w:ascii="Times New Roman" w:hAnsi="Times New Roman" w:cs="Times New Roman" w:eastAsiaTheme="minorEastAsia"/>
                      <w:color w:val="auto"/>
                      <w:sz w:val="21"/>
                      <w:szCs w:val="21"/>
                    </w:rPr>
                    <w:t>-N</w:t>
                  </w:r>
                </w:p>
              </w:tc>
              <w:tc>
                <w:tcPr>
                  <w:tcW w:w="752" w:type="pct"/>
                  <w:tcBorders>
                    <w:top w:val="single" w:color="auto" w:sz="4" w:space="0"/>
                    <w:left w:val="single" w:color="auto" w:sz="4" w:space="0"/>
                    <w:bottom w:val="single" w:color="auto" w:sz="4" w:space="0"/>
                    <w:right w:val="single" w:color="auto" w:sz="4" w:space="0"/>
                  </w:tcBorders>
                  <w:vAlign w:val="center"/>
                </w:tcPr>
                <w:p w14:paraId="78365ED9">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TP</w:t>
                  </w:r>
                </w:p>
              </w:tc>
            </w:tr>
            <w:tr w14:paraId="3F8B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1436AF56">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eastAsia="zh-CN"/>
                    </w:rPr>
                    <w:t>Ⅲ</w:t>
                  </w:r>
                  <w:r>
                    <w:rPr>
                      <w:rFonts w:hint="default" w:ascii="Times New Roman" w:hAnsi="Times New Roman" w:cs="Times New Roman" w:eastAsiaTheme="minorEastAsia"/>
                      <w:color w:val="auto"/>
                      <w:sz w:val="21"/>
                      <w:szCs w:val="21"/>
                    </w:rPr>
                    <w:t>类标准</w:t>
                  </w:r>
                </w:p>
              </w:tc>
              <w:tc>
                <w:tcPr>
                  <w:tcW w:w="685" w:type="pct"/>
                  <w:tcBorders>
                    <w:top w:val="single" w:color="auto" w:sz="4" w:space="0"/>
                    <w:left w:val="single" w:color="auto" w:sz="4" w:space="0"/>
                    <w:bottom w:val="single" w:color="auto" w:sz="4" w:space="0"/>
                    <w:right w:val="single" w:color="auto" w:sz="4" w:space="0"/>
                  </w:tcBorders>
                  <w:vAlign w:val="center"/>
                </w:tcPr>
                <w:p w14:paraId="43CC1254">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6~9</w:t>
                  </w:r>
                </w:p>
              </w:tc>
              <w:tc>
                <w:tcPr>
                  <w:tcW w:w="997" w:type="pct"/>
                  <w:tcBorders>
                    <w:top w:val="single" w:color="auto" w:sz="4" w:space="0"/>
                    <w:left w:val="single" w:color="auto" w:sz="4" w:space="0"/>
                    <w:bottom w:val="single" w:color="auto" w:sz="4" w:space="0"/>
                    <w:right w:val="single" w:color="auto" w:sz="4" w:space="0"/>
                  </w:tcBorders>
                  <w:vAlign w:val="center"/>
                </w:tcPr>
                <w:p w14:paraId="4DC9943B">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w:t>
                  </w:r>
                </w:p>
              </w:tc>
              <w:tc>
                <w:tcPr>
                  <w:tcW w:w="782" w:type="pct"/>
                  <w:tcBorders>
                    <w:top w:val="single" w:color="auto" w:sz="4" w:space="0"/>
                    <w:left w:val="single" w:color="auto" w:sz="4" w:space="0"/>
                    <w:bottom w:val="single" w:color="auto" w:sz="4" w:space="0"/>
                    <w:right w:val="single" w:color="auto" w:sz="4" w:space="0"/>
                  </w:tcBorders>
                  <w:vAlign w:val="center"/>
                </w:tcPr>
                <w:p w14:paraId="6A21B57E">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4</w:t>
                  </w:r>
                </w:p>
              </w:tc>
              <w:tc>
                <w:tcPr>
                  <w:tcW w:w="670" w:type="pct"/>
                  <w:tcBorders>
                    <w:top w:val="single" w:color="auto" w:sz="4" w:space="0"/>
                    <w:left w:val="single" w:color="auto" w:sz="4" w:space="0"/>
                    <w:bottom w:val="single" w:color="auto" w:sz="4" w:space="0"/>
                    <w:right w:val="single" w:color="auto" w:sz="4" w:space="0"/>
                  </w:tcBorders>
                  <w:vAlign w:val="center"/>
                </w:tcPr>
                <w:p w14:paraId="7A4DD414">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752" w:type="pct"/>
                  <w:tcBorders>
                    <w:top w:val="single" w:color="auto" w:sz="4" w:space="0"/>
                    <w:left w:val="single" w:color="auto" w:sz="4" w:space="0"/>
                    <w:bottom w:val="single" w:color="auto" w:sz="4" w:space="0"/>
                    <w:right w:val="single" w:color="auto" w:sz="4" w:space="0"/>
                  </w:tcBorders>
                  <w:vAlign w:val="center"/>
                </w:tcPr>
                <w:p w14:paraId="0B05132C">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2</w:t>
                  </w:r>
                </w:p>
              </w:tc>
            </w:tr>
            <w:tr w14:paraId="44B4E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1B26C6A3">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2AF55640">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总氮</w:t>
                  </w:r>
                </w:p>
              </w:tc>
              <w:tc>
                <w:tcPr>
                  <w:tcW w:w="997" w:type="pct"/>
                  <w:tcBorders>
                    <w:top w:val="single" w:color="auto" w:sz="4" w:space="0"/>
                    <w:left w:val="single" w:color="auto" w:sz="4" w:space="0"/>
                    <w:bottom w:val="single" w:color="auto" w:sz="4" w:space="0"/>
                    <w:right w:val="single" w:color="auto" w:sz="4" w:space="0"/>
                  </w:tcBorders>
                  <w:vAlign w:val="center"/>
                </w:tcPr>
                <w:p w14:paraId="44EA2716">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铜</w:t>
                  </w:r>
                </w:p>
              </w:tc>
              <w:tc>
                <w:tcPr>
                  <w:tcW w:w="782" w:type="pct"/>
                  <w:tcBorders>
                    <w:top w:val="single" w:color="auto" w:sz="4" w:space="0"/>
                    <w:left w:val="single" w:color="auto" w:sz="4" w:space="0"/>
                    <w:bottom w:val="single" w:color="auto" w:sz="4" w:space="0"/>
                    <w:right w:val="single" w:color="auto" w:sz="4" w:space="0"/>
                  </w:tcBorders>
                  <w:vAlign w:val="center"/>
                </w:tcPr>
                <w:p w14:paraId="5B8396A2">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总锌</w:t>
                  </w:r>
                </w:p>
              </w:tc>
              <w:tc>
                <w:tcPr>
                  <w:tcW w:w="670" w:type="pct"/>
                  <w:tcBorders>
                    <w:top w:val="single" w:color="auto" w:sz="4" w:space="0"/>
                    <w:left w:val="single" w:color="auto" w:sz="4" w:space="0"/>
                    <w:bottom w:val="single" w:color="auto" w:sz="4" w:space="0"/>
                    <w:right w:val="single" w:color="auto" w:sz="4" w:space="0"/>
                  </w:tcBorders>
                  <w:vAlign w:val="center"/>
                </w:tcPr>
                <w:p w14:paraId="5059A031">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氟化物</w:t>
                  </w:r>
                </w:p>
              </w:tc>
              <w:tc>
                <w:tcPr>
                  <w:tcW w:w="752" w:type="pct"/>
                  <w:tcBorders>
                    <w:top w:val="single" w:color="auto" w:sz="4" w:space="0"/>
                    <w:left w:val="single" w:color="auto" w:sz="4" w:space="0"/>
                    <w:bottom w:val="single" w:color="auto" w:sz="4" w:space="0"/>
                    <w:right w:val="single" w:color="auto" w:sz="4" w:space="0"/>
                  </w:tcBorders>
                  <w:vAlign w:val="center"/>
                </w:tcPr>
                <w:p w14:paraId="190626CF">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砷</w:t>
                  </w:r>
                </w:p>
              </w:tc>
            </w:tr>
            <w:tr w14:paraId="55DD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25D1C1D2">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eastAsia="zh-CN"/>
                    </w:rPr>
                    <w:t>Ⅲ</w:t>
                  </w:r>
                  <w:r>
                    <w:rPr>
                      <w:rFonts w:hint="default" w:ascii="Times New Roman" w:hAnsi="Times New Roman" w:cs="Times New Roman" w:eastAsiaTheme="minorEastAsia"/>
                      <w:color w:val="auto"/>
                      <w:sz w:val="21"/>
                      <w:szCs w:val="21"/>
                    </w:rPr>
                    <w:t>类标准</w:t>
                  </w:r>
                </w:p>
              </w:tc>
              <w:tc>
                <w:tcPr>
                  <w:tcW w:w="685" w:type="pct"/>
                  <w:tcBorders>
                    <w:top w:val="single" w:color="auto" w:sz="4" w:space="0"/>
                    <w:left w:val="single" w:color="auto" w:sz="4" w:space="0"/>
                    <w:bottom w:val="single" w:color="auto" w:sz="4" w:space="0"/>
                    <w:right w:val="single" w:color="auto" w:sz="4" w:space="0"/>
                  </w:tcBorders>
                  <w:vAlign w:val="center"/>
                </w:tcPr>
                <w:p w14:paraId="39B069C4">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997" w:type="pct"/>
                  <w:tcBorders>
                    <w:top w:val="single" w:color="auto" w:sz="4" w:space="0"/>
                    <w:left w:val="single" w:color="auto" w:sz="4" w:space="0"/>
                    <w:bottom w:val="single" w:color="auto" w:sz="4" w:space="0"/>
                    <w:right w:val="single" w:color="auto" w:sz="4" w:space="0"/>
                  </w:tcBorders>
                  <w:vAlign w:val="center"/>
                </w:tcPr>
                <w:p w14:paraId="397CE542">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1.0</w:t>
                  </w:r>
                </w:p>
              </w:tc>
              <w:tc>
                <w:tcPr>
                  <w:tcW w:w="782" w:type="pct"/>
                  <w:tcBorders>
                    <w:top w:val="single" w:color="auto" w:sz="4" w:space="0"/>
                    <w:left w:val="single" w:color="auto" w:sz="4" w:space="0"/>
                    <w:bottom w:val="single" w:color="auto" w:sz="4" w:space="0"/>
                    <w:right w:val="single" w:color="auto" w:sz="4" w:space="0"/>
                  </w:tcBorders>
                  <w:vAlign w:val="center"/>
                </w:tcPr>
                <w:p w14:paraId="5B1A9BFE">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1.0</w:t>
                  </w:r>
                </w:p>
              </w:tc>
              <w:tc>
                <w:tcPr>
                  <w:tcW w:w="670" w:type="pct"/>
                  <w:tcBorders>
                    <w:top w:val="single" w:color="auto" w:sz="4" w:space="0"/>
                    <w:left w:val="single" w:color="auto" w:sz="4" w:space="0"/>
                    <w:bottom w:val="single" w:color="auto" w:sz="4" w:space="0"/>
                    <w:right w:val="single" w:color="auto" w:sz="4" w:space="0"/>
                  </w:tcBorders>
                  <w:vAlign w:val="center"/>
                </w:tcPr>
                <w:p w14:paraId="2C740AE3">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752" w:type="pct"/>
                  <w:tcBorders>
                    <w:top w:val="single" w:color="auto" w:sz="4" w:space="0"/>
                    <w:left w:val="single" w:color="auto" w:sz="4" w:space="0"/>
                    <w:bottom w:val="single" w:color="auto" w:sz="4" w:space="0"/>
                    <w:right w:val="single" w:color="auto" w:sz="4" w:space="0"/>
                  </w:tcBorders>
                  <w:vAlign w:val="center"/>
                </w:tcPr>
                <w:p w14:paraId="32FF02C8">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05</w:t>
                  </w:r>
                </w:p>
              </w:tc>
            </w:tr>
            <w:tr w14:paraId="6BF76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77DEC8F3">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01D74D59">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汞</w:t>
                  </w:r>
                </w:p>
              </w:tc>
              <w:tc>
                <w:tcPr>
                  <w:tcW w:w="997" w:type="pct"/>
                  <w:tcBorders>
                    <w:top w:val="single" w:color="auto" w:sz="4" w:space="0"/>
                    <w:left w:val="single" w:color="auto" w:sz="4" w:space="0"/>
                    <w:bottom w:val="single" w:color="auto" w:sz="4" w:space="0"/>
                    <w:right w:val="single" w:color="auto" w:sz="4" w:space="0"/>
                  </w:tcBorders>
                  <w:vAlign w:val="center"/>
                </w:tcPr>
                <w:p w14:paraId="6FE1E8FC">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镉</w:t>
                  </w:r>
                </w:p>
              </w:tc>
              <w:tc>
                <w:tcPr>
                  <w:tcW w:w="782" w:type="pct"/>
                  <w:tcBorders>
                    <w:top w:val="single" w:color="auto" w:sz="4" w:space="0"/>
                    <w:left w:val="single" w:color="auto" w:sz="4" w:space="0"/>
                    <w:bottom w:val="single" w:color="auto" w:sz="4" w:space="0"/>
                    <w:right w:val="single" w:color="auto" w:sz="4" w:space="0"/>
                  </w:tcBorders>
                  <w:vAlign w:val="center"/>
                </w:tcPr>
                <w:p w14:paraId="238209B2">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六价铬</w:t>
                  </w:r>
                </w:p>
              </w:tc>
              <w:tc>
                <w:tcPr>
                  <w:tcW w:w="670" w:type="pct"/>
                  <w:tcBorders>
                    <w:top w:val="single" w:color="auto" w:sz="4" w:space="0"/>
                    <w:left w:val="single" w:color="auto" w:sz="4" w:space="0"/>
                    <w:bottom w:val="single" w:color="auto" w:sz="4" w:space="0"/>
                    <w:right w:val="single" w:color="auto" w:sz="4" w:space="0"/>
                  </w:tcBorders>
                  <w:vAlign w:val="center"/>
                </w:tcPr>
                <w:p w14:paraId="3400282F">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铅</w:t>
                  </w:r>
                </w:p>
              </w:tc>
              <w:tc>
                <w:tcPr>
                  <w:tcW w:w="752" w:type="pct"/>
                  <w:tcBorders>
                    <w:top w:val="single" w:color="auto" w:sz="4" w:space="0"/>
                    <w:left w:val="single" w:color="auto" w:sz="4" w:space="0"/>
                    <w:bottom w:val="single" w:color="auto" w:sz="4" w:space="0"/>
                    <w:right w:val="single" w:color="auto" w:sz="4" w:space="0"/>
                  </w:tcBorders>
                  <w:vAlign w:val="center"/>
                </w:tcPr>
                <w:p w14:paraId="60E77164">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氰化物</w:t>
                  </w:r>
                </w:p>
              </w:tc>
            </w:tr>
            <w:tr w14:paraId="5641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540555BD">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eastAsia="zh-CN"/>
                    </w:rPr>
                    <w:t>Ⅲ</w:t>
                  </w:r>
                  <w:r>
                    <w:rPr>
                      <w:rFonts w:hint="default" w:ascii="Times New Roman" w:hAnsi="Times New Roman" w:cs="Times New Roman" w:eastAsiaTheme="minorEastAsia"/>
                      <w:color w:val="auto"/>
                      <w:sz w:val="21"/>
                      <w:szCs w:val="21"/>
                    </w:rPr>
                    <w:t>类标准</w:t>
                  </w:r>
                </w:p>
              </w:tc>
              <w:tc>
                <w:tcPr>
                  <w:tcW w:w="685" w:type="pct"/>
                  <w:tcBorders>
                    <w:top w:val="single" w:color="auto" w:sz="4" w:space="0"/>
                    <w:left w:val="single" w:color="auto" w:sz="4" w:space="0"/>
                    <w:bottom w:val="single" w:color="auto" w:sz="4" w:space="0"/>
                    <w:right w:val="single" w:color="auto" w:sz="4" w:space="0"/>
                  </w:tcBorders>
                  <w:vAlign w:val="center"/>
                </w:tcPr>
                <w:p w14:paraId="6D4DADF2">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0.00</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1</w:t>
                  </w:r>
                </w:p>
              </w:tc>
              <w:tc>
                <w:tcPr>
                  <w:tcW w:w="997" w:type="pct"/>
                  <w:tcBorders>
                    <w:top w:val="single" w:color="auto" w:sz="4" w:space="0"/>
                    <w:left w:val="single" w:color="auto" w:sz="4" w:space="0"/>
                    <w:bottom w:val="single" w:color="auto" w:sz="4" w:space="0"/>
                    <w:right w:val="single" w:color="auto" w:sz="4" w:space="0"/>
                  </w:tcBorders>
                  <w:vAlign w:val="center"/>
                </w:tcPr>
                <w:p w14:paraId="71B3AAF5">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0.005</w:t>
                  </w:r>
                </w:p>
              </w:tc>
              <w:tc>
                <w:tcPr>
                  <w:tcW w:w="782" w:type="pct"/>
                  <w:tcBorders>
                    <w:top w:val="single" w:color="auto" w:sz="4" w:space="0"/>
                    <w:left w:val="single" w:color="auto" w:sz="4" w:space="0"/>
                    <w:bottom w:val="single" w:color="auto" w:sz="4" w:space="0"/>
                    <w:right w:val="single" w:color="auto" w:sz="4" w:space="0"/>
                  </w:tcBorders>
                  <w:vAlign w:val="center"/>
                </w:tcPr>
                <w:p w14:paraId="56293F91">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0.05</w:t>
                  </w:r>
                </w:p>
              </w:tc>
              <w:tc>
                <w:tcPr>
                  <w:tcW w:w="670" w:type="pct"/>
                  <w:tcBorders>
                    <w:top w:val="single" w:color="auto" w:sz="4" w:space="0"/>
                    <w:left w:val="single" w:color="auto" w:sz="4" w:space="0"/>
                    <w:bottom w:val="single" w:color="auto" w:sz="4" w:space="0"/>
                    <w:right w:val="single" w:color="auto" w:sz="4" w:space="0"/>
                  </w:tcBorders>
                  <w:vAlign w:val="center"/>
                </w:tcPr>
                <w:p w14:paraId="70455282">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0.05</w:t>
                  </w:r>
                </w:p>
              </w:tc>
              <w:tc>
                <w:tcPr>
                  <w:tcW w:w="752" w:type="pct"/>
                  <w:tcBorders>
                    <w:top w:val="single" w:color="auto" w:sz="4" w:space="0"/>
                    <w:left w:val="single" w:color="auto" w:sz="4" w:space="0"/>
                    <w:bottom w:val="single" w:color="auto" w:sz="4" w:space="0"/>
                    <w:right w:val="single" w:color="auto" w:sz="4" w:space="0"/>
                  </w:tcBorders>
                  <w:vAlign w:val="center"/>
                </w:tcPr>
                <w:p w14:paraId="451C2AAF">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0.2</w:t>
                  </w:r>
                </w:p>
              </w:tc>
            </w:tr>
            <w:tr w14:paraId="56F5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7227D686">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0F3707A8">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挥发酚</w:t>
                  </w:r>
                </w:p>
              </w:tc>
              <w:tc>
                <w:tcPr>
                  <w:tcW w:w="997" w:type="pct"/>
                  <w:tcBorders>
                    <w:top w:val="single" w:color="auto" w:sz="4" w:space="0"/>
                    <w:left w:val="single" w:color="auto" w:sz="4" w:space="0"/>
                    <w:bottom w:val="single" w:color="auto" w:sz="4" w:space="0"/>
                    <w:right w:val="single" w:color="auto" w:sz="4" w:space="0"/>
                  </w:tcBorders>
                  <w:vAlign w:val="center"/>
                </w:tcPr>
                <w:p w14:paraId="62D4F2AC">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石油类</w:t>
                  </w:r>
                </w:p>
              </w:tc>
              <w:tc>
                <w:tcPr>
                  <w:tcW w:w="782" w:type="pct"/>
                  <w:tcBorders>
                    <w:top w:val="single" w:color="auto" w:sz="4" w:space="0"/>
                    <w:left w:val="single" w:color="auto" w:sz="4" w:space="0"/>
                    <w:bottom w:val="single" w:color="auto" w:sz="4" w:space="0"/>
                    <w:right w:val="single" w:color="auto" w:sz="4" w:space="0"/>
                  </w:tcBorders>
                  <w:vAlign w:val="center"/>
                </w:tcPr>
                <w:p w14:paraId="528167AD">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阴离子表面活性剂</w:t>
                  </w:r>
                </w:p>
              </w:tc>
              <w:tc>
                <w:tcPr>
                  <w:tcW w:w="670" w:type="pct"/>
                  <w:tcBorders>
                    <w:top w:val="single" w:color="auto" w:sz="4" w:space="0"/>
                    <w:left w:val="single" w:color="auto" w:sz="4" w:space="0"/>
                    <w:bottom w:val="single" w:color="auto" w:sz="4" w:space="0"/>
                    <w:right w:val="single" w:color="auto" w:sz="4" w:space="0"/>
                  </w:tcBorders>
                  <w:vAlign w:val="center"/>
                </w:tcPr>
                <w:p w14:paraId="3B06D20D">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硫化物</w:t>
                  </w:r>
                </w:p>
              </w:tc>
              <w:tc>
                <w:tcPr>
                  <w:tcW w:w="752" w:type="pct"/>
                  <w:tcBorders>
                    <w:top w:val="single" w:color="auto" w:sz="4" w:space="0"/>
                    <w:left w:val="single" w:color="auto" w:sz="4" w:space="0"/>
                    <w:bottom w:val="single" w:color="auto" w:sz="4" w:space="0"/>
                    <w:right w:val="single" w:color="auto" w:sz="4" w:space="0"/>
                  </w:tcBorders>
                  <w:vAlign w:val="center"/>
                </w:tcPr>
                <w:p w14:paraId="43424140">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粪大肠菌落（个/L）</w:t>
                  </w:r>
                </w:p>
              </w:tc>
            </w:tr>
            <w:tr w14:paraId="2F3C1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05C44E0D">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eastAsia="zh-CN"/>
                    </w:rPr>
                    <w:t>Ⅲ</w:t>
                  </w:r>
                  <w:r>
                    <w:rPr>
                      <w:rFonts w:hint="default" w:ascii="Times New Roman" w:hAnsi="Times New Roman" w:cs="Times New Roman" w:eastAsiaTheme="minorEastAsia"/>
                      <w:color w:val="auto"/>
                      <w:sz w:val="21"/>
                      <w:szCs w:val="21"/>
                    </w:rPr>
                    <w:t>类标准</w:t>
                  </w:r>
                </w:p>
              </w:tc>
              <w:tc>
                <w:tcPr>
                  <w:tcW w:w="685" w:type="pct"/>
                  <w:tcBorders>
                    <w:top w:val="single" w:color="auto" w:sz="4" w:space="0"/>
                    <w:left w:val="single" w:color="auto" w:sz="4" w:space="0"/>
                    <w:bottom w:val="single" w:color="auto" w:sz="4" w:space="0"/>
                    <w:right w:val="single" w:color="auto" w:sz="4" w:space="0"/>
                  </w:tcBorders>
                  <w:vAlign w:val="center"/>
                </w:tcPr>
                <w:p w14:paraId="4F19C1DD">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0.0</w:t>
                  </w:r>
                  <w:r>
                    <w:rPr>
                      <w:rFonts w:hint="default" w:ascii="Times New Roman" w:hAnsi="Times New Roman" w:cs="Times New Roman" w:eastAsiaTheme="minorEastAsia"/>
                      <w:color w:val="auto"/>
                      <w:sz w:val="21"/>
                      <w:szCs w:val="21"/>
                      <w:lang w:val="en-US" w:eastAsia="zh-CN"/>
                    </w:rPr>
                    <w:t>05</w:t>
                  </w:r>
                </w:p>
              </w:tc>
              <w:tc>
                <w:tcPr>
                  <w:tcW w:w="997" w:type="pct"/>
                  <w:tcBorders>
                    <w:top w:val="single" w:color="auto" w:sz="4" w:space="0"/>
                    <w:left w:val="single" w:color="auto" w:sz="4" w:space="0"/>
                    <w:bottom w:val="single" w:color="auto" w:sz="4" w:space="0"/>
                    <w:right w:val="single" w:color="auto" w:sz="4" w:space="0"/>
                  </w:tcBorders>
                  <w:vAlign w:val="center"/>
                </w:tcPr>
                <w:p w14:paraId="2C0D25B9">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rPr>
                    <w:t>5</w:t>
                  </w:r>
                </w:p>
              </w:tc>
              <w:tc>
                <w:tcPr>
                  <w:tcW w:w="782" w:type="pct"/>
                  <w:tcBorders>
                    <w:top w:val="single" w:color="auto" w:sz="4" w:space="0"/>
                    <w:left w:val="single" w:color="auto" w:sz="4" w:space="0"/>
                    <w:bottom w:val="single" w:color="auto" w:sz="4" w:space="0"/>
                    <w:right w:val="single" w:color="auto" w:sz="4" w:space="0"/>
                  </w:tcBorders>
                  <w:vAlign w:val="center"/>
                </w:tcPr>
                <w:p w14:paraId="27AF032C">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2</w:t>
                  </w:r>
                </w:p>
              </w:tc>
              <w:tc>
                <w:tcPr>
                  <w:tcW w:w="670" w:type="pct"/>
                  <w:tcBorders>
                    <w:top w:val="single" w:color="auto" w:sz="4" w:space="0"/>
                    <w:left w:val="single" w:color="auto" w:sz="4" w:space="0"/>
                    <w:bottom w:val="single" w:color="auto" w:sz="4" w:space="0"/>
                    <w:right w:val="single" w:color="auto" w:sz="4" w:space="0"/>
                  </w:tcBorders>
                  <w:vAlign w:val="center"/>
                </w:tcPr>
                <w:p w14:paraId="4308B991">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2</w:t>
                  </w:r>
                </w:p>
              </w:tc>
              <w:tc>
                <w:tcPr>
                  <w:tcW w:w="752" w:type="pct"/>
                  <w:tcBorders>
                    <w:top w:val="single" w:color="auto" w:sz="4" w:space="0"/>
                    <w:left w:val="single" w:color="auto" w:sz="4" w:space="0"/>
                    <w:bottom w:val="single" w:color="auto" w:sz="4" w:space="0"/>
                    <w:right w:val="single" w:color="auto" w:sz="4" w:space="0"/>
                  </w:tcBorders>
                  <w:vAlign w:val="center"/>
                </w:tcPr>
                <w:p w14:paraId="0DE2060A">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0000</w:t>
                  </w:r>
                </w:p>
              </w:tc>
            </w:tr>
            <w:tr w14:paraId="0094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51D6B3BE">
                  <w:pPr>
                    <w:pStyle w:val="46"/>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rPr>
                    <w:t>项目</w:t>
                  </w:r>
                </w:p>
              </w:tc>
              <w:tc>
                <w:tcPr>
                  <w:tcW w:w="685" w:type="pct"/>
                  <w:tcBorders>
                    <w:top w:val="single" w:color="auto" w:sz="4" w:space="0"/>
                    <w:left w:val="single" w:color="auto" w:sz="4" w:space="0"/>
                    <w:bottom w:val="single" w:color="auto" w:sz="4" w:space="0"/>
                    <w:right w:val="single" w:color="auto" w:sz="4" w:space="0"/>
                  </w:tcBorders>
                  <w:vAlign w:val="center"/>
                </w:tcPr>
                <w:p w14:paraId="622C42A8">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溶解氧</w:t>
                  </w:r>
                </w:p>
              </w:tc>
              <w:tc>
                <w:tcPr>
                  <w:tcW w:w="997" w:type="pct"/>
                  <w:tcBorders>
                    <w:top w:val="single" w:color="auto" w:sz="4" w:space="0"/>
                    <w:left w:val="single" w:color="auto" w:sz="4" w:space="0"/>
                    <w:bottom w:val="single" w:color="auto" w:sz="4" w:space="0"/>
                    <w:right w:val="single" w:color="auto" w:sz="4" w:space="0"/>
                  </w:tcBorders>
                  <w:vAlign w:val="center"/>
                </w:tcPr>
                <w:p w14:paraId="20F1D322">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高锰酸盐指数</w:t>
                  </w:r>
                </w:p>
              </w:tc>
              <w:tc>
                <w:tcPr>
                  <w:tcW w:w="782" w:type="pct"/>
                  <w:tcBorders>
                    <w:top w:val="single" w:color="auto" w:sz="4" w:space="0"/>
                    <w:left w:val="single" w:color="auto" w:sz="4" w:space="0"/>
                    <w:bottom w:val="single" w:color="auto" w:sz="4" w:space="0"/>
                    <w:right w:val="single" w:color="auto" w:sz="4" w:space="0"/>
                  </w:tcBorders>
                  <w:vAlign w:val="center"/>
                </w:tcPr>
                <w:p w14:paraId="1F984BAA">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670" w:type="pct"/>
                  <w:tcBorders>
                    <w:top w:val="single" w:color="auto" w:sz="4" w:space="0"/>
                    <w:left w:val="single" w:color="auto" w:sz="4" w:space="0"/>
                    <w:bottom w:val="single" w:color="auto" w:sz="4" w:space="0"/>
                    <w:right w:val="single" w:color="auto" w:sz="4" w:space="0"/>
                  </w:tcBorders>
                  <w:vAlign w:val="center"/>
                </w:tcPr>
                <w:p w14:paraId="4B8CF361">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w:t>
                  </w:r>
                </w:p>
              </w:tc>
              <w:tc>
                <w:tcPr>
                  <w:tcW w:w="752" w:type="pct"/>
                  <w:tcBorders>
                    <w:top w:val="single" w:color="auto" w:sz="4" w:space="0"/>
                    <w:left w:val="single" w:color="auto" w:sz="4" w:space="0"/>
                    <w:bottom w:val="single" w:color="auto" w:sz="4" w:space="0"/>
                    <w:right w:val="single" w:color="auto" w:sz="4" w:space="0"/>
                  </w:tcBorders>
                  <w:vAlign w:val="center"/>
                </w:tcPr>
                <w:p w14:paraId="2E0A3DC5">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r>
            <w:tr w14:paraId="5FAE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1111" w:type="pct"/>
                  <w:tcBorders>
                    <w:top w:val="single" w:color="auto" w:sz="4" w:space="0"/>
                    <w:left w:val="single" w:color="auto" w:sz="4" w:space="0"/>
                    <w:bottom w:val="single" w:color="auto" w:sz="4" w:space="0"/>
                    <w:right w:val="single" w:color="auto" w:sz="4" w:space="0"/>
                  </w:tcBorders>
                  <w:vAlign w:val="center"/>
                </w:tcPr>
                <w:p w14:paraId="7987A069">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zh-CN" w:eastAsia="zh-CN"/>
                    </w:rPr>
                  </w:pPr>
                  <w:r>
                    <w:rPr>
                      <w:rFonts w:hint="default" w:ascii="Times New Roman" w:hAnsi="Times New Roman" w:cs="Times New Roman" w:eastAsiaTheme="minorEastAsia"/>
                      <w:color w:val="auto"/>
                      <w:sz w:val="21"/>
                      <w:szCs w:val="21"/>
                      <w:lang w:val="zh-CN" w:eastAsia="zh-CN"/>
                    </w:rPr>
                    <w:t>Ⅲ</w:t>
                  </w:r>
                  <w:r>
                    <w:rPr>
                      <w:rFonts w:hint="default" w:ascii="Times New Roman" w:hAnsi="Times New Roman" w:cs="Times New Roman" w:eastAsiaTheme="minorEastAsia"/>
                      <w:color w:val="auto"/>
                      <w:sz w:val="21"/>
                      <w:szCs w:val="21"/>
                    </w:rPr>
                    <w:t>类标准</w:t>
                  </w:r>
                </w:p>
              </w:tc>
              <w:tc>
                <w:tcPr>
                  <w:tcW w:w="685" w:type="pct"/>
                  <w:tcBorders>
                    <w:top w:val="single" w:color="auto" w:sz="4" w:space="0"/>
                    <w:left w:val="single" w:color="auto" w:sz="4" w:space="0"/>
                    <w:bottom w:val="single" w:color="auto" w:sz="4" w:space="0"/>
                    <w:right w:val="single" w:color="auto" w:sz="4" w:space="0"/>
                  </w:tcBorders>
                  <w:vAlign w:val="center"/>
                </w:tcPr>
                <w:p w14:paraId="11F34750">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w:t>
                  </w:r>
                </w:p>
              </w:tc>
              <w:tc>
                <w:tcPr>
                  <w:tcW w:w="997" w:type="pct"/>
                  <w:tcBorders>
                    <w:top w:val="single" w:color="auto" w:sz="4" w:space="0"/>
                    <w:left w:val="single" w:color="auto" w:sz="4" w:space="0"/>
                    <w:bottom w:val="single" w:color="auto" w:sz="4" w:space="0"/>
                    <w:right w:val="single" w:color="auto" w:sz="4" w:space="0"/>
                  </w:tcBorders>
                  <w:vAlign w:val="center"/>
                </w:tcPr>
                <w:p w14:paraId="51458C2D">
                  <w:pPr>
                    <w:pStyle w:val="46"/>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w:t>
                  </w:r>
                </w:p>
              </w:tc>
              <w:tc>
                <w:tcPr>
                  <w:tcW w:w="782" w:type="pct"/>
                  <w:tcBorders>
                    <w:top w:val="single" w:color="auto" w:sz="4" w:space="0"/>
                    <w:left w:val="single" w:color="auto" w:sz="4" w:space="0"/>
                    <w:bottom w:val="single" w:color="auto" w:sz="4" w:space="0"/>
                    <w:right w:val="single" w:color="auto" w:sz="4" w:space="0"/>
                  </w:tcBorders>
                  <w:vAlign w:val="center"/>
                </w:tcPr>
                <w:p w14:paraId="4F55FC34">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c>
                <w:tcPr>
                  <w:tcW w:w="670" w:type="pct"/>
                  <w:tcBorders>
                    <w:top w:val="single" w:color="auto" w:sz="4" w:space="0"/>
                    <w:left w:val="single" w:color="auto" w:sz="4" w:space="0"/>
                    <w:bottom w:val="single" w:color="auto" w:sz="4" w:space="0"/>
                    <w:right w:val="single" w:color="auto" w:sz="4" w:space="0"/>
                  </w:tcBorders>
                  <w:vAlign w:val="center"/>
                </w:tcPr>
                <w:p w14:paraId="55E109B5">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val="en-US" w:eastAsia="zh-CN"/>
                    </w:rPr>
                    <w:t>/</w:t>
                  </w:r>
                </w:p>
              </w:tc>
              <w:tc>
                <w:tcPr>
                  <w:tcW w:w="752" w:type="pct"/>
                  <w:tcBorders>
                    <w:top w:val="single" w:color="auto" w:sz="4" w:space="0"/>
                    <w:left w:val="single" w:color="auto" w:sz="4" w:space="0"/>
                    <w:bottom w:val="single" w:color="auto" w:sz="4" w:space="0"/>
                    <w:right w:val="single" w:color="auto" w:sz="4" w:space="0"/>
                  </w:tcBorders>
                  <w:vAlign w:val="center"/>
                </w:tcPr>
                <w:p w14:paraId="7B277D45">
                  <w:pPr>
                    <w:pStyle w:val="4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w:t>
                  </w:r>
                </w:p>
              </w:tc>
            </w:tr>
          </w:tbl>
          <w:p w14:paraId="30459B6F">
            <w:pPr>
              <w:ind w:firstLine="480"/>
              <w:rPr>
                <w:rFonts w:hint="default" w:ascii="Times New Roman" w:hAnsi="Times New Roman" w:cs="Times New Roman"/>
                <w:color w:val="auto"/>
                <w:sz w:val="24"/>
              </w:rPr>
            </w:pPr>
            <w:r>
              <w:rPr>
                <w:rFonts w:hint="default" w:ascii="Times New Roman" w:hAnsi="Times New Roman" w:cs="Times New Roman"/>
                <w:color w:val="auto"/>
                <w:sz w:val="24"/>
              </w:rPr>
              <w:t>（2）地表水环境质量现状</w:t>
            </w:r>
          </w:p>
          <w:p w14:paraId="7B9A759A">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zh-CN" w:eastAsia="zh-CN"/>
              </w:rPr>
              <w:t>项目区最近地表水为东南侧</w:t>
            </w:r>
            <w:r>
              <w:rPr>
                <w:rFonts w:hint="eastAsia" w:cs="Times New Roman"/>
                <w:color w:val="auto"/>
                <w:lang w:val="zh-CN" w:eastAsia="zh-CN"/>
              </w:rPr>
              <w:t>108</w:t>
            </w:r>
            <w:r>
              <w:rPr>
                <w:rFonts w:hint="default" w:ascii="Times New Roman" w:hAnsi="Times New Roman" w:eastAsia="宋体" w:cs="Times New Roman"/>
                <w:color w:val="auto"/>
                <w:lang w:val="zh-CN" w:eastAsia="zh-CN"/>
              </w:rPr>
              <w:t>m处的后河，后河</w:t>
            </w:r>
            <w:r>
              <w:rPr>
                <w:rFonts w:hint="default" w:ascii="Times New Roman" w:hAnsi="Times New Roman" w:cs="Times New Roman"/>
                <w:color w:val="auto"/>
                <w:lang w:val="en-US" w:eastAsia="zh-CN"/>
              </w:rPr>
              <w:t>汇入西河，最终</w:t>
            </w:r>
            <w:r>
              <w:rPr>
                <w:rFonts w:hint="default" w:ascii="Times New Roman" w:hAnsi="Times New Roman" w:eastAsia="宋体" w:cs="Times New Roman"/>
                <w:color w:val="auto"/>
                <w:lang w:val="zh-CN" w:eastAsia="zh-CN"/>
              </w:rPr>
              <w:t>汇入玉溪大河，</w:t>
            </w:r>
            <w:r>
              <w:rPr>
                <w:rFonts w:hint="default" w:ascii="Times New Roman" w:hAnsi="Times New Roman" w:eastAsia="宋体" w:cs="Times New Roman"/>
                <w:color w:val="auto"/>
                <w:lang w:val="en-US" w:eastAsia="zh-CN"/>
              </w:rPr>
              <w:t>水质类别执行</w:t>
            </w:r>
            <w:r>
              <w:rPr>
                <w:rFonts w:hint="default" w:ascii="Times New Roman" w:hAnsi="Times New Roman" w:eastAsia="宋体" w:cs="Times New Roman"/>
                <w:color w:val="auto"/>
                <w:lang w:val="zh-CN" w:eastAsia="zh-CN"/>
              </w:rPr>
              <w:t>Ⅲ</w:t>
            </w:r>
            <w:r>
              <w:rPr>
                <w:rFonts w:hint="default" w:ascii="Times New Roman" w:hAnsi="Times New Roman" w:eastAsia="宋体" w:cs="Times New Roman"/>
                <w:color w:val="auto"/>
                <w:lang w:val="en-US" w:eastAsia="zh-CN"/>
              </w:rPr>
              <w:t>类水质标准。</w:t>
            </w:r>
            <w:r>
              <w:rPr>
                <w:rFonts w:hint="default" w:ascii="Times New Roman" w:hAnsi="Times New Roman" w:eastAsia="宋体" w:cs="Times New Roman"/>
                <w:color w:val="auto"/>
                <w:lang w:val="zh-CN" w:eastAsia="zh-CN"/>
              </w:rPr>
              <w:t>玉溪大河红塔区段有一例行监测断面，位于项目径流区下游的矣读可（</w:t>
            </w:r>
            <w:r>
              <w:rPr>
                <w:rFonts w:hint="default" w:ascii="Times New Roman" w:hAnsi="Times New Roman" w:eastAsia="宋体" w:cs="Times New Roman"/>
                <w:color w:val="auto"/>
                <w:lang w:val="en-US" w:eastAsia="zh-CN"/>
              </w:rPr>
              <w:t>省控断面</w:t>
            </w:r>
            <w:r>
              <w:rPr>
                <w:rFonts w:hint="default" w:ascii="Times New Roman" w:hAnsi="Times New Roman" w:eastAsia="宋体" w:cs="Times New Roman"/>
                <w:color w:val="auto"/>
                <w:lang w:val="zh-CN" w:eastAsia="zh-CN"/>
              </w:rPr>
              <w:t>），</w:t>
            </w:r>
            <w:r>
              <w:rPr>
                <w:rFonts w:hint="default" w:ascii="Times New Roman" w:hAnsi="Times New Roman" w:eastAsia="宋体" w:cs="Times New Roman"/>
                <w:color w:val="auto"/>
                <w:lang w:val="en-US" w:eastAsia="zh-CN"/>
              </w:rPr>
              <w:t>根据</w:t>
            </w:r>
            <w:r>
              <w:rPr>
                <w:rFonts w:hint="default" w:ascii="Times New Roman" w:hAnsi="Times New Roman" w:eastAsia="宋体" w:cs="Times New Roman"/>
                <w:color w:val="auto"/>
                <w:lang w:val="zh-CN" w:eastAsia="zh-CN"/>
              </w:rPr>
              <w:t>玉溪市生态环境局202</w:t>
            </w:r>
            <w:r>
              <w:rPr>
                <w:rFonts w:hint="eastAsia" w:cs="Times New Roman"/>
                <w:color w:val="auto"/>
                <w:lang w:val="en-US" w:eastAsia="zh-CN"/>
              </w:rPr>
              <w:t>5</w:t>
            </w:r>
            <w:r>
              <w:rPr>
                <w:rFonts w:hint="default" w:ascii="Times New Roman" w:hAnsi="Times New Roman" w:eastAsia="宋体" w:cs="Times New Roman"/>
                <w:color w:val="auto"/>
                <w:lang w:val="zh-CN" w:eastAsia="zh-CN"/>
              </w:rPr>
              <w:t>年6月5日发布的《202</w:t>
            </w:r>
            <w:r>
              <w:rPr>
                <w:rFonts w:hint="eastAsia" w:cs="Times New Roman"/>
                <w:color w:val="auto"/>
                <w:lang w:val="en-US" w:eastAsia="zh-CN"/>
              </w:rPr>
              <w:t>4</w:t>
            </w:r>
            <w:r>
              <w:rPr>
                <w:rFonts w:hint="default" w:ascii="Times New Roman" w:hAnsi="Times New Roman" w:eastAsia="宋体" w:cs="Times New Roman"/>
                <w:color w:val="auto"/>
                <w:lang w:val="zh-CN" w:eastAsia="zh-CN"/>
              </w:rPr>
              <w:t>年玉溪市环境状况公报》，玉溪大河矣读可断面水质类别为Ⅳ类，不能满足《地表水环境质量标准》（GB3838-2002）中的III类标准，</w:t>
            </w:r>
            <w:r>
              <w:rPr>
                <w:rFonts w:hint="default" w:ascii="Times New Roman" w:hAnsi="Times New Roman" w:eastAsia="宋体" w:cs="Times New Roman"/>
                <w:color w:val="auto"/>
                <w:lang w:val="en-US" w:eastAsia="zh-CN"/>
              </w:rPr>
              <w:t>故项目所在区域地表水水体为不达标区，不达标原因主要为周边农业的影响</w:t>
            </w:r>
            <w:r>
              <w:rPr>
                <w:rFonts w:hint="default" w:ascii="Times New Roman" w:hAnsi="Times New Roman" w:eastAsia="宋体" w:cs="Times New Roman"/>
                <w:color w:val="auto"/>
                <w:lang w:eastAsia="zh-CN"/>
              </w:rPr>
              <w:t>。</w:t>
            </w:r>
          </w:p>
          <w:p w14:paraId="5983CC95">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3</w:t>
            </w:r>
            <w:r>
              <w:rPr>
                <w:rFonts w:hint="eastAsia" w:cs="Times New Roman"/>
                <w:b/>
                <w:bCs/>
                <w:color w:val="auto"/>
                <w:lang w:eastAsia="zh-CN"/>
              </w:rPr>
              <w:t>、</w:t>
            </w:r>
            <w:r>
              <w:rPr>
                <w:rFonts w:hint="default" w:ascii="Times New Roman" w:hAnsi="Times New Roman" w:cs="Times New Roman"/>
                <w:b/>
                <w:bCs/>
                <w:color w:val="auto"/>
              </w:rPr>
              <w:t>声环境</w:t>
            </w:r>
          </w:p>
          <w:p w14:paraId="41ABFE53">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（1）声环境质量执行标准</w:t>
            </w:r>
          </w:p>
          <w:p w14:paraId="769687F6">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val="en-US" w:eastAsia="zh-CN"/>
              </w:rPr>
              <w:t>位于</w:t>
            </w:r>
            <w:r>
              <w:rPr>
                <w:rFonts w:hint="eastAsia" w:cs="Times New Roman"/>
                <w:color w:val="auto"/>
                <w:kern w:val="2"/>
                <w:sz w:val="24"/>
                <w:szCs w:val="24"/>
                <w:lang w:val="en-US" w:eastAsia="zh-CN" w:bidi="ar-SA"/>
              </w:rPr>
              <w:t>云南省玉溪市红塔区北城街道</w:t>
            </w:r>
            <w:r>
              <w:rPr>
                <w:rFonts w:hint="eastAsia" w:ascii="Times New Roman" w:hAnsi="Times New Roman" w:eastAsia="宋体" w:cs="Times New Roman"/>
                <w:color w:val="auto"/>
              </w:rPr>
              <w:t>，</w:t>
            </w:r>
            <w:r>
              <w:rPr>
                <w:rFonts w:hint="eastAsia" w:cs="Times New Roman"/>
                <w:color w:val="auto"/>
                <w:lang w:val="en-US" w:eastAsia="zh-CN"/>
              </w:rPr>
              <w:t>属于工业活动的农村地区，为</w:t>
            </w:r>
            <w:r>
              <w:rPr>
                <w:rFonts w:hint="eastAsia" w:ascii="Times New Roman" w:hAnsi="Times New Roman" w:eastAsia="宋体" w:cs="Times New Roman"/>
                <w:color w:val="auto"/>
              </w:rPr>
              <w:t>声环境功能区划为2类区</w:t>
            </w:r>
            <w:r>
              <w:rPr>
                <w:rFonts w:hint="default" w:ascii="Times New Roman" w:hAnsi="Times New Roman" w:cs="Times New Roman"/>
                <w:color w:val="auto"/>
              </w:rPr>
              <w:t>，执行《声环境质量标准》（GB3096-2008）</w:t>
            </w:r>
            <w:r>
              <w:rPr>
                <w:rFonts w:hint="default" w:ascii="Times New Roman" w:hAnsi="Times New Roman" w:cs="Times New Roman"/>
                <w:color w:val="auto"/>
                <w:lang w:val="en-US" w:eastAsia="zh-CN"/>
              </w:rPr>
              <w:t>2</w:t>
            </w:r>
            <w:r>
              <w:rPr>
                <w:rFonts w:hint="default" w:ascii="Times New Roman" w:hAnsi="Times New Roman" w:cs="Times New Roman"/>
                <w:color w:val="auto"/>
              </w:rPr>
              <w:t>类标准，标准值见表3-</w:t>
            </w:r>
            <w:r>
              <w:rPr>
                <w:rFonts w:hint="eastAsia" w:cs="Times New Roman"/>
                <w:color w:val="auto"/>
                <w:lang w:val="en-US" w:eastAsia="zh-CN"/>
              </w:rPr>
              <w:t>5</w:t>
            </w:r>
            <w:r>
              <w:rPr>
                <w:rFonts w:hint="default" w:ascii="Times New Roman" w:hAnsi="Times New Roman" w:cs="Times New Roman"/>
                <w:color w:val="auto"/>
              </w:rPr>
              <w:t>。</w:t>
            </w:r>
          </w:p>
          <w:p w14:paraId="7B779235">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表3-</w:t>
            </w:r>
            <w:r>
              <w:rPr>
                <w:rFonts w:hint="eastAsia" w:cs="Times New Roman"/>
                <w:color w:val="auto"/>
                <w:sz w:val="24"/>
                <w:szCs w:val="32"/>
                <w:lang w:val="en-US" w:eastAsia="zh-CN"/>
              </w:rPr>
              <w:t xml:space="preserve">5  </w:t>
            </w:r>
            <w:r>
              <w:rPr>
                <w:rFonts w:hint="default" w:ascii="Times New Roman" w:hAnsi="Times New Roman" w:eastAsia="宋体" w:cs="Times New Roman"/>
                <w:color w:val="auto"/>
                <w:sz w:val="24"/>
                <w:szCs w:val="32"/>
              </w:rPr>
              <w:t xml:space="preserve"> 声环境质量标准</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2418"/>
              <w:gridCol w:w="1985"/>
              <w:gridCol w:w="1986"/>
            </w:tblGrid>
            <w:tr w14:paraId="2589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927" w:type="pct"/>
                  <w:vMerge w:val="restart"/>
                  <w:tcBorders>
                    <w:top w:val="single" w:color="auto" w:sz="4" w:space="0"/>
                    <w:left w:val="single" w:color="auto" w:sz="4" w:space="0"/>
                    <w:bottom w:val="single" w:color="auto" w:sz="4" w:space="0"/>
                    <w:right w:val="single" w:color="auto" w:sz="4" w:space="0"/>
                  </w:tcBorders>
                  <w:vAlign w:val="center"/>
                </w:tcPr>
                <w:p w14:paraId="24117C1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1541" w:type="pct"/>
                  <w:vMerge w:val="restart"/>
                  <w:tcBorders>
                    <w:top w:val="single" w:color="auto" w:sz="4" w:space="0"/>
                    <w:left w:val="single" w:color="auto" w:sz="4" w:space="0"/>
                    <w:bottom w:val="single" w:color="auto" w:sz="4" w:space="0"/>
                    <w:right w:val="single" w:color="auto" w:sz="4" w:space="0"/>
                  </w:tcBorders>
                  <w:vAlign w:val="center"/>
                </w:tcPr>
                <w:p w14:paraId="7109478F">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适用区域</w:t>
                  </w:r>
                </w:p>
              </w:tc>
              <w:tc>
                <w:tcPr>
                  <w:tcW w:w="2531" w:type="pct"/>
                  <w:gridSpan w:val="2"/>
                  <w:tcBorders>
                    <w:top w:val="single" w:color="auto" w:sz="4" w:space="0"/>
                    <w:left w:val="single" w:color="auto" w:sz="4" w:space="0"/>
                    <w:bottom w:val="single" w:color="auto" w:sz="4" w:space="0"/>
                    <w:right w:val="single" w:color="auto" w:sz="4" w:space="0"/>
                  </w:tcBorders>
                  <w:vAlign w:val="center"/>
                </w:tcPr>
                <w:p w14:paraId="2CC4D51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等效声级</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dB</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A</w:t>
                  </w:r>
                  <w:r>
                    <w:rPr>
                      <w:rFonts w:hint="default" w:ascii="Times New Roman" w:hAnsi="Times New Roman" w:eastAsia="宋体" w:cs="Times New Roman"/>
                      <w:b/>
                      <w:bCs/>
                      <w:color w:val="auto"/>
                      <w:sz w:val="21"/>
                      <w:szCs w:val="21"/>
                      <w:lang w:eastAsia="zh-CN"/>
                    </w:rPr>
                    <w:t>）〕</w:t>
                  </w:r>
                </w:p>
              </w:tc>
            </w:tr>
            <w:tr w14:paraId="3B35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927" w:type="pct"/>
                  <w:vMerge w:val="continue"/>
                  <w:tcBorders>
                    <w:top w:val="single" w:color="auto" w:sz="4" w:space="0"/>
                    <w:left w:val="single" w:color="auto" w:sz="4" w:space="0"/>
                    <w:bottom w:val="single" w:color="auto" w:sz="4" w:space="0"/>
                    <w:right w:val="single" w:color="auto" w:sz="4" w:space="0"/>
                  </w:tcBorders>
                  <w:vAlign w:val="center"/>
                </w:tcPr>
                <w:p w14:paraId="1CA47F0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p>
              </w:tc>
              <w:tc>
                <w:tcPr>
                  <w:tcW w:w="1541" w:type="pct"/>
                  <w:vMerge w:val="continue"/>
                  <w:tcBorders>
                    <w:top w:val="single" w:color="auto" w:sz="4" w:space="0"/>
                    <w:left w:val="single" w:color="auto" w:sz="4" w:space="0"/>
                    <w:bottom w:val="single" w:color="auto" w:sz="4" w:space="0"/>
                    <w:right w:val="single" w:color="auto" w:sz="4" w:space="0"/>
                  </w:tcBorders>
                  <w:vAlign w:val="center"/>
                </w:tcPr>
                <w:p w14:paraId="54638224">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p>
              </w:tc>
              <w:tc>
                <w:tcPr>
                  <w:tcW w:w="1265" w:type="pct"/>
                  <w:tcBorders>
                    <w:top w:val="single" w:color="auto" w:sz="4" w:space="0"/>
                    <w:left w:val="single" w:color="auto" w:sz="4" w:space="0"/>
                    <w:bottom w:val="single" w:color="auto" w:sz="4" w:space="0"/>
                    <w:right w:val="single" w:color="auto" w:sz="4" w:space="0"/>
                  </w:tcBorders>
                  <w:vAlign w:val="center"/>
                </w:tcPr>
                <w:p w14:paraId="218786C0">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266" w:type="pct"/>
                  <w:tcBorders>
                    <w:top w:val="single" w:color="auto" w:sz="4" w:space="0"/>
                    <w:left w:val="single" w:color="auto" w:sz="4" w:space="0"/>
                    <w:bottom w:val="single" w:color="auto" w:sz="4" w:space="0"/>
                    <w:right w:val="single" w:color="auto" w:sz="4" w:space="0"/>
                  </w:tcBorders>
                  <w:vAlign w:val="center"/>
                </w:tcPr>
                <w:p w14:paraId="27BA6148">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7B7D0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27" w:type="pct"/>
                  <w:tcBorders>
                    <w:top w:val="single" w:color="auto" w:sz="4" w:space="0"/>
                    <w:left w:val="single" w:color="auto" w:sz="4" w:space="0"/>
                    <w:bottom w:val="single" w:color="auto" w:sz="4" w:space="0"/>
                    <w:right w:val="single" w:color="auto" w:sz="4" w:space="0"/>
                  </w:tcBorders>
                  <w:vAlign w:val="center"/>
                </w:tcPr>
                <w:p w14:paraId="4710FA39">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2类</w:t>
                  </w:r>
                </w:p>
              </w:tc>
              <w:tc>
                <w:tcPr>
                  <w:tcW w:w="1541" w:type="pct"/>
                  <w:tcBorders>
                    <w:top w:val="single" w:color="auto" w:sz="4" w:space="0"/>
                    <w:left w:val="single" w:color="auto" w:sz="4" w:space="0"/>
                    <w:bottom w:val="single" w:color="auto" w:sz="4" w:space="0"/>
                    <w:right w:val="single" w:color="auto" w:sz="4" w:space="0"/>
                  </w:tcBorders>
                  <w:vAlign w:val="center"/>
                </w:tcPr>
                <w:p w14:paraId="41E31E6E">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项目区</w:t>
                  </w:r>
                </w:p>
              </w:tc>
              <w:tc>
                <w:tcPr>
                  <w:tcW w:w="1265" w:type="pct"/>
                  <w:tcBorders>
                    <w:top w:val="single" w:color="auto" w:sz="4" w:space="0"/>
                    <w:left w:val="single" w:color="auto" w:sz="4" w:space="0"/>
                    <w:bottom w:val="single" w:color="auto" w:sz="4" w:space="0"/>
                    <w:right w:val="single" w:color="auto" w:sz="4" w:space="0"/>
                  </w:tcBorders>
                  <w:vAlign w:val="center"/>
                </w:tcPr>
                <w:p w14:paraId="53F56ACB">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1266" w:type="pct"/>
                  <w:tcBorders>
                    <w:top w:val="single" w:color="auto" w:sz="4" w:space="0"/>
                    <w:left w:val="single" w:color="auto" w:sz="4" w:space="0"/>
                    <w:bottom w:val="single" w:color="auto" w:sz="4" w:space="0"/>
                    <w:right w:val="single" w:color="auto" w:sz="4" w:space="0"/>
                  </w:tcBorders>
                  <w:vAlign w:val="center"/>
                </w:tcPr>
                <w:p w14:paraId="76CAFD4B">
                  <w:pPr>
                    <w:pStyle w:val="56"/>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50</w:t>
                  </w:r>
                </w:p>
              </w:tc>
            </w:tr>
          </w:tbl>
          <w:p w14:paraId="2956E7CA">
            <w:pPr>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bCs/>
                <w:color w:val="auto"/>
              </w:rPr>
            </w:pPr>
            <w:r>
              <w:rPr>
                <w:rFonts w:hint="default" w:ascii="Times New Roman" w:hAnsi="Times New Roman" w:cs="Times New Roman"/>
                <w:b/>
                <w:bCs/>
                <w:color w:val="auto"/>
              </w:rPr>
              <w:t>（2）声环境质量现状</w:t>
            </w:r>
          </w:p>
          <w:p w14:paraId="3FD95479">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cs="Times New Roman"/>
                <w:color w:val="auto"/>
                <w:kern w:val="0"/>
                <w:sz w:val="24"/>
                <w:szCs w:val="20"/>
              </w:rPr>
            </w:pPr>
            <w:r>
              <w:rPr>
                <w:rFonts w:hint="default" w:ascii="Times New Roman" w:hAnsi="Times New Roman" w:eastAsia="宋体" w:cs="Times New Roman"/>
                <w:color w:val="auto"/>
                <w:kern w:val="0"/>
                <w:sz w:val="24"/>
                <w:szCs w:val="20"/>
                <w:lang w:val="en-US" w:eastAsia="zh-CN" w:bidi="ar-SA"/>
              </w:rPr>
              <w:t>本项目位于云南省玉溪市红塔区北城街道刺桐关社区一组岔箐脑，</w:t>
            </w:r>
            <w:r>
              <w:rPr>
                <w:rFonts w:hint="eastAsia" w:cs="Times New Roman"/>
                <w:color w:val="auto"/>
                <w:lang w:val="en-US" w:eastAsia="zh-CN"/>
              </w:rPr>
              <w:t>属于工业活动的农村地区，</w:t>
            </w:r>
            <w:r>
              <w:rPr>
                <w:rFonts w:hint="eastAsia" w:cs="Times New Roman"/>
                <w:color w:val="auto"/>
                <w:kern w:val="0"/>
                <w:sz w:val="24"/>
                <w:szCs w:val="20"/>
                <w:lang w:val="en-US" w:eastAsia="zh-CN" w:bidi="ar-SA"/>
              </w:rPr>
              <w:t>为</w:t>
            </w:r>
            <w:r>
              <w:rPr>
                <w:rFonts w:hint="default" w:ascii="Times New Roman" w:hAnsi="Times New Roman" w:eastAsia="宋体" w:cs="Times New Roman"/>
                <w:color w:val="auto"/>
                <w:kern w:val="0"/>
                <w:sz w:val="24"/>
                <w:szCs w:val="20"/>
                <w:lang w:val="en-US" w:eastAsia="zh-CN" w:bidi="ar-SA"/>
              </w:rPr>
              <w:t>2类声环境功能区，执行《声环境质量标准》（GB3096-2008）2类标准。项目周边50m范围内</w:t>
            </w:r>
            <w:r>
              <w:rPr>
                <w:rFonts w:hint="eastAsia" w:cs="Times New Roman"/>
                <w:color w:val="auto"/>
                <w:kern w:val="0"/>
                <w:sz w:val="24"/>
                <w:szCs w:val="20"/>
                <w:lang w:val="en-US" w:eastAsia="zh-CN" w:bidi="ar-SA"/>
              </w:rPr>
              <w:t>无</w:t>
            </w:r>
            <w:r>
              <w:rPr>
                <w:rFonts w:hint="default" w:ascii="Times New Roman" w:hAnsi="Times New Roman" w:eastAsia="宋体" w:cs="Times New Roman"/>
                <w:color w:val="auto"/>
                <w:kern w:val="0"/>
                <w:sz w:val="24"/>
                <w:szCs w:val="20"/>
                <w:lang w:val="en-US" w:eastAsia="zh-CN" w:bidi="ar-SA"/>
              </w:rPr>
              <w:t>声环境敏感目标，根据现场勘查，项目区周边均为山地和林地，周围没有大的噪声源，声环境质量现状良好，能够满足《声环境质量标准》（GB3096-2008）2类标准要求。</w:t>
            </w:r>
          </w:p>
          <w:p w14:paraId="56784C15">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default" w:ascii="Times New Roman" w:hAnsi="Times New Roman" w:cs="Times New Roman"/>
                <w:b/>
                <w:bCs/>
                <w:color w:val="auto"/>
              </w:rPr>
            </w:pPr>
            <w:r>
              <w:rPr>
                <w:rFonts w:hint="default" w:ascii="Times New Roman" w:hAnsi="Times New Roman" w:cs="Times New Roman"/>
                <w:b/>
                <w:bCs/>
                <w:color w:val="auto"/>
              </w:rPr>
              <w:t>4</w:t>
            </w:r>
            <w:r>
              <w:rPr>
                <w:rFonts w:hint="eastAsia" w:ascii="Times New Roman" w:hAnsi="Times New Roman" w:cs="Times New Roman"/>
                <w:b/>
                <w:bCs/>
                <w:color w:val="auto"/>
                <w:lang w:eastAsia="zh-CN"/>
              </w:rPr>
              <w:t>、</w:t>
            </w:r>
            <w:r>
              <w:rPr>
                <w:rFonts w:hint="default" w:ascii="Times New Roman" w:hAnsi="Times New Roman" w:cs="Times New Roman"/>
                <w:b/>
                <w:bCs/>
                <w:color w:val="auto"/>
              </w:rPr>
              <w:t>生态环境</w:t>
            </w:r>
          </w:p>
          <w:p w14:paraId="53D75884">
            <w:pPr>
              <w:pStyle w:val="13"/>
              <w:rPr>
                <w:rFonts w:hint="eastAsia"/>
                <w:color w:val="auto"/>
                <w:lang w:val="en-US" w:eastAsia="zh-CN"/>
              </w:rPr>
            </w:pPr>
            <w:r>
              <w:rPr>
                <w:rFonts w:hint="default" w:ascii="Times New Roman" w:hAnsi="Times New Roman" w:eastAsia="宋体" w:cs="Times New Roman"/>
                <w:color w:val="auto"/>
                <w:kern w:val="0"/>
                <w:sz w:val="24"/>
                <w:szCs w:val="20"/>
                <w:lang w:val="en-US" w:eastAsia="zh-CN" w:bidi="ar-SA"/>
              </w:rPr>
              <w:t>项目选址位于云南省玉溪市红塔区北城街道刺桐关社区一组岔箐脑，</w:t>
            </w:r>
            <w:r>
              <w:rPr>
                <w:rFonts w:hint="eastAsia"/>
                <w:color w:val="auto"/>
                <w:lang w:val="en-US" w:eastAsia="zh-CN"/>
              </w:rPr>
              <w:t>利用既有厂房和空地进行生产线建设，根据现场调查，占地范围内已无野生动植物，根据《建设项目环境影响报告表编制技术指南》（污染影响类）规定，本项目不识别生态保护目标。</w:t>
            </w:r>
          </w:p>
          <w:p w14:paraId="1F417D07">
            <w:pPr>
              <w:pStyle w:val="13"/>
              <w:rPr>
                <w:rFonts w:hint="default"/>
                <w:color w:val="auto"/>
                <w:lang w:val="en-US" w:eastAsia="zh-CN"/>
              </w:rPr>
            </w:pPr>
            <w:r>
              <w:rPr>
                <w:rFonts w:hint="eastAsia"/>
                <w:color w:val="auto"/>
                <w:lang w:val="en-US" w:eastAsia="zh-CN"/>
              </w:rPr>
              <w:t>根据现场调查，本项目占地范围内无保护野生动植物，本项目的建设</w:t>
            </w:r>
            <w:r>
              <w:rPr>
                <w:rFonts w:hint="default" w:ascii="Times New Roman" w:hAnsi="Times New Roman" w:cs="Times New Roman" w:eastAsiaTheme="minorEastAsia"/>
                <w:color w:val="auto"/>
                <w:sz w:val="24"/>
                <w:szCs w:val="24"/>
                <w:lang w:val="en-US" w:eastAsia="zh-CN"/>
              </w:rPr>
              <w:t>不会对周边生态环境造成不利影响。</w:t>
            </w:r>
            <w:r>
              <w:rPr>
                <w:rFonts w:hint="default" w:ascii="Times New Roman" w:hAnsi="Times New Roman" w:eastAsia="宋体" w:cs="Times New Roman"/>
                <w:color w:val="auto"/>
                <w:sz w:val="24"/>
                <w:szCs w:val="24"/>
              </w:rPr>
              <w:t>项目区雨量充沛，植被发育，评价区的植被主要是次生林、灌草丛及农作物。次生林和灌草丛为季风常绿阔叶林被破坏后形成的植被类型，但在一些沟箐有少量季风阔叶林。植被主要为云南松、云南油松、旱冬瓜、麻栎等，农作物主要有蔬菜、玉米等。</w:t>
            </w:r>
            <w:r>
              <w:rPr>
                <w:rFonts w:hint="eastAsia" w:ascii="Times New Roman" w:hAnsi="Times New Roman" w:eastAsia="宋体" w:cs="Times New Roman"/>
                <w:color w:val="auto"/>
                <w:sz w:val="24"/>
                <w:szCs w:val="24"/>
                <w:lang w:val="en-US" w:eastAsia="zh-CN"/>
              </w:rPr>
              <w:t>本项目无废水外排，固体均进行了妥善处置，废气均可以做到达标排放，对周边的生态环境影响较小</w:t>
            </w:r>
            <w:r>
              <w:rPr>
                <w:rFonts w:hint="default" w:ascii="Times New Roman" w:hAnsi="Times New Roman" w:cs="Times New Roman" w:eastAsiaTheme="minorEastAsia"/>
                <w:color w:val="auto"/>
                <w:sz w:val="24"/>
                <w:szCs w:val="24"/>
                <w:lang w:val="en-US" w:eastAsia="zh-CN"/>
              </w:rPr>
              <w:t>。</w:t>
            </w:r>
          </w:p>
          <w:p w14:paraId="0DB07EB6">
            <w:pPr>
              <w:keepNext w:val="0"/>
              <w:keepLines w:val="0"/>
              <w:pageBreakBefore w:val="0"/>
              <w:widowControl/>
              <w:kinsoku/>
              <w:wordWrap/>
              <w:overflowPunct/>
              <w:topLinePunct w:val="0"/>
              <w:autoSpaceDE/>
              <w:autoSpaceDN/>
              <w:bidi w:val="0"/>
              <w:adjustRightInd/>
              <w:snapToGrid/>
              <w:ind w:firstLine="480" w:firstLineChars="0"/>
              <w:textAlignment w:val="auto"/>
              <w:rPr>
                <w:rFonts w:hint="default" w:ascii="Times New Roman" w:hAnsi="Times New Roman" w:cs="Times New Roman"/>
                <w:b/>
                <w:bCs/>
                <w:color w:val="auto"/>
              </w:rPr>
            </w:pPr>
            <w:r>
              <w:rPr>
                <w:rFonts w:hint="default" w:ascii="Times New Roman" w:hAnsi="Times New Roman" w:cs="Times New Roman"/>
                <w:b/>
                <w:bCs/>
                <w:color w:val="auto"/>
              </w:rPr>
              <w:t>5、地下水、土壤环境</w:t>
            </w:r>
          </w:p>
          <w:p w14:paraId="6BED798C">
            <w:pPr>
              <w:tabs>
                <w:tab w:val="left" w:pos="483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根据《建设项目环境影响报告表编制技术指南》（污染影响类）</w:t>
            </w:r>
            <w:r>
              <w:rPr>
                <w:rFonts w:hint="eastAsia" w:cs="Times New Roman"/>
                <w:color w:val="auto"/>
                <w:sz w:val="24"/>
                <w:lang w:eastAsia="zh-CN"/>
              </w:rPr>
              <w:t>，“</w:t>
            </w:r>
            <w:r>
              <w:rPr>
                <w:rFonts w:hint="default" w:ascii="Times New Roman" w:hAnsi="Times New Roman" w:cs="Times New Roman"/>
                <w:color w:val="auto"/>
                <w:sz w:val="24"/>
              </w:rPr>
              <w:t>原则上不开展环境质量现状调查。建设项目存在土壤、地下水环境污染途径的，应结合污染源、保护目标分布情况开展现状调查以留作背景值</w:t>
            </w:r>
            <w:r>
              <w:rPr>
                <w:rFonts w:hint="eastAsia" w:cs="Times New Roman"/>
                <w:color w:val="auto"/>
                <w:sz w:val="24"/>
                <w:lang w:eastAsia="zh-CN"/>
              </w:rPr>
              <w:t>”</w:t>
            </w:r>
            <w:r>
              <w:rPr>
                <w:rFonts w:hint="default" w:ascii="Times New Roman" w:hAnsi="Times New Roman" w:cs="Times New Roman"/>
                <w:color w:val="auto"/>
                <w:sz w:val="24"/>
              </w:rPr>
              <w:t>。</w:t>
            </w:r>
          </w:p>
          <w:p w14:paraId="7DCA4CC2">
            <w:pPr>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sz w:val="24"/>
              </w:rPr>
              <w:t>本项目为</w:t>
            </w:r>
            <w:r>
              <w:rPr>
                <w:rFonts w:hint="eastAsia" w:cs="Times New Roman"/>
                <w:color w:val="auto"/>
                <w:sz w:val="24"/>
                <w:lang w:eastAsia="zh-CN"/>
              </w:rPr>
              <w:t>EPS泡沫颗粒</w:t>
            </w:r>
            <w:r>
              <w:rPr>
                <w:rFonts w:hint="default" w:ascii="Times New Roman" w:hAnsi="Times New Roman" w:cs="Times New Roman"/>
                <w:color w:val="auto"/>
                <w:sz w:val="24"/>
                <w:lang w:eastAsia="zh-CN"/>
              </w:rPr>
              <w:t>建设</w:t>
            </w:r>
            <w:r>
              <w:rPr>
                <w:rFonts w:hint="default" w:ascii="Times New Roman" w:hAnsi="Times New Roman" w:cs="Times New Roman"/>
                <w:color w:val="auto"/>
                <w:sz w:val="24"/>
              </w:rPr>
              <w:t>项目，项目</w:t>
            </w:r>
            <w:r>
              <w:rPr>
                <w:rFonts w:hint="eastAsia" w:cs="Times New Roman"/>
                <w:color w:val="auto"/>
                <w:sz w:val="24"/>
                <w:lang w:val="en-US" w:eastAsia="zh-CN"/>
              </w:rPr>
              <w:t>租用</w:t>
            </w:r>
            <w:r>
              <w:rPr>
                <w:rFonts w:hint="eastAsia" w:cs="Times New Roman"/>
                <w:color w:val="auto"/>
                <w:sz w:val="24"/>
                <w:lang w:eastAsia="zh-CN"/>
              </w:rPr>
              <w:t>闲置厂房</w:t>
            </w:r>
            <w:r>
              <w:rPr>
                <w:rFonts w:hint="eastAsia" w:cs="Times New Roman"/>
                <w:color w:val="auto"/>
                <w:sz w:val="24"/>
                <w:lang w:val="en-US" w:eastAsia="zh-CN"/>
              </w:rPr>
              <w:t>和空闲场地</w:t>
            </w:r>
            <w:r>
              <w:rPr>
                <w:rFonts w:hint="eastAsia" w:cs="Times New Roman"/>
                <w:color w:val="auto"/>
                <w:sz w:val="24"/>
                <w:lang w:eastAsia="zh-CN"/>
              </w:rPr>
              <w:t>进行建设</w:t>
            </w:r>
            <w:r>
              <w:rPr>
                <w:rFonts w:hint="default" w:ascii="Times New Roman" w:hAnsi="Times New Roman" w:cs="Times New Roman"/>
                <w:color w:val="auto"/>
                <w:sz w:val="24"/>
              </w:rPr>
              <w:t>，</w:t>
            </w:r>
            <w:r>
              <w:rPr>
                <w:rFonts w:hint="eastAsia" w:cs="Times New Roman"/>
                <w:color w:val="auto"/>
                <w:sz w:val="24"/>
                <w:lang w:val="en-US" w:eastAsia="zh-CN"/>
              </w:rPr>
              <w:t>厂房</w:t>
            </w:r>
            <w:r>
              <w:rPr>
                <w:rFonts w:hint="default" w:ascii="Times New Roman" w:hAnsi="Times New Roman" w:cs="Times New Roman"/>
                <w:color w:val="auto"/>
                <w:sz w:val="24"/>
              </w:rPr>
              <w:t>地面均已进行硬化，</w:t>
            </w:r>
            <w:r>
              <w:rPr>
                <w:rFonts w:hint="eastAsia" w:cs="Times New Roman"/>
                <w:color w:val="auto"/>
                <w:sz w:val="24"/>
                <w:lang w:eastAsia="zh-CN"/>
              </w:rPr>
              <w:t>生产线均布设于车间内，项目</w:t>
            </w:r>
            <w:r>
              <w:rPr>
                <w:rFonts w:hint="eastAsia" w:cs="Times New Roman"/>
                <w:color w:val="auto"/>
                <w:sz w:val="24"/>
                <w:lang w:val="en-US" w:eastAsia="zh-CN"/>
              </w:rPr>
              <w:t>冷凝水</w:t>
            </w:r>
            <w:r>
              <w:rPr>
                <w:rFonts w:hint="eastAsia" w:cs="Times New Roman"/>
                <w:color w:val="auto"/>
                <w:sz w:val="24"/>
                <w:lang w:eastAsia="zh-CN"/>
              </w:rPr>
              <w:t>经冷却后循环使用，</w:t>
            </w:r>
            <w:r>
              <w:rPr>
                <w:rFonts w:hint="eastAsia" w:cs="Times New Roman"/>
                <w:color w:val="auto"/>
                <w:sz w:val="24"/>
                <w:lang w:val="en-US" w:eastAsia="zh-CN"/>
              </w:rPr>
              <w:t>不外排，生物质蒸汽发生器排污水和软水制备废水统一收集后，用于厂区洒水降尘</w:t>
            </w:r>
            <w:r>
              <w:rPr>
                <w:rFonts w:hint="eastAsia" w:cs="Times New Roman"/>
                <w:color w:val="auto"/>
                <w:sz w:val="24"/>
                <w:lang w:eastAsia="zh-CN"/>
              </w:rPr>
              <w:t>，</w:t>
            </w:r>
            <w:r>
              <w:rPr>
                <w:rFonts w:hint="eastAsia" w:ascii="Times New Roman" w:hAnsi="Times New Roman" w:eastAsia="宋体" w:cs="Times New Roman"/>
                <w:color w:val="auto"/>
                <w:sz w:val="24"/>
                <w:lang w:val="en-US" w:eastAsia="zh-CN"/>
              </w:rPr>
              <w:t>不外排；</w:t>
            </w:r>
            <w:r>
              <w:rPr>
                <w:rFonts w:hint="default" w:ascii="Times New Roman" w:hAnsi="Times New Roman" w:cs="Times New Roman" w:eastAsiaTheme="minorEastAsia"/>
                <w:color w:val="auto"/>
                <w:sz w:val="24"/>
                <w:szCs w:val="24"/>
              </w:rPr>
              <w:t>食堂废水经油水分离器隔油后与其</w:t>
            </w:r>
            <w:r>
              <w:rPr>
                <w:rFonts w:hint="default" w:ascii="Times New Roman" w:hAnsi="Times New Roman" w:cs="Times New Roman" w:eastAsiaTheme="minorEastAsia"/>
                <w:color w:val="auto"/>
                <w:sz w:val="24"/>
                <w:szCs w:val="24"/>
                <w:lang w:val="en-US" w:eastAsia="zh-CN"/>
              </w:rPr>
              <w:t>它</w:t>
            </w:r>
            <w:r>
              <w:rPr>
                <w:rFonts w:hint="default" w:ascii="Times New Roman" w:hAnsi="Times New Roman" w:cs="Times New Roman" w:eastAsiaTheme="minorEastAsia"/>
                <w:color w:val="auto"/>
                <w:sz w:val="24"/>
                <w:szCs w:val="24"/>
              </w:rPr>
              <w:t>生活污水一起进入化粪池</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经化粪池（</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）预处理后，</w:t>
            </w:r>
            <w:r>
              <w:rPr>
                <w:rFonts w:hint="eastAsia" w:cs="Times New Roman" w:eastAsiaTheme="minorEastAsia"/>
                <w:color w:val="auto"/>
                <w:sz w:val="24"/>
                <w:szCs w:val="24"/>
                <w:lang w:val="en-US" w:eastAsia="zh-CN"/>
              </w:rPr>
              <w:t>通过泵输送至项目新建的2m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/d的一体化污水处理设施，经处理达标后，晴天回用于厂区绿化或道路清扫，不外排，雨天暂存于中水池，待晴天后，回用于厂区绿化或道路清扫，不外排</w:t>
            </w:r>
            <w:r>
              <w:rPr>
                <w:rFonts w:hint="eastAsia" w:ascii="Times New Roman" w:hAnsi="Times New Roman" w:cs="Times New Roman" w:eastAsiaTheme="minorEastAsia"/>
                <w:color w:val="auto"/>
                <w:sz w:val="24"/>
                <w:szCs w:val="24"/>
                <w:lang w:eastAsia="zh-CN"/>
              </w:rPr>
              <w:t>；</w:t>
            </w:r>
            <w:r>
              <w:rPr>
                <w:rFonts w:hint="eastAsia" w:cs="Times New Roman"/>
                <w:color w:val="auto"/>
                <w:sz w:val="24"/>
                <w:lang w:val="en-US" w:eastAsia="zh-CN"/>
              </w:rPr>
              <w:t>发泡工段产生的有机废气经集气罩+两级活性炭装置治理达标后，通过1根15m排气筒（DA001）外排，生物质蒸汽发生器燃烧产生的废气经旋风除尘+布袋除尘处理后，通过1根30m排气筒（DA002）外排</w:t>
            </w:r>
            <w:r>
              <w:rPr>
                <w:rFonts w:hint="eastAsia" w:cs="Times New Roman"/>
                <w:color w:val="auto"/>
                <w:sz w:val="24"/>
                <w:lang w:eastAsia="zh-CN"/>
              </w:rPr>
              <w:t>，</w:t>
            </w:r>
            <w:r>
              <w:rPr>
                <w:rFonts w:hint="default" w:ascii="Times New Roman" w:hAnsi="Times New Roman" w:cs="Times New Roman"/>
                <w:color w:val="auto"/>
                <w:sz w:val="24"/>
              </w:rPr>
              <w:t>不存在土壤、地下水环境污染途径，故不开展环境质量现状调查。</w:t>
            </w:r>
          </w:p>
        </w:tc>
      </w:tr>
      <w:tr w14:paraId="3287A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Align w:val="center"/>
          </w:tcPr>
          <w:p w14:paraId="62E61E71">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7EB184FE">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3BD97C71">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kern w:val="0"/>
                <w:szCs w:val="21"/>
              </w:rPr>
              <w:t>目标</w:t>
            </w:r>
          </w:p>
        </w:tc>
        <w:tc>
          <w:tcPr>
            <w:tcW w:w="4734" w:type="pct"/>
            <w:vAlign w:val="center"/>
          </w:tcPr>
          <w:p w14:paraId="2704517F">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eastAsiaTheme="minorEastAsia"/>
                <w:b/>
                <w:color w:val="auto"/>
                <w:sz w:val="24"/>
                <w:highlight w:val="none"/>
              </w:rPr>
            </w:pPr>
            <w:r>
              <w:rPr>
                <w:rFonts w:hint="default" w:ascii="Times New Roman" w:hAnsi="Times New Roman" w:cs="Times New Roman" w:eastAsiaTheme="minorEastAsia"/>
                <w:b/>
                <w:color w:val="auto"/>
                <w:sz w:val="24"/>
                <w:highlight w:val="none"/>
              </w:rPr>
              <w:t>1、大气环境保护目标</w:t>
            </w:r>
          </w:p>
          <w:p w14:paraId="2B22C5DD">
            <w:pPr>
              <w:pStyle w:val="66"/>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highlight w:val="none"/>
                <w:lang w:val="zh-CN"/>
              </w:rPr>
            </w:pPr>
            <w:r>
              <w:rPr>
                <w:rFonts w:hint="default" w:ascii="Times New Roman" w:hAnsi="Times New Roman" w:cs="Times New Roman" w:eastAsiaTheme="minorEastAsia"/>
                <w:color w:val="auto"/>
              </w:rPr>
              <w:t>本项目大气环境保护目标为厂界外</w:t>
            </w:r>
            <w:r>
              <w:rPr>
                <w:rFonts w:hint="default" w:ascii="Times New Roman" w:hAnsi="Times New Roman" w:cs="Times New Roman" w:eastAsiaTheme="minorEastAsia"/>
                <w:color w:val="auto"/>
                <w:lang w:val="zh-CN"/>
              </w:rPr>
              <w:t>500米范围内的自然保护区、风景名胜区、居住区、文化区和农村地区中人群较集中的区域等保护目标。</w:t>
            </w:r>
            <w:r>
              <w:rPr>
                <w:rFonts w:hint="default" w:ascii="Times New Roman" w:hAnsi="Times New Roman" w:cs="Times New Roman" w:eastAsiaTheme="minorEastAsia"/>
                <w:color w:val="auto"/>
              </w:rPr>
              <w:t>根据现场调查情况核实，项目厂界外500m范围内无大气环境保护目标</w:t>
            </w:r>
            <w:r>
              <w:rPr>
                <w:rFonts w:hint="default" w:ascii="Times New Roman" w:hAnsi="Times New Roman" w:cs="Times New Roman" w:eastAsiaTheme="minorEastAsia"/>
                <w:color w:val="auto"/>
                <w:sz w:val="24"/>
                <w:highlight w:val="none"/>
                <w:lang w:val="zh-CN"/>
              </w:rPr>
              <w:t>。</w:t>
            </w:r>
          </w:p>
          <w:p w14:paraId="27A4E885">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eastAsiaTheme="minorEastAsia"/>
                <w:b/>
                <w:color w:val="auto"/>
                <w:sz w:val="24"/>
                <w:highlight w:val="none"/>
              </w:rPr>
            </w:pPr>
            <w:r>
              <w:rPr>
                <w:rFonts w:hint="default" w:ascii="Times New Roman" w:hAnsi="Times New Roman" w:cs="Times New Roman" w:eastAsiaTheme="minorEastAsia"/>
                <w:b/>
                <w:color w:val="auto"/>
                <w:sz w:val="24"/>
                <w:highlight w:val="none"/>
              </w:rPr>
              <w:t>2、声环境保护目标</w:t>
            </w:r>
          </w:p>
          <w:p w14:paraId="23F275D5">
            <w:pPr>
              <w:pStyle w:val="66"/>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rPr>
              <w:t>根据现场踏勘，项目厂界外周边50m范围内无声环境保护目标</w:t>
            </w:r>
            <w:r>
              <w:rPr>
                <w:rFonts w:hint="default" w:ascii="Times New Roman" w:hAnsi="Times New Roman" w:cs="Times New Roman" w:eastAsiaTheme="minorEastAsia"/>
                <w:color w:val="auto"/>
                <w:sz w:val="24"/>
                <w:highlight w:val="none"/>
              </w:rPr>
              <w:t>。</w:t>
            </w:r>
          </w:p>
          <w:p w14:paraId="64C8BDAB">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eastAsiaTheme="minorEastAsia"/>
                <w:b/>
                <w:color w:val="auto"/>
                <w:sz w:val="24"/>
                <w:highlight w:val="none"/>
                <w:lang w:val="en-US" w:eastAsia="zh-CN"/>
              </w:rPr>
            </w:pPr>
            <w:r>
              <w:rPr>
                <w:rFonts w:hint="eastAsia" w:ascii="Times New Roman" w:hAnsi="Times New Roman" w:cs="Times New Roman" w:eastAsiaTheme="minorEastAsia"/>
                <w:b/>
                <w:color w:val="auto"/>
                <w:sz w:val="24"/>
                <w:highlight w:val="none"/>
                <w:lang w:val="en-US" w:eastAsia="zh-CN"/>
              </w:rPr>
              <w:t>3、</w:t>
            </w:r>
            <w:r>
              <w:rPr>
                <w:rFonts w:hint="default" w:ascii="Times New Roman" w:hAnsi="Times New Roman" w:cs="Times New Roman" w:eastAsiaTheme="minorEastAsia"/>
                <w:b/>
                <w:color w:val="auto"/>
                <w:sz w:val="24"/>
                <w:highlight w:val="none"/>
                <w:lang w:val="en-US" w:eastAsia="zh-CN"/>
              </w:rPr>
              <w:t>地下水环境保护目标</w:t>
            </w:r>
          </w:p>
          <w:p w14:paraId="02592962">
            <w:pPr>
              <w:pStyle w:val="21"/>
              <w:keepNext w:val="0"/>
              <w:keepLines w:val="0"/>
              <w:pageBreakBefore w:val="0"/>
              <w:widowControl w:val="0"/>
              <w:numPr>
                <w:ilvl w:val="0"/>
                <w:numId w:val="0"/>
              </w:numPr>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根据《建设项目环境影响报告表编制技术指南（污染影响类）》（试行），地下水环境应明确厂界外500m范围内的地下水集中式饮用水水源和热水、矿泉水、温泉等特殊地下水资源。经现场调查，项目厂界外500m范围无地下水集中式饮用水水源和热水、矿泉水、温泉等特殊地下水资源，故项目无需设置地下水环境保护目标。</w:t>
            </w:r>
          </w:p>
          <w:p w14:paraId="5E78F6B5">
            <w:pPr>
              <w:pStyle w:val="92"/>
              <w:ind w:firstLine="482"/>
              <w:rPr>
                <w:b/>
                <w:bCs/>
                <w:color w:val="auto"/>
              </w:rPr>
            </w:pPr>
            <w:r>
              <w:rPr>
                <w:rFonts w:hint="eastAsia"/>
                <w:b/>
                <w:bCs/>
                <w:color w:val="auto"/>
                <w:lang w:val="en-US" w:eastAsia="zh-CN"/>
              </w:rPr>
              <w:t>4</w:t>
            </w:r>
            <w:r>
              <w:rPr>
                <w:b/>
                <w:bCs/>
                <w:color w:val="auto"/>
              </w:rPr>
              <w:t>、地表水</w:t>
            </w:r>
          </w:p>
          <w:p w14:paraId="7AF42440">
            <w:pPr>
              <w:pStyle w:val="92"/>
              <w:ind w:firstLine="480"/>
              <w:rPr>
                <w:rFonts w:hint="eastAsia"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zh-CN" w:eastAsia="zh-CN" w:bidi="ar-SA"/>
              </w:rPr>
              <w:t>项目区周边最近地表水体为</w:t>
            </w:r>
            <w:r>
              <w:rPr>
                <w:rFonts w:hint="default" w:ascii="Times New Roman" w:hAnsi="Times New Roman" w:cs="Times New Roman" w:eastAsiaTheme="minorEastAsia"/>
                <w:color w:val="auto"/>
                <w:kern w:val="2"/>
                <w:sz w:val="24"/>
                <w:szCs w:val="24"/>
                <w:highlight w:val="none"/>
                <w:lang w:val="en-US" w:eastAsia="zh-CN" w:bidi="ar-SA"/>
              </w:rPr>
              <w:t>东南侧</w:t>
            </w:r>
            <w:r>
              <w:rPr>
                <w:rFonts w:hint="eastAsia" w:ascii="Times New Roman" w:hAnsi="Times New Roman" w:cs="Times New Roman" w:eastAsiaTheme="minorEastAsia"/>
                <w:color w:val="auto"/>
                <w:kern w:val="2"/>
                <w:sz w:val="24"/>
                <w:szCs w:val="24"/>
                <w:highlight w:val="none"/>
                <w:lang w:val="en-US" w:eastAsia="zh-CN" w:bidi="ar-SA"/>
              </w:rPr>
              <w:t>108</w:t>
            </w:r>
            <w:r>
              <w:rPr>
                <w:rFonts w:hint="default" w:ascii="Times New Roman" w:hAnsi="Times New Roman" w:cs="Times New Roman" w:eastAsiaTheme="minorEastAsia"/>
                <w:color w:val="auto"/>
                <w:kern w:val="2"/>
                <w:sz w:val="24"/>
                <w:szCs w:val="24"/>
                <w:highlight w:val="none"/>
                <w:lang w:val="en-US" w:eastAsia="zh-CN" w:bidi="ar-SA"/>
              </w:rPr>
              <w:t>m处的后河，后河汇入岔河，岔河流入项目南侧4020m处的西河水库</w:t>
            </w:r>
            <w:r>
              <w:rPr>
                <w:rFonts w:hint="eastAsia" w:ascii="Times New Roman" w:hAnsi="Times New Roman" w:cs="Times New Roman" w:eastAsiaTheme="minorEastAsia"/>
                <w:color w:val="auto"/>
                <w:kern w:val="2"/>
                <w:sz w:val="24"/>
                <w:szCs w:val="24"/>
                <w:highlight w:val="none"/>
                <w:lang w:val="en-US" w:eastAsia="zh-CN" w:bidi="ar-SA"/>
              </w:rPr>
              <w:t>（根据玉溪市人民政府关于批准红塔区西河水库饮用水水源地保护区划分调整技术报告的批复“取消西河水库饮用水功能，目前为农灌功能”，详见附件12）</w:t>
            </w:r>
            <w:r>
              <w:rPr>
                <w:rFonts w:hint="default" w:ascii="Times New Roman" w:hAnsi="Times New Roman" w:cs="Times New Roman" w:eastAsiaTheme="minorEastAsia"/>
                <w:color w:val="auto"/>
                <w:kern w:val="2"/>
                <w:sz w:val="24"/>
                <w:szCs w:val="24"/>
                <w:highlight w:val="none"/>
                <w:lang w:val="en-US" w:eastAsia="zh-CN" w:bidi="ar-SA"/>
              </w:rPr>
              <w:t>，出库后流入西河，西河属于玉溪大河支流，西河水汇入玉溪大河</w:t>
            </w:r>
            <w:r>
              <w:rPr>
                <w:rFonts w:hint="eastAsia" w:ascii="Times New Roman" w:hAnsi="Times New Roman" w:cs="Times New Roman" w:eastAsiaTheme="minorEastAsia"/>
                <w:color w:val="auto"/>
                <w:kern w:val="2"/>
                <w:sz w:val="24"/>
                <w:szCs w:val="24"/>
                <w:highlight w:val="none"/>
                <w:lang w:val="en-US" w:eastAsia="zh-CN" w:bidi="ar-SA"/>
              </w:rPr>
              <w:t>。</w:t>
            </w:r>
            <w:r>
              <w:rPr>
                <w:rFonts w:hint="eastAsia" w:cs="Times New Roman" w:eastAsiaTheme="minorEastAsia"/>
                <w:color w:val="auto"/>
                <w:kern w:val="2"/>
                <w:sz w:val="24"/>
                <w:szCs w:val="24"/>
                <w:highlight w:val="none"/>
                <w:lang w:val="en-US" w:eastAsia="zh-CN" w:bidi="ar-SA"/>
              </w:rPr>
              <w:t>本项目地表水保护目标为后河和玉溪大河，</w:t>
            </w:r>
            <w:r>
              <w:rPr>
                <w:rFonts w:hint="eastAsia" w:ascii="Times New Roman" w:hAnsi="Times New Roman" w:cs="Times New Roman" w:eastAsiaTheme="minorEastAsia"/>
                <w:color w:val="auto"/>
                <w:kern w:val="2"/>
                <w:sz w:val="24"/>
                <w:szCs w:val="24"/>
                <w:highlight w:val="none"/>
                <w:lang w:val="en-US" w:eastAsia="zh-CN" w:bidi="ar-SA"/>
              </w:rPr>
              <w:t>后河</w:t>
            </w:r>
            <w:r>
              <w:rPr>
                <w:rFonts w:hint="default" w:ascii="Times New Roman" w:hAnsi="Times New Roman" w:cs="Times New Roman" w:eastAsiaTheme="minorEastAsia"/>
                <w:color w:val="auto"/>
                <w:kern w:val="2"/>
                <w:sz w:val="24"/>
                <w:szCs w:val="24"/>
                <w:highlight w:val="none"/>
                <w:lang w:val="zh-CN" w:eastAsia="zh-CN" w:bidi="ar-SA"/>
              </w:rPr>
              <w:t>参照</w:t>
            </w:r>
            <w:r>
              <w:rPr>
                <w:rFonts w:hint="eastAsia" w:ascii="Times New Roman" w:hAnsi="Times New Roman" w:cs="Times New Roman" w:eastAsiaTheme="minorEastAsia"/>
                <w:color w:val="auto"/>
                <w:kern w:val="2"/>
                <w:sz w:val="24"/>
                <w:szCs w:val="24"/>
                <w:highlight w:val="none"/>
                <w:lang w:val="en-US" w:eastAsia="zh-CN" w:bidi="ar-SA"/>
              </w:rPr>
              <w:t>玉溪大河</w:t>
            </w:r>
            <w:r>
              <w:rPr>
                <w:rFonts w:hint="default" w:ascii="Times New Roman" w:hAnsi="Times New Roman" w:cs="Times New Roman" w:eastAsiaTheme="minorEastAsia"/>
                <w:color w:val="auto"/>
                <w:kern w:val="2"/>
                <w:sz w:val="24"/>
                <w:szCs w:val="24"/>
                <w:highlight w:val="none"/>
                <w:lang w:val="en-US" w:eastAsia="zh-CN" w:bidi="ar-SA"/>
              </w:rPr>
              <w:t>按照</w:t>
            </w:r>
            <w:r>
              <w:rPr>
                <w:rFonts w:hint="default" w:ascii="Times New Roman" w:hAnsi="Times New Roman" w:cs="Times New Roman" w:eastAsiaTheme="minorEastAsia"/>
                <w:color w:val="auto"/>
                <w:kern w:val="2"/>
                <w:sz w:val="24"/>
                <w:szCs w:val="24"/>
                <w:highlight w:val="none"/>
                <w:lang w:val="zh-CN" w:eastAsia="zh-CN" w:bidi="ar-SA"/>
              </w:rPr>
              <w:t>《地表水环境质量标准》（GB3838-2002）中Ⅲ类水质标准</w:t>
            </w:r>
            <w:r>
              <w:rPr>
                <w:rFonts w:hint="default" w:ascii="Times New Roman" w:hAnsi="Times New Roman" w:cs="Times New Roman" w:eastAsiaTheme="minorEastAsia"/>
                <w:color w:val="auto"/>
                <w:kern w:val="2"/>
                <w:sz w:val="24"/>
                <w:szCs w:val="24"/>
                <w:highlight w:val="none"/>
                <w:lang w:val="en-US" w:eastAsia="zh-CN" w:bidi="ar-SA"/>
              </w:rPr>
              <w:t>进行保护</w:t>
            </w:r>
            <w:r>
              <w:rPr>
                <w:rFonts w:hint="default" w:ascii="Times New Roman" w:hAnsi="Times New Roman" w:cs="Times New Roman" w:eastAsiaTheme="minorEastAsia"/>
                <w:color w:val="auto"/>
                <w:kern w:val="2"/>
                <w:sz w:val="24"/>
                <w:szCs w:val="24"/>
                <w:highlight w:val="none"/>
                <w:lang w:val="zh-CN" w:eastAsia="zh-CN" w:bidi="ar-SA"/>
              </w:rPr>
              <w:t>。</w:t>
            </w:r>
          </w:p>
          <w:p w14:paraId="1CBBD205">
            <w:pPr>
              <w:keepNext w:val="0"/>
              <w:keepLines w:val="0"/>
              <w:pageBreakBefore w:val="0"/>
              <w:widowControl w:val="0"/>
              <w:kinsoku/>
              <w:wordWrap/>
              <w:overflowPunct/>
              <w:topLinePunct w:val="0"/>
              <w:autoSpaceDE/>
              <w:autoSpaceDN/>
              <w:bidi w:val="0"/>
              <w:adjustRightInd w:val="0"/>
              <w:snapToGrid/>
              <w:spacing w:line="360" w:lineRule="auto"/>
              <w:ind w:firstLine="482" w:firstLineChars="200"/>
              <w:textAlignment w:val="auto"/>
              <w:rPr>
                <w:rFonts w:hint="default" w:ascii="Times New Roman" w:hAnsi="Times New Roman" w:cs="Times New Roman" w:eastAsiaTheme="minorEastAsia"/>
                <w:b/>
                <w:color w:val="auto"/>
                <w:sz w:val="24"/>
                <w:highlight w:val="none"/>
              </w:rPr>
            </w:pPr>
            <w:r>
              <w:rPr>
                <w:rFonts w:hint="eastAsia" w:cs="Times New Roman" w:eastAsiaTheme="minorEastAsia"/>
                <w:b/>
                <w:color w:val="auto"/>
                <w:sz w:val="24"/>
                <w:highlight w:val="none"/>
                <w:lang w:val="en-US" w:eastAsia="zh-CN"/>
              </w:rPr>
              <w:t>5</w:t>
            </w:r>
            <w:r>
              <w:rPr>
                <w:rFonts w:hint="default" w:ascii="Times New Roman" w:hAnsi="Times New Roman" w:cs="Times New Roman" w:eastAsiaTheme="minorEastAsia"/>
                <w:b/>
                <w:color w:val="auto"/>
                <w:sz w:val="24"/>
                <w:highlight w:val="none"/>
              </w:rPr>
              <w:t>、生态环境保护目标</w:t>
            </w:r>
          </w:p>
          <w:p w14:paraId="3822833E">
            <w:pPr>
              <w:keepNext w:val="0"/>
              <w:keepLines w:val="0"/>
              <w:pageBreakBefore w:val="0"/>
              <w:widowControl w:val="0"/>
              <w:tabs>
                <w:tab w:val="left" w:pos="4830"/>
              </w:tabs>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cs="Times New Roman"/>
                <w:color w:val="auto"/>
                <w:lang w:eastAsia="zh-CN"/>
              </w:rPr>
            </w:pPr>
            <w:r>
              <w:rPr>
                <w:rFonts w:hint="default" w:ascii="Times New Roman" w:hAnsi="Times New Roman" w:cs="Times New Roman" w:eastAsiaTheme="minorEastAsia"/>
                <w:color w:val="auto"/>
                <w:sz w:val="24"/>
                <w:highlight w:val="none"/>
              </w:rPr>
              <w:t>本项目位于</w:t>
            </w:r>
            <w:r>
              <w:rPr>
                <w:rFonts w:hint="default" w:ascii="Times New Roman" w:hAnsi="Times New Roman" w:cs="Times New Roman" w:eastAsiaTheme="minorEastAsia"/>
                <w:color w:val="auto"/>
                <w:sz w:val="24"/>
                <w:highlight w:val="none"/>
                <w:lang w:eastAsia="zh-CN"/>
              </w:rPr>
              <w:t>云南省玉溪市红塔区北城街道刺桐关社区一组岔箐脑</w:t>
            </w:r>
            <w:r>
              <w:rPr>
                <w:rFonts w:hint="default" w:ascii="Times New Roman" w:hAnsi="Times New Roman" w:cs="Times New Roman" w:eastAsiaTheme="minorEastAsia"/>
                <w:color w:val="auto"/>
                <w:sz w:val="24"/>
                <w:highlight w:val="none"/>
              </w:rPr>
              <w:t>，项目场地及周边200m范围内不存在自然保护区、世界文化和自然遗产地、风景名胜区、森林公园、地质公园、重要湿地、原始天然林、珍惜濒危野生动植物天然集中分布区等生态环境保护目标。</w:t>
            </w:r>
          </w:p>
        </w:tc>
      </w:tr>
      <w:tr w14:paraId="4DCAA5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Align w:val="center"/>
          </w:tcPr>
          <w:p w14:paraId="251C947C">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污染</w:t>
            </w:r>
          </w:p>
          <w:p w14:paraId="7AD8B3E5">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物排</w:t>
            </w:r>
          </w:p>
          <w:p w14:paraId="3E3702DB">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放控</w:t>
            </w:r>
          </w:p>
          <w:p w14:paraId="12840703">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制标</w:t>
            </w:r>
          </w:p>
          <w:p w14:paraId="366699C2">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准</w:t>
            </w:r>
          </w:p>
        </w:tc>
        <w:tc>
          <w:tcPr>
            <w:tcW w:w="4734" w:type="pct"/>
            <w:vAlign w:val="center"/>
          </w:tcPr>
          <w:p w14:paraId="10BD04BF">
            <w:pPr>
              <w:pStyle w:val="89"/>
              <w:tabs>
                <w:tab w:val="left" w:pos="4830"/>
              </w:tabs>
              <w:spacing w:line="360" w:lineRule="auto"/>
              <w:ind w:firstLine="482"/>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1、废气排放控制标准</w:t>
            </w:r>
          </w:p>
          <w:p w14:paraId="4691781B">
            <w:pPr>
              <w:pStyle w:val="89"/>
              <w:tabs>
                <w:tab w:val="left" w:pos="4830"/>
              </w:tabs>
              <w:spacing w:line="360" w:lineRule="auto"/>
              <w:ind w:firstLine="482"/>
              <w:rPr>
                <w:rFonts w:hint="default" w:ascii="Times New Roman" w:hAnsi="Times New Roman" w:cs="Times New Roman"/>
                <w:b w:val="0"/>
                <w:bCs w:val="0"/>
                <w:color w:val="auto"/>
                <w:sz w:val="24"/>
                <w:szCs w:val="32"/>
              </w:rPr>
            </w:pPr>
            <w:r>
              <w:rPr>
                <w:rFonts w:hint="default" w:ascii="Times New Roman" w:hAnsi="Times New Roman" w:cs="Times New Roman"/>
                <w:b w:val="0"/>
                <w:bCs w:val="0"/>
                <w:color w:val="auto"/>
                <w:sz w:val="24"/>
                <w:szCs w:val="32"/>
              </w:rPr>
              <w:t>（1）施工期</w:t>
            </w:r>
          </w:p>
          <w:p w14:paraId="3450F4DE">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highlight w:val="none"/>
              </w:rPr>
            </w:pPr>
            <w:r>
              <w:rPr>
                <w:rFonts w:hint="default" w:ascii="Times New Roman" w:hAnsi="Times New Roman" w:cs="Times New Roman" w:eastAsiaTheme="minorEastAsia"/>
                <w:color w:val="auto"/>
                <w:sz w:val="24"/>
                <w:highlight w:val="none"/>
              </w:rPr>
              <w:t>施工期粉尘执行《大气污染物综合排放标准》（GB16297-1996）无组织排放限值，标准限值见下表。</w:t>
            </w:r>
          </w:p>
          <w:p w14:paraId="6EE03C08">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p>
          <w:p w14:paraId="2B63D2BD">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表3</w:t>
            </w:r>
            <w:r>
              <w:rPr>
                <w:rFonts w:hint="eastAsia" w:cs="Times New Roman"/>
                <w:color w:val="auto"/>
                <w:sz w:val="24"/>
                <w:szCs w:val="32"/>
                <w:lang w:val="en-US" w:eastAsia="zh-CN"/>
              </w:rPr>
              <w:t>-6</w:t>
            </w:r>
            <w:r>
              <w:rPr>
                <w:rFonts w:hint="default" w:ascii="Times New Roman" w:hAnsi="Times New Roman" w:eastAsia="宋体" w:cs="Times New Roman"/>
                <w:color w:val="auto"/>
                <w:sz w:val="24"/>
                <w:szCs w:val="32"/>
              </w:rPr>
              <w:t xml:space="preserve"> 《大气污染物综合排放标准》无组织标准限值 单位：mg/m</w:t>
            </w:r>
            <w:r>
              <w:rPr>
                <w:rFonts w:hint="default" w:ascii="Times New Roman" w:hAnsi="Times New Roman" w:eastAsia="宋体" w:cs="Times New Roman"/>
                <w:color w:val="auto"/>
                <w:sz w:val="24"/>
                <w:szCs w:val="32"/>
                <w:vertAlign w:val="superscript"/>
              </w:rPr>
              <w:t>3</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21"/>
              <w:gridCol w:w="3822"/>
            </w:tblGrid>
            <w:tr w14:paraId="16FE1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3" w:type="pct"/>
                  <w:vAlign w:val="center"/>
                </w:tcPr>
                <w:p w14:paraId="49315D6A">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2436" w:type="pct"/>
                  <w:vAlign w:val="center"/>
                </w:tcPr>
                <w:p w14:paraId="7B09571F">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无组织排放监控浓度限值</w:t>
                  </w:r>
                </w:p>
              </w:tc>
            </w:tr>
            <w:tr w14:paraId="1CDB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563" w:type="pct"/>
                  <w:vAlign w:val="center"/>
                </w:tcPr>
                <w:p w14:paraId="0FA5DAD8">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436" w:type="pct"/>
                  <w:vAlign w:val="center"/>
                </w:tcPr>
                <w:p w14:paraId="4A41E109">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14:paraId="35B1CB92">
            <w:pPr>
              <w:keepNext w:val="0"/>
              <w:keepLines w:val="0"/>
              <w:pageBreakBefore w:val="0"/>
              <w:tabs>
                <w:tab w:val="left" w:pos="483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val="0"/>
                <w:color w:val="auto"/>
                <w:sz w:val="24"/>
              </w:rPr>
            </w:pPr>
            <w:r>
              <w:rPr>
                <w:rFonts w:hint="default" w:ascii="Times New Roman" w:hAnsi="Times New Roman" w:cs="Times New Roman" w:eastAsiaTheme="minorEastAsia"/>
                <w:b w:val="0"/>
                <w:bCs w:val="0"/>
                <w:color w:val="auto"/>
                <w:sz w:val="24"/>
              </w:rPr>
              <w:t>（2）运营期</w:t>
            </w:r>
          </w:p>
          <w:p w14:paraId="6A598372">
            <w:pPr>
              <w:pStyle w:val="10"/>
              <w:keepNext w:val="0"/>
              <w:keepLines w:val="0"/>
              <w:pageBreakBefore w:val="0"/>
              <w:tabs>
                <w:tab w:val="left" w:pos="4830"/>
              </w:tabs>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cs="Times New Roman" w:eastAsiaTheme="minorEastAsia"/>
                <w:color w:val="auto"/>
                <w:kern w:val="0"/>
                <w:szCs w:val="24"/>
              </w:rPr>
            </w:pPr>
            <w:r>
              <w:rPr>
                <w:rFonts w:hint="default" w:ascii="Times New Roman" w:hAnsi="Times New Roman" w:cs="Times New Roman" w:eastAsiaTheme="minorEastAsia"/>
                <w:color w:val="auto"/>
                <w:kern w:val="0"/>
                <w:szCs w:val="24"/>
              </w:rPr>
              <w:t>①泡沫颗粒生产线有组织废气</w:t>
            </w:r>
          </w:p>
          <w:p w14:paraId="354CCBEC">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highlight w:val="none"/>
                <w:lang w:eastAsia="zh-CN"/>
              </w:rPr>
            </w:pPr>
            <w:r>
              <w:rPr>
                <w:rFonts w:hint="default" w:ascii="Times New Roman" w:hAnsi="Times New Roman" w:cs="Times New Roman" w:eastAsiaTheme="minorEastAsia"/>
                <w:color w:val="auto"/>
                <w:sz w:val="24"/>
                <w:highlight w:val="none"/>
              </w:rPr>
              <w:t>本项目产生的有机废气以非甲烷总烃</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苯乙烯、</w:t>
            </w:r>
            <w:r>
              <w:rPr>
                <w:rFonts w:hint="eastAsia" w:cs="Times New Roman" w:eastAsiaTheme="minorEastAsia"/>
                <w:color w:val="auto"/>
                <w:sz w:val="24"/>
                <w:highlight w:val="none"/>
                <w:lang w:val="en-US" w:eastAsia="zh-CN"/>
              </w:rPr>
              <w:t>颗粒物、</w:t>
            </w:r>
            <w:r>
              <w:rPr>
                <w:rFonts w:hint="default" w:ascii="Times New Roman" w:hAnsi="Times New Roman" w:cs="Times New Roman" w:eastAsiaTheme="minorEastAsia"/>
                <w:color w:val="auto"/>
                <w:sz w:val="24"/>
                <w:highlight w:val="none"/>
                <w:lang w:val="en-US" w:eastAsia="zh-CN"/>
              </w:rPr>
              <w:t>甲苯、乙苯</w:t>
            </w:r>
            <w:r>
              <w:rPr>
                <w:rFonts w:hint="default" w:ascii="Times New Roman" w:hAnsi="Times New Roman" w:cs="Times New Roman" w:eastAsiaTheme="minorEastAsia"/>
                <w:color w:val="auto"/>
                <w:sz w:val="24"/>
                <w:highlight w:val="none"/>
              </w:rPr>
              <w:t>计，</w:t>
            </w:r>
            <w:r>
              <w:rPr>
                <w:rFonts w:hint="default" w:ascii="Times New Roman" w:hAnsi="Times New Roman" w:cs="Times New Roman" w:eastAsiaTheme="minorEastAsia"/>
                <w:color w:val="auto"/>
                <w:sz w:val="24"/>
                <w:highlight w:val="none"/>
                <w:lang w:val="en-US" w:eastAsia="zh-CN"/>
              </w:rPr>
              <w:t>执行</w:t>
            </w:r>
            <w:bookmarkStart w:id="21" w:name="_Hlk37272722"/>
            <w:r>
              <w:rPr>
                <w:rFonts w:hint="default" w:ascii="Times New Roman" w:hAnsi="Times New Roman" w:cs="Times New Roman" w:eastAsiaTheme="minorEastAsia"/>
                <w:color w:val="auto"/>
                <w:sz w:val="24"/>
                <w:highlight w:val="none"/>
              </w:rPr>
              <w:t>GB</w:t>
            </w:r>
            <w:r>
              <w:rPr>
                <w:rFonts w:hint="default" w:ascii="Times New Roman" w:hAnsi="Times New Roman" w:cs="Times New Roman" w:eastAsiaTheme="minorEastAsia"/>
                <w:color w:val="auto"/>
                <w:sz w:val="24"/>
                <w:highlight w:val="none"/>
                <w:lang w:val="en-US" w:eastAsia="zh-CN"/>
              </w:rPr>
              <w:t>31572</w:t>
            </w:r>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sz w:val="24"/>
                <w:highlight w:val="none"/>
                <w:lang w:val="en-US" w:eastAsia="zh-CN"/>
              </w:rPr>
              <w:t>2015</w:t>
            </w:r>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sz w:val="24"/>
                <w:highlight w:val="none"/>
                <w:lang w:val="en-US" w:eastAsia="zh-CN"/>
              </w:rPr>
              <w:t>合成树脂工业污染物排放标准</w:t>
            </w:r>
            <w:r>
              <w:rPr>
                <w:rFonts w:hint="default" w:ascii="Times New Roman" w:hAnsi="Times New Roman" w:cs="Times New Roman" w:eastAsiaTheme="minorEastAsia"/>
                <w:color w:val="auto"/>
                <w:sz w:val="24"/>
                <w:highlight w:val="none"/>
              </w:rPr>
              <w:t>》</w:t>
            </w:r>
            <w:r>
              <w:rPr>
                <w:rFonts w:hint="eastAsia" w:cs="Times New Roman" w:eastAsiaTheme="minorEastAsia"/>
                <w:color w:val="auto"/>
                <w:sz w:val="24"/>
                <w:highlight w:val="none"/>
                <w:lang w:eastAsia="zh-CN"/>
              </w:rPr>
              <w:t>（含2024年修改单）</w:t>
            </w:r>
            <w:r>
              <w:rPr>
                <w:rFonts w:hint="default" w:ascii="Times New Roman" w:hAnsi="Times New Roman" w:cs="Times New Roman" w:eastAsiaTheme="minorEastAsia"/>
                <w:color w:val="auto"/>
                <w:sz w:val="24"/>
                <w:highlight w:val="none"/>
              </w:rPr>
              <w:t>表</w:t>
            </w:r>
            <w:r>
              <w:rPr>
                <w:rFonts w:hint="default" w:ascii="Times New Roman" w:hAnsi="Times New Roman" w:cs="Times New Roman" w:eastAsiaTheme="minorEastAsia"/>
                <w:color w:val="auto"/>
                <w:sz w:val="24"/>
                <w:highlight w:val="none"/>
                <w:lang w:val="en-US" w:eastAsia="zh-CN"/>
              </w:rPr>
              <w:t>4</w:t>
            </w:r>
            <w:r>
              <w:rPr>
                <w:rFonts w:hint="default" w:ascii="Times New Roman" w:hAnsi="Times New Roman" w:cs="Times New Roman" w:eastAsiaTheme="minorEastAsia"/>
                <w:color w:val="auto"/>
                <w:sz w:val="24"/>
                <w:highlight w:val="none"/>
              </w:rPr>
              <w:t>标准</w:t>
            </w:r>
            <w:bookmarkEnd w:id="21"/>
            <w:r>
              <w:rPr>
                <w:rFonts w:hint="default" w:ascii="Times New Roman" w:hAnsi="Times New Roman" w:cs="Times New Roman" w:eastAsiaTheme="minorEastAsia"/>
                <w:color w:val="auto"/>
                <w:sz w:val="24"/>
                <w:highlight w:val="none"/>
              </w:rPr>
              <w:t>，</w:t>
            </w:r>
            <w:r>
              <w:rPr>
                <w:rFonts w:hint="default" w:ascii="Times New Roman" w:hAnsi="Times New Roman" w:cs="Times New Roman" w:eastAsiaTheme="minorEastAsia"/>
                <w:color w:val="auto"/>
                <w:sz w:val="24"/>
                <w:highlight w:val="none"/>
                <w:lang w:val="en-US" w:eastAsia="zh-CN"/>
              </w:rPr>
              <w:t>臭气浓度执行</w:t>
            </w:r>
            <w:r>
              <w:rPr>
                <w:rFonts w:hint="default" w:ascii="Times New Roman" w:hAnsi="Times New Roman" w:cs="Times New Roman" w:eastAsiaTheme="minorEastAsia"/>
                <w:color w:val="auto"/>
                <w:sz w:val="24"/>
                <w:highlight w:val="none"/>
                <w:lang w:val="zh-CN" w:eastAsia="zh-CN"/>
              </w:rPr>
              <w:t>《恶臭污染物排放标准》（GB14554-93）</w:t>
            </w:r>
            <w:r>
              <w:rPr>
                <w:rFonts w:hint="default" w:ascii="Times New Roman" w:hAnsi="Times New Roman" w:cs="Times New Roman" w:eastAsiaTheme="minorEastAsia"/>
                <w:color w:val="auto"/>
                <w:sz w:val="24"/>
                <w:highlight w:val="none"/>
              </w:rPr>
              <w:t>表2限值</w:t>
            </w:r>
            <w:r>
              <w:rPr>
                <w:rFonts w:hint="default" w:ascii="Times New Roman" w:hAnsi="Times New Roman" w:cs="Times New Roman" w:eastAsiaTheme="minorEastAsia"/>
                <w:color w:val="auto"/>
                <w:sz w:val="24"/>
                <w:highlight w:val="none"/>
                <w:lang w:eastAsia="zh-CN"/>
              </w:rPr>
              <w:t>，</w:t>
            </w:r>
            <w:r>
              <w:rPr>
                <w:rFonts w:hint="default" w:ascii="Times New Roman" w:hAnsi="Times New Roman" w:cs="Times New Roman" w:eastAsiaTheme="minorEastAsia"/>
                <w:color w:val="auto"/>
                <w:sz w:val="24"/>
                <w:highlight w:val="none"/>
                <w:lang w:val="en-US" w:eastAsia="zh-CN"/>
              </w:rPr>
              <w:t>具</w:t>
            </w:r>
            <w:r>
              <w:rPr>
                <w:rFonts w:hint="default" w:ascii="Times New Roman" w:hAnsi="Times New Roman" w:cs="Times New Roman" w:eastAsiaTheme="minorEastAsia"/>
                <w:color w:val="auto"/>
                <w:sz w:val="24"/>
                <w:highlight w:val="none"/>
              </w:rPr>
              <w:t>体</w:t>
            </w:r>
            <w:r>
              <w:rPr>
                <w:rFonts w:hint="default" w:ascii="Times New Roman" w:hAnsi="Times New Roman" w:cs="Times New Roman" w:eastAsiaTheme="minorEastAsia"/>
                <w:color w:val="auto"/>
                <w:sz w:val="24"/>
                <w:highlight w:val="none"/>
                <w:lang w:val="en-US" w:eastAsia="zh-CN"/>
              </w:rPr>
              <w:t>标准</w:t>
            </w:r>
            <w:r>
              <w:rPr>
                <w:rFonts w:hint="default" w:ascii="Times New Roman" w:hAnsi="Times New Roman" w:cs="Times New Roman" w:eastAsiaTheme="minorEastAsia"/>
                <w:color w:val="auto"/>
                <w:sz w:val="24"/>
                <w:highlight w:val="none"/>
              </w:rPr>
              <w:t>见下表</w:t>
            </w:r>
            <w:r>
              <w:rPr>
                <w:rFonts w:hint="default" w:ascii="Times New Roman" w:hAnsi="Times New Roman" w:cs="Times New Roman" w:eastAsiaTheme="minorEastAsia"/>
                <w:color w:val="auto"/>
                <w:sz w:val="24"/>
                <w:highlight w:val="none"/>
                <w:lang w:eastAsia="zh-CN"/>
              </w:rPr>
              <w:t>。</w:t>
            </w:r>
          </w:p>
          <w:p w14:paraId="58A62F3D">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表3-</w:t>
            </w:r>
            <w:r>
              <w:rPr>
                <w:rFonts w:hint="eastAsia" w:cs="Times New Roman"/>
                <w:color w:val="auto"/>
                <w:sz w:val="24"/>
                <w:szCs w:val="32"/>
                <w:lang w:val="en-US" w:eastAsia="zh-CN"/>
              </w:rPr>
              <w:t>7</w:t>
            </w:r>
            <w:r>
              <w:rPr>
                <w:rFonts w:hint="default" w:ascii="Times New Roman" w:hAnsi="Times New Roman" w:eastAsia="宋体" w:cs="Times New Roman"/>
                <w:color w:val="auto"/>
                <w:sz w:val="24"/>
                <w:szCs w:val="32"/>
              </w:rPr>
              <w:t xml:space="preserve">  挥发性有机物有组织排放限值</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056"/>
              <w:gridCol w:w="1271"/>
              <w:gridCol w:w="1569"/>
              <w:gridCol w:w="2138"/>
            </w:tblGrid>
            <w:tr w14:paraId="0F07C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1153" w:type="pct"/>
                  <w:tcBorders>
                    <w:top w:val="single" w:color="auto" w:sz="4" w:space="0"/>
                    <w:left w:val="single" w:color="auto" w:sz="4" w:space="0"/>
                    <w:bottom w:val="single" w:color="auto" w:sz="4" w:space="0"/>
                    <w:right w:val="single" w:color="auto" w:sz="4" w:space="0"/>
                  </w:tcBorders>
                  <w:vAlign w:val="center"/>
                </w:tcPr>
                <w:p w14:paraId="4B82150B">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污染物</w:t>
                  </w:r>
                </w:p>
              </w:tc>
              <w:tc>
                <w:tcPr>
                  <w:tcW w:w="673" w:type="pct"/>
                  <w:tcBorders>
                    <w:top w:val="single" w:color="auto" w:sz="4" w:space="0"/>
                    <w:left w:val="single" w:color="auto" w:sz="4" w:space="0"/>
                    <w:right w:val="single" w:color="auto" w:sz="4" w:space="0"/>
                  </w:tcBorders>
                  <w:vAlign w:val="center"/>
                </w:tcPr>
                <w:p w14:paraId="746DCFBA">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排气筒高度（m）</w:t>
                  </w:r>
                </w:p>
              </w:tc>
              <w:tc>
                <w:tcPr>
                  <w:tcW w:w="810" w:type="pct"/>
                  <w:tcBorders>
                    <w:top w:val="single" w:color="auto" w:sz="4" w:space="0"/>
                    <w:left w:val="single" w:color="auto" w:sz="4" w:space="0"/>
                    <w:bottom w:val="single" w:color="auto" w:sz="4" w:space="0"/>
                    <w:right w:val="single" w:color="auto" w:sz="4" w:space="0"/>
                  </w:tcBorders>
                  <w:vAlign w:val="center"/>
                </w:tcPr>
                <w:p w14:paraId="4CA38F39">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最高允许浓度（mg/m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lang w:val="en-US" w:eastAsia="zh-CN"/>
                    </w:rPr>
                    <w:t>）</w:t>
                  </w:r>
                </w:p>
              </w:tc>
              <w:tc>
                <w:tcPr>
                  <w:tcW w:w="1000" w:type="pct"/>
                  <w:tcBorders>
                    <w:top w:val="single" w:color="auto" w:sz="4" w:space="0"/>
                    <w:left w:val="single" w:color="auto" w:sz="4" w:space="0"/>
                    <w:bottom w:val="single" w:color="auto" w:sz="4" w:space="0"/>
                    <w:right w:val="single" w:color="auto" w:sz="4" w:space="0"/>
                  </w:tcBorders>
                  <w:vAlign w:val="center"/>
                </w:tcPr>
                <w:p w14:paraId="3F6BF72B">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最高允许排放速率（kg/h）</w:t>
                  </w:r>
                </w:p>
              </w:tc>
              <w:tc>
                <w:tcPr>
                  <w:tcW w:w="1362" w:type="pct"/>
                  <w:tcBorders>
                    <w:top w:val="single" w:color="auto" w:sz="4" w:space="0"/>
                    <w:left w:val="single" w:color="auto" w:sz="4" w:space="0"/>
                    <w:bottom w:val="single" w:color="auto" w:sz="4" w:space="0"/>
                    <w:right w:val="single" w:color="auto" w:sz="4" w:space="0"/>
                  </w:tcBorders>
                  <w:vAlign w:val="center"/>
                </w:tcPr>
                <w:p w14:paraId="320F01CE">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标准来源</w:t>
                  </w:r>
                </w:p>
              </w:tc>
            </w:tr>
            <w:tr w14:paraId="7E0F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3" w:type="pct"/>
                  <w:tcBorders>
                    <w:top w:val="single" w:color="auto" w:sz="4" w:space="0"/>
                    <w:left w:val="single" w:color="auto" w:sz="4" w:space="0"/>
                    <w:bottom w:val="single" w:color="auto" w:sz="4" w:space="0"/>
                    <w:right w:val="single" w:color="auto" w:sz="4" w:space="0"/>
                  </w:tcBorders>
                  <w:vAlign w:val="center"/>
                </w:tcPr>
                <w:p w14:paraId="3219D6F0">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非甲烷总烃</w:t>
                  </w:r>
                </w:p>
              </w:tc>
              <w:tc>
                <w:tcPr>
                  <w:tcW w:w="673" w:type="pct"/>
                  <w:vMerge w:val="restart"/>
                  <w:tcBorders>
                    <w:top w:val="single" w:color="auto" w:sz="4" w:space="0"/>
                    <w:left w:val="single" w:color="auto" w:sz="4" w:space="0"/>
                    <w:right w:val="single" w:color="auto" w:sz="4" w:space="0"/>
                  </w:tcBorders>
                  <w:vAlign w:val="center"/>
                </w:tcPr>
                <w:p w14:paraId="56FFA751">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15</w:t>
                  </w:r>
                </w:p>
              </w:tc>
              <w:tc>
                <w:tcPr>
                  <w:tcW w:w="810" w:type="pct"/>
                  <w:tcBorders>
                    <w:top w:val="single" w:color="auto" w:sz="4" w:space="0"/>
                    <w:left w:val="single" w:color="auto" w:sz="4" w:space="0"/>
                    <w:bottom w:val="single" w:color="auto" w:sz="4" w:space="0"/>
                    <w:right w:val="single" w:color="auto" w:sz="4" w:space="0"/>
                  </w:tcBorders>
                  <w:vAlign w:val="center"/>
                </w:tcPr>
                <w:p w14:paraId="6F66D320">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100</w:t>
                  </w:r>
                </w:p>
              </w:tc>
              <w:tc>
                <w:tcPr>
                  <w:tcW w:w="1000" w:type="pct"/>
                  <w:tcBorders>
                    <w:top w:val="single" w:color="auto" w:sz="4" w:space="0"/>
                    <w:left w:val="single" w:color="auto" w:sz="4" w:space="0"/>
                    <w:bottom w:val="single" w:color="auto" w:sz="4" w:space="0"/>
                    <w:right w:val="single" w:color="auto" w:sz="4" w:space="0"/>
                  </w:tcBorders>
                  <w:vAlign w:val="center"/>
                </w:tcPr>
                <w:p w14:paraId="26AC76FE">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362" w:type="pct"/>
                  <w:vMerge w:val="restart"/>
                  <w:tcBorders>
                    <w:top w:val="single" w:color="auto" w:sz="4" w:space="0"/>
                    <w:left w:val="single" w:color="auto" w:sz="4" w:space="0"/>
                    <w:right w:val="single" w:color="auto" w:sz="4" w:space="0"/>
                  </w:tcBorders>
                  <w:vAlign w:val="center"/>
                </w:tcPr>
                <w:p w14:paraId="1C474B3A">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GB31572-2015《合成树脂工业污染物排放标准》（含2024年修改单）</w:t>
                  </w:r>
                </w:p>
              </w:tc>
            </w:tr>
            <w:tr w14:paraId="6FD8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3" w:type="pct"/>
                  <w:tcBorders>
                    <w:top w:val="single" w:color="auto" w:sz="4" w:space="0"/>
                    <w:left w:val="single" w:color="auto" w:sz="4" w:space="0"/>
                    <w:bottom w:val="single" w:color="auto" w:sz="4" w:space="0"/>
                    <w:right w:val="single" w:color="auto" w:sz="4" w:space="0"/>
                  </w:tcBorders>
                  <w:shd w:val="clear" w:color="auto" w:fill="auto"/>
                  <w:vAlign w:val="center"/>
                </w:tcPr>
                <w:p w14:paraId="559FEE66">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苯乙烯</w:t>
                  </w:r>
                </w:p>
              </w:tc>
              <w:tc>
                <w:tcPr>
                  <w:tcW w:w="673" w:type="pct"/>
                  <w:vMerge w:val="continue"/>
                  <w:tcBorders>
                    <w:left w:val="single" w:color="auto" w:sz="4" w:space="0"/>
                    <w:right w:val="single" w:color="auto" w:sz="4" w:space="0"/>
                  </w:tcBorders>
                  <w:shd w:val="clear" w:color="auto" w:fill="auto"/>
                  <w:vAlign w:val="center"/>
                </w:tcPr>
                <w:p w14:paraId="70D77690">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26C8CE5A">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50</w:t>
                  </w:r>
                </w:p>
              </w:tc>
              <w:tc>
                <w:tcPr>
                  <w:tcW w:w="1000" w:type="pct"/>
                  <w:tcBorders>
                    <w:top w:val="single" w:color="auto" w:sz="4" w:space="0"/>
                    <w:left w:val="single" w:color="auto" w:sz="4" w:space="0"/>
                    <w:bottom w:val="single" w:color="auto" w:sz="4" w:space="0"/>
                    <w:right w:val="single" w:color="auto" w:sz="4" w:space="0"/>
                  </w:tcBorders>
                  <w:vAlign w:val="center"/>
                </w:tcPr>
                <w:p w14:paraId="2344AEDE">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362" w:type="pct"/>
                  <w:vMerge w:val="continue"/>
                  <w:tcBorders>
                    <w:left w:val="single" w:color="auto" w:sz="4" w:space="0"/>
                    <w:right w:val="single" w:color="auto" w:sz="4" w:space="0"/>
                  </w:tcBorders>
                  <w:vAlign w:val="center"/>
                </w:tcPr>
                <w:p w14:paraId="490B8D21">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r>
            <w:tr w14:paraId="4BAC2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3" w:type="pct"/>
                  <w:tcBorders>
                    <w:top w:val="single" w:color="auto" w:sz="4" w:space="0"/>
                    <w:left w:val="single" w:color="auto" w:sz="4" w:space="0"/>
                    <w:bottom w:val="single" w:color="auto" w:sz="4" w:space="0"/>
                    <w:right w:val="single" w:color="auto" w:sz="4" w:space="0"/>
                  </w:tcBorders>
                  <w:shd w:val="clear" w:color="auto" w:fill="auto"/>
                  <w:vAlign w:val="center"/>
                </w:tcPr>
                <w:p w14:paraId="74E18245">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颗粒物</w:t>
                  </w:r>
                </w:p>
              </w:tc>
              <w:tc>
                <w:tcPr>
                  <w:tcW w:w="673" w:type="pct"/>
                  <w:vMerge w:val="continue"/>
                  <w:tcBorders>
                    <w:left w:val="single" w:color="auto" w:sz="4" w:space="0"/>
                    <w:right w:val="single" w:color="auto" w:sz="4" w:space="0"/>
                  </w:tcBorders>
                  <w:shd w:val="clear" w:color="auto" w:fill="auto"/>
                  <w:vAlign w:val="center"/>
                </w:tcPr>
                <w:p w14:paraId="6481377D">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p>
              </w:tc>
              <w:tc>
                <w:tcPr>
                  <w:tcW w:w="810" w:type="pct"/>
                  <w:tcBorders>
                    <w:top w:val="single" w:color="auto" w:sz="4" w:space="0"/>
                    <w:left w:val="single" w:color="auto" w:sz="4" w:space="0"/>
                    <w:bottom w:val="single" w:color="auto" w:sz="4" w:space="0"/>
                    <w:right w:val="single" w:color="auto" w:sz="4" w:space="0"/>
                  </w:tcBorders>
                  <w:shd w:val="clear" w:color="auto" w:fill="auto"/>
                  <w:vAlign w:val="center"/>
                </w:tcPr>
                <w:p w14:paraId="4B178440">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30</w:t>
                  </w:r>
                </w:p>
              </w:tc>
              <w:tc>
                <w:tcPr>
                  <w:tcW w:w="1000" w:type="pct"/>
                  <w:tcBorders>
                    <w:top w:val="single" w:color="auto" w:sz="4" w:space="0"/>
                    <w:left w:val="single" w:color="auto" w:sz="4" w:space="0"/>
                    <w:bottom w:val="single" w:color="auto" w:sz="4" w:space="0"/>
                    <w:right w:val="single" w:color="auto" w:sz="4" w:space="0"/>
                  </w:tcBorders>
                  <w:vAlign w:val="center"/>
                </w:tcPr>
                <w:p w14:paraId="4A5D767C">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w:t>
                  </w:r>
                </w:p>
              </w:tc>
              <w:tc>
                <w:tcPr>
                  <w:tcW w:w="1362" w:type="pct"/>
                  <w:vMerge w:val="continue"/>
                  <w:tcBorders>
                    <w:left w:val="single" w:color="auto" w:sz="4" w:space="0"/>
                    <w:right w:val="single" w:color="auto" w:sz="4" w:space="0"/>
                  </w:tcBorders>
                  <w:vAlign w:val="center"/>
                </w:tcPr>
                <w:p w14:paraId="6B0E91A3">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r>
            <w:tr w14:paraId="7417B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3" w:type="pct"/>
                  <w:tcBorders>
                    <w:top w:val="single" w:color="auto" w:sz="4" w:space="0"/>
                    <w:left w:val="single" w:color="auto" w:sz="4" w:space="0"/>
                    <w:bottom w:val="single" w:color="auto" w:sz="4" w:space="0"/>
                    <w:right w:val="single" w:color="auto" w:sz="4" w:space="0"/>
                  </w:tcBorders>
                  <w:vAlign w:val="center"/>
                </w:tcPr>
                <w:p w14:paraId="62792DF4">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甲苯</w:t>
                  </w:r>
                </w:p>
              </w:tc>
              <w:tc>
                <w:tcPr>
                  <w:tcW w:w="673" w:type="pct"/>
                  <w:vMerge w:val="continue"/>
                  <w:tcBorders>
                    <w:left w:val="single" w:color="auto" w:sz="4" w:space="0"/>
                    <w:right w:val="single" w:color="auto" w:sz="4" w:space="0"/>
                  </w:tcBorders>
                  <w:vAlign w:val="center"/>
                </w:tcPr>
                <w:p w14:paraId="2F0C92BD">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810" w:type="pct"/>
                  <w:tcBorders>
                    <w:top w:val="single" w:color="auto" w:sz="4" w:space="0"/>
                    <w:left w:val="single" w:color="auto" w:sz="4" w:space="0"/>
                    <w:bottom w:val="single" w:color="auto" w:sz="4" w:space="0"/>
                    <w:right w:val="single" w:color="auto" w:sz="4" w:space="0"/>
                  </w:tcBorders>
                  <w:vAlign w:val="center"/>
                </w:tcPr>
                <w:p w14:paraId="7FD1F3D1">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15</w:t>
                  </w:r>
                </w:p>
              </w:tc>
              <w:tc>
                <w:tcPr>
                  <w:tcW w:w="1000" w:type="pct"/>
                  <w:tcBorders>
                    <w:top w:val="single" w:color="auto" w:sz="4" w:space="0"/>
                    <w:left w:val="single" w:color="auto" w:sz="4" w:space="0"/>
                    <w:bottom w:val="single" w:color="auto" w:sz="4" w:space="0"/>
                    <w:right w:val="single" w:color="auto" w:sz="4" w:space="0"/>
                  </w:tcBorders>
                  <w:vAlign w:val="center"/>
                </w:tcPr>
                <w:p w14:paraId="7898D8EE">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362" w:type="pct"/>
                  <w:vMerge w:val="continue"/>
                  <w:tcBorders>
                    <w:left w:val="single" w:color="auto" w:sz="4" w:space="0"/>
                    <w:right w:val="single" w:color="auto" w:sz="4" w:space="0"/>
                  </w:tcBorders>
                  <w:vAlign w:val="center"/>
                </w:tcPr>
                <w:p w14:paraId="083A225C">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r>
            <w:tr w14:paraId="7D111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153" w:type="pct"/>
                  <w:tcBorders>
                    <w:top w:val="single" w:color="auto" w:sz="4" w:space="0"/>
                    <w:left w:val="single" w:color="auto" w:sz="4" w:space="0"/>
                    <w:bottom w:val="single" w:color="auto" w:sz="4" w:space="0"/>
                    <w:right w:val="single" w:color="auto" w:sz="4" w:space="0"/>
                  </w:tcBorders>
                  <w:vAlign w:val="center"/>
                </w:tcPr>
                <w:p w14:paraId="21FBA346">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乙苯</w:t>
                  </w:r>
                </w:p>
              </w:tc>
              <w:tc>
                <w:tcPr>
                  <w:tcW w:w="673" w:type="pct"/>
                  <w:vMerge w:val="continue"/>
                  <w:tcBorders>
                    <w:left w:val="single" w:color="auto" w:sz="4" w:space="0"/>
                    <w:right w:val="single" w:color="auto" w:sz="4" w:space="0"/>
                  </w:tcBorders>
                  <w:vAlign w:val="center"/>
                </w:tcPr>
                <w:p w14:paraId="3B5115CB">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810" w:type="pct"/>
                  <w:tcBorders>
                    <w:top w:val="single" w:color="auto" w:sz="4" w:space="0"/>
                    <w:left w:val="single" w:color="auto" w:sz="4" w:space="0"/>
                    <w:bottom w:val="single" w:color="auto" w:sz="4" w:space="0"/>
                    <w:right w:val="single" w:color="auto" w:sz="4" w:space="0"/>
                  </w:tcBorders>
                  <w:vAlign w:val="center"/>
                </w:tcPr>
                <w:p w14:paraId="298DB089">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100</w:t>
                  </w:r>
                </w:p>
              </w:tc>
              <w:tc>
                <w:tcPr>
                  <w:tcW w:w="1000" w:type="pct"/>
                  <w:tcBorders>
                    <w:top w:val="single" w:color="auto" w:sz="4" w:space="0"/>
                    <w:left w:val="single" w:color="auto" w:sz="4" w:space="0"/>
                    <w:bottom w:val="single" w:color="auto" w:sz="4" w:space="0"/>
                    <w:right w:val="single" w:color="auto" w:sz="4" w:space="0"/>
                  </w:tcBorders>
                  <w:vAlign w:val="center"/>
                </w:tcPr>
                <w:p w14:paraId="51CDD231">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362" w:type="pct"/>
                  <w:vMerge w:val="continue"/>
                  <w:tcBorders>
                    <w:left w:val="single" w:color="auto" w:sz="4" w:space="0"/>
                    <w:right w:val="single" w:color="auto" w:sz="4" w:space="0"/>
                  </w:tcBorders>
                  <w:vAlign w:val="center"/>
                </w:tcPr>
                <w:p w14:paraId="06E09F6D">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r>
            <w:tr w14:paraId="0CD4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3" w:type="pct"/>
                  <w:tcBorders>
                    <w:top w:val="single" w:color="auto" w:sz="4" w:space="0"/>
                    <w:left w:val="single" w:color="auto" w:sz="4" w:space="0"/>
                    <w:bottom w:val="single" w:color="auto" w:sz="4" w:space="0"/>
                    <w:right w:val="single" w:color="auto" w:sz="4" w:space="0"/>
                  </w:tcBorders>
                  <w:vAlign w:val="center"/>
                </w:tcPr>
                <w:p w14:paraId="2CB190A0">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单位产品非甲烷总烃排放量</w:t>
                  </w:r>
                </w:p>
              </w:tc>
              <w:tc>
                <w:tcPr>
                  <w:tcW w:w="673" w:type="pct"/>
                  <w:vMerge w:val="continue"/>
                  <w:tcBorders>
                    <w:left w:val="single" w:color="auto" w:sz="4" w:space="0"/>
                    <w:right w:val="single" w:color="auto" w:sz="4" w:space="0"/>
                  </w:tcBorders>
                  <w:vAlign w:val="center"/>
                </w:tcPr>
                <w:p w14:paraId="05C11B41">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1810" w:type="pct"/>
                  <w:gridSpan w:val="2"/>
                  <w:tcBorders>
                    <w:top w:val="single" w:color="auto" w:sz="4" w:space="0"/>
                    <w:left w:val="single" w:color="auto" w:sz="4" w:space="0"/>
                    <w:bottom w:val="single" w:color="auto" w:sz="4" w:space="0"/>
                    <w:right w:val="single" w:color="auto" w:sz="4" w:space="0"/>
                  </w:tcBorders>
                  <w:vAlign w:val="center"/>
                </w:tcPr>
                <w:p w14:paraId="0D4776CF">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0.5kg/t产品</w:t>
                  </w:r>
                </w:p>
              </w:tc>
              <w:tc>
                <w:tcPr>
                  <w:tcW w:w="1362" w:type="pct"/>
                  <w:vMerge w:val="continue"/>
                  <w:tcBorders>
                    <w:left w:val="single" w:color="auto" w:sz="4" w:space="0"/>
                    <w:right w:val="single" w:color="auto" w:sz="4" w:space="0"/>
                  </w:tcBorders>
                  <w:vAlign w:val="center"/>
                </w:tcPr>
                <w:p w14:paraId="4D10E77C">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r>
            <w:tr w14:paraId="718F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3" w:type="pct"/>
                  <w:tcBorders>
                    <w:top w:val="single" w:color="auto" w:sz="4" w:space="0"/>
                    <w:left w:val="single" w:color="auto" w:sz="4" w:space="0"/>
                    <w:bottom w:val="single" w:color="auto" w:sz="4" w:space="0"/>
                    <w:right w:val="single" w:color="auto" w:sz="4" w:space="0"/>
                  </w:tcBorders>
                  <w:vAlign w:val="center"/>
                </w:tcPr>
                <w:p w14:paraId="4CC3E618">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臭气浓度</w:t>
                  </w:r>
                </w:p>
              </w:tc>
              <w:tc>
                <w:tcPr>
                  <w:tcW w:w="673" w:type="pct"/>
                  <w:vMerge w:val="continue"/>
                  <w:tcBorders>
                    <w:left w:val="single" w:color="auto" w:sz="4" w:space="0"/>
                    <w:bottom w:val="single" w:color="auto" w:sz="4" w:space="0"/>
                    <w:right w:val="single" w:color="auto" w:sz="4" w:space="0"/>
                  </w:tcBorders>
                  <w:vAlign w:val="center"/>
                </w:tcPr>
                <w:p w14:paraId="4254705A">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810" w:type="pct"/>
                  <w:tcBorders>
                    <w:top w:val="single" w:color="auto" w:sz="4" w:space="0"/>
                    <w:left w:val="single" w:color="auto" w:sz="4" w:space="0"/>
                    <w:bottom w:val="single" w:color="auto" w:sz="4" w:space="0"/>
                    <w:right w:val="single" w:color="auto" w:sz="4" w:space="0"/>
                  </w:tcBorders>
                  <w:vAlign w:val="center"/>
                </w:tcPr>
                <w:p w14:paraId="1F750A81">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w:t>
                  </w:r>
                </w:p>
              </w:tc>
              <w:tc>
                <w:tcPr>
                  <w:tcW w:w="1000" w:type="pct"/>
                  <w:tcBorders>
                    <w:top w:val="single" w:color="auto" w:sz="4" w:space="0"/>
                    <w:left w:val="single" w:color="auto" w:sz="4" w:space="0"/>
                    <w:bottom w:val="single" w:color="auto" w:sz="4" w:space="0"/>
                    <w:right w:val="single" w:color="auto" w:sz="4" w:space="0"/>
                  </w:tcBorders>
                  <w:vAlign w:val="center"/>
                </w:tcPr>
                <w:p w14:paraId="66DC7196">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2000（无量纲）</w:t>
                  </w:r>
                </w:p>
              </w:tc>
              <w:tc>
                <w:tcPr>
                  <w:tcW w:w="1362" w:type="pct"/>
                  <w:tcBorders>
                    <w:left w:val="single" w:color="auto" w:sz="4" w:space="0"/>
                    <w:bottom w:val="single" w:color="auto" w:sz="4" w:space="0"/>
                    <w:right w:val="single" w:color="auto" w:sz="4" w:space="0"/>
                  </w:tcBorders>
                  <w:vAlign w:val="center"/>
                </w:tcPr>
                <w:p w14:paraId="152F26B5">
                  <w:pPr>
                    <w:pStyle w:val="4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zh-CN" w:eastAsia="zh-CN"/>
                    </w:rPr>
                    <w:t>《恶臭污染物排放标准》（GB14554-93）</w:t>
                  </w:r>
                </w:p>
              </w:tc>
            </w:tr>
          </w:tbl>
          <w:p w14:paraId="67CA396A">
            <w:pPr>
              <w:pStyle w:val="10"/>
              <w:keepNext w:val="0"/>
              <w:keepLines w:val="0"/>
              <w:pageBreakBefore w:val="0"/>
              <w:tabs>
                <w:tab w:val="left" w:pos="4830"/>
              </w:tabs>
              <w:kinsoku/>
              <w:wordWrap/>
              <w:overflowPunct/>
              <w:topLinePunct w:val="0"/>
              <w:autoSpaceDE/>
              <w:autoSpaceDN/>
              <w:bidi w:val="0"/>
              <w:adjustRightInd/>
              <w:snapToGrid/>
              <w:spacing w:before="0" w:after="0" w:line="360" w:lineRule="auto"/>
              <w:ind w:firstLine="480"/>
              <w:textAlignment w:val="auto"/>
              <w:rPr>
                <w:rFonts w:hint="default" w:ascii="Times New Roman" w:hAnsi="Times New Roman" w:cs="Times New Roman" w:eastAsiaTheme="minorEastAsia"/>
                <w:color w:val="auto"/>
                <w:kern w:val="0"/>
                <w:szCs w:val="24"/>
                <w:lang w:val="en-US" w:eastAsia="zh-CN"/>
              </w:rPr>
            </w:pPr>
            <w:r>
              <w:rPr>
                <w:rFonts w:hint="default" w:ascii="Times New Roman" w:hAnsi="Times New Roman" w:cs="Times New Roman" w:eastAsiaTheme="minorEastAsia"/>
                <w:color w:val="auto"/>
                <w:kern w:val="0"/>
                <w:szCs w:val="24"/>
                <w:lang w:val="en-US" w:eastAsia="zh-CN"/>
              </w:rPr>
              <w:t>②有组织</w:t>
            </w:r>
            <w:r>
              <w:rPr>
                <w:rFonts w:hint="eastAsia" w:cs="Times New Roman" w:eastAsiaTheme="minorEastAsia"/>
                <w:color w:val="auto"/>
                <w:kern w:val="0"/>
                <w:szCs w:val="24"/>
                <w:lang w:val="en-US" w:eastAsia="zh-CN"/>
              </w:rPr>
              <w:t>生物质蒸汽发生器</w:t>
            </w:r>
            <w:r>
              <w:rPr>
                <w:rFonts w:hint="default" w:ascii="Times New Roman" w:hAnsi="Times New Roman" w:cs="Times New Roman" w:eastAsiaTheme="minorEastAsia"/>
                <w:color w:val="auto"/>
                <w:kern w:val="0"/>
                <w:szCs w:val="24"/>
                <w:lang w:val="en-US" w:eastAsia="zh-CN"/>
              </w:rPr>
              <w:t>废气</w:t>
            </w:r>
          </w:p>
          <w:p w14:paraId="33445F15">
            <w:pPr>
              <w:pStyle w:val="16"/>
              <w:keepNext w:val="0"/>
              <w:keepLines w:val="0"/>
              <w:pageBreakBefore w:val="0"/>
              <w:widowControl/>
              <w:kinsoku/>
              <w:overflowPunct/>
              <w:topLinePunct w:val="0"/>
              <w:autoSpaceDE/>
              <w:autoSpaceDN/>
              <w:bidi w:val="0"/>
              <w:adjustRightInd/>
              <w:snapToGrid/>
              <w:spacing w:before="0" w:after="0" w:line="360" w:lineRule="auto"/>
              <w:ind w:left="0" w:leftChars="0" w:right="0" w:firstLine="480" w:firstLineChars="200"/>
              <w:jc w:val="both"/>
              <w:textAlignment w:val="auto"/>
              <w:rPr>
                <w:rFonts w:hint="default" w:ascii="Times New Roman" w:hAnsi="Times New Roman" w:eastAsia="宋体" w:cs="Times New Roman"/>
                <w:color w:val="auto"/>
                <w:sz w:val="24"/>
                <w:szCs w:val="32"/>
              </w:rPr>
            </w:pPr>
            <w:r>
              <w:rPr>
                <w:rFonts w:hint="default" w:ascii="Times New Roman" w:hAnsi="Times New Roman" w:cs="Times New Roman" w:eastAsiaTheme="minorEastAsia"/>
                <w:i w:val="0"/>
                <w:color w:val="auto"/>
                <w:kern w:val="0"/>
                <w:sz w:val="24"/>
                <w:szCs w:val="24"/>
                <w:lang w:val="en-US" w:eastAsia="zh-CN" w:bidi="ar"/>
              </w:rPr>
              <w:t>本项目产生的</w:t>
            </w:r>
            <w:r>
              <w:rPr>
                <w:rFonts w:hint="eastAsia" w:ascii="Times New Roman" w:hAnsi="Times New Roman" w:cs="Times New Roman" w:eastAsiaTheme="minorEastAsia"/>
                <w:i w:val="0"/>
                <w:color w:val="auto"/>
                <w:kern w:val="0"/>
                <w:sz w:val="24"/>
                <w:szCs w:val="24"/>
                <w:lang w:val="en-US" w:eastAsia="zh-CN" w:bidi="ar"/>
              </w:rPr>
              <w:t>生物质蒸汽发生器</w:t>
            </w:r>
            <w:r>
              <w:rPr>
                <w:rFonts w:hint="default" w:ascii="Times New Roman" w:hAnsi="Times New Roman" w:cs="Times New Roman" w:eastAsiaTheme="minorEastAsia"/>
                <w:i w:val="0"/>
                <w:color w:val="auto"/>
                <w:kern w:val="0"/>
                <w:sz w:val="24"/>
                <w:szCs w:val="24"/>
                <w:lang w:val="en-US" w:eastAsia="zh-CN" w:bidi="ar"/>
              </w:rPr>
              <w:t>废气执行《锅炉大气污染物排放标准》（GB13271-2014）表2新建锅炉大气污染物排放浓度限值，详见下表。</w:t>
            </w:r>
          </w:p>
          <w:p w14:paraId="73DF7898">
            <w:pPr>
              <w:pStyle w:val="47"/>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rPr>
              <w:t>表3-</w:t>
            </w:r>
            <w:r>
              <w:rPr>
                <w:rFonts w:hint="eastAsia" w:cs="Times New Roman"/>
                <w:color w:val="auto"/>
                <w:sz w:val="24"/>
                <w:szCs w:val="32"/>
                <w:lang w:val="en-US" w:eastAsia="zh-CN"/>
              </w:rPr>
              <w:t>8</w:t>
            </w:r>
            <w:r>
              <w:rPr>
                <w:rFonts w:hint="default" w:ascii="Times New Roman" w:hAnsi="Times New Roman" w:eastAsia="宋体" w:cs="Times New Roman"/>
                <w:color w:val="auto"/>
                <w:sz w:val="24"/>
                <w:szCs w:val="32"/>
              </w:rPr>
              <w:t xml:space="preserve">  燃煤锅炉大气污染物排放标准   </w:t>
            </w:r>
            <w:r>
              <w:rPr>
                <w:rFonts w:hint="eastAsia" w:ascii="Times New Roman" w:hAnsi="Times New Roman" w:eastAsia="宋体" w:cs="Times New Roman"/>
                <w:color w:val="auto"/>
                <w:sz w:val="24"/>
                <w:szCs w:val="32"/>
              </w:rPr>
              <w:t xml:space="preserve"> </w:t>
            </w:r>
            <w:r>
              <w:rPr>
                <w:rFonts w:hint="default" w:ascii="Times New Roman" w:hAnsi="Times New Roman" w:eastAsia="宋体" w:cs="Times New Roman"/>
                <w:color w:val="auto"/>
                <w:sz w:val="24"/>
                <w:szCs w:val="32"/>
              </w:rPr>
              <w:t>单位：mg/m</w:t>
            </w:r>
            <w:r>
              <w:rPr>
                <w:rFonts w:hint="default" w:ascii="Times New Roman" w:hAnsi="Times New Roman" w:eastAsia="宋体" w:cs="Times New Roman"/>
                <w:color w:val="auto"/>
                <w:sz w:val="24"/>
                <w:szCs w:val="32"/>
                <w:vertAlign w:val="superscript"/>
              </w:rPr>
              <w:t>3</w:t>
            </w:r>
          </w:p>
          <w:tbl>
            <w:tblPr>
              <w:tblStyle w:val="33"/>
              <w:tblW w:w="4994"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892"/>
              <w:gridCol w:w="1418"/>
              <w:gridCol w:w="1516"/>
              <w:gridCol w:w="2015"/>
            </w:tblGrid>
            <w:tr w14:paraId="13FFFCA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893" w:type="dxa"/>
                  <w:vMerge w:val="restart"/>
                  <w:tcBorders>
                    <w:tl2br w:val="nil"/>
                    <w:tr2bl w:val="nil"/>
                  </w:tcBorders>
                  <w:vAlign w:val="center"/>
                </w:tcPr>
                <w:p w14:paraId="7A68DA56">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污染物项目</w:t>
                  </w:r>
                </w:p>
              </w:tc>
              <w:tc>
                <w:tcPr>
                  <w:tcW w:w="1418" w:type="dxa"/>
                  <w:tcBorders>
                    <w:tl2br w:val="nil"/>
                    <w:tr2bl w:val="nil"/>
                  </w:tcBorders>
                  <w:vAlign w:val="center"/>
                </w:tcPr>
                <w:p w14:paraId="5B34893B">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限值</w:t>
                  </w:r>
                </w:p>
              </w:tc>
              <w:tc>
                <w:tcPr>
                  <w:tcW w:w="1516" w:type="dxa"/>
                  <w:vMerge w:val="restart"/>
                  <w:tcBorders>
                    <w:tl2br w:val="nil"/>
                    <w:tr2bl w:val="nil"/>
                  </w:tcBorders>
                  <w:vAlign w:val="center"/>
                </w:tcPr>
                <w:p w14:paraId="63B5E6F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污染物排放</w:t>
                  </w:r>
                </w:p>
                <w:p w14:paraId="321BAD8E">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监控位置</w:t>
                  </w:r>
                </w:p>
              </w:tc>
              <w:tc>
                <w:tcPr>
                  <w:tcW w:w="2015" w:type="dxa"/>
                  <w:vMerge w:val="restart"/>
                  <w:tcBorders>
                    <w:tl2br w:val="nil"/>
                    <w:tr2bl w:val="nil"/>
                  </w:tcBorders>
                  <w:vAlign w:val="center"/>
                </w:tcPr>
                <w:p w14:paraId="43F7742A">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2~＜4t/h锅炉烟囱最低允许高度</w:t>
                  </w:r>
                </w:p>
              </w:tc>
            </w:tr>
            <w:tr w14:paraId="7CCB0B29">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3" w:type="dxa"/>
                  <w:vMerge w:val="continue"/>
                  <w:tcBorders>
                    <w:tl2br w:val="nil"/>
                    <w:tr2bl w:val="nil"/>
                  </w:tcBorders>
                  <w:vAlign w:val="center"/>
                </w:tcPr>
                <w:p w14:paraId="6AB19AFC">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bCs/>
                      <w:color w:val="auto"/>
                      <w:sz w:val="21"/>
                      <w:szCs w:val="21"/>
                      <w:lang w:val="en-US" w:eastAsia="zh-CN"/>
                    </w:rPr>
                  </w:pPr>
                </w:p>
              </w:tc>
              <w:tc>
                <w:tcPr>
                  <w:tcW w:w="1418" w:type="dxa"/>
                  <w:tcBorders>
                    <w:tl2br w:val="nil"/>
                    <w:tr2bl w:val="nil"/>
                  </w:tcBorders>
                  <w:vAlign w:val="center"/>
                </w:tcPr>
                <w:p w14:paraId="4736E2F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燃煤锅炉</w:t>
                  </w:r>
                </w:p>
              </w:tc>
              <w:tc>
                <w:tcPr>
                  <w:tcW w:w="1516" w:type="dxa"/>
                  <w:vMerge w:val="continue"/>
                  <w:tcBorders>
                    <w:tl2br w:val="nil"/>
                    <w:tr2bl w:val="nil"/>
                  </w:tcBorders>
                  <w:vAlign w:val="center"/>
                </w:tcPr>
                <w:p w14:paraId="3AF2A5E8">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p>
              </w:tc>
              <w:tc>
                <w:tcPr>
                  <w:tcW w:w="2015" w:type="dxa"/>
                  <w:vMerge w:val="continue"/>
                  <w:tcBorders>
                    <w:tl2br w:val="nil"/>
                    <w:tr2bl w:val="nil"/>
                  </w:tcBorders>
                  <w:vAlign w:val="center"/>
                </w:tcPr>
                <w:p w14:paraId="1FBC600E">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p>
              </w:tc>
            </w:tr>
            <w:tr w14:paraId="7171BF63">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3" w:type="dxa"/>
                  <w:tcBorders>
                    <w:tl2br w:val="nil"/>
                    <w:tr2bl w:val="nil"/>
                  </w:tcBorders>
                  <w:vAlign w:val="center"/>
                </w:tcPr>
                <w:p w14:paraId="2B71493D">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颗粒物</w:t>
                  </w:r>
                </w:p>
              </w:tc>
              <w:tc>
                <w:tcPr>
                  <w:tcW w:w="1418" w:type="dxa"/>
                  <w:tcBorders>
                    <w:tl2br w:val="nil"/>
                    <w:tr2bl w:val="nil"/>
                  </w:tcBorders>
                  <w:vAlign w:val="center"/>
                </w:tcPr>
                <w:p w14:paraId="49D11356">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50</w:t>
                  </w:r>
                </w:p>
              </w:tc>
              <w:tc>
                <w:tcPr>
                  <w:tcW w:w="1516" w:type="dxa"/>
                  <w:vMerge w:val="restart"/>
                  <w:tcBorders>
                    <w:tl2br w:val="nil"/>
                    <w:tr2bl w:val="nil"/>
                  </w:tcBorders>
                  <w:vAlign w:val="center"/>
                </w:tcPr>
                <w:p w14:paraId="0ADDC68A">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烟囱或烟道</w:t>
                  </w:r>
                </w:p>
              </w:tc>
              <w:tc>
                <w:tcPr>
                  <w:tcW w:w="2015" w:type="dxa"/>
                  <w:vMerge w:val="restart"/>
                  <w:tcBorders>
                    <w:tl2br w:val="nil"/>
                    <w:tr2bl w:val="nil"/>
                  </w:tcBorders>
                  <w:vAlign w:val="center"/>
                </w:tcPr>
                <w:p w14:paraId="590E1A5F">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30m</w:t>
                  </w:r>
                </w:p>
              </w:tc>
            </w:tr>
            <w:tr w14:paraId="24650268">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3" w:type="dxa"/>
                  <w:tcBorders>
                    <w:tl2br w:val="nil"/>
                    <w:tr2bl w:val="nil"/>
                  </w:tcBorders>
                  <w:vAlign w:val="center"/>
                </w:tcPr>
                <w:p w14:paraId="36023ED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二氧化硫</w:t>
                  </w:r>
                </w:p>
              </w:tc>
              <w:tc>
                <w:tcPr>
                  <w:tcW w:w="1418" w:type="dxa"/>
                  <w:tcBorders>
                    <w:tl2br w:val="nil"/>
                    <w:tr2bl w:val="nil"/>
                  </w:tcBorders>
                  <w:vAlign w:val="center"/>
                </w:tcPr>
                <w:p w14:paraId="15F417B5">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300</w:t>
                  </w:r>
                </w:p>
              </w:tc>
              <w:tc>
                <w:tcPr>
                  <w:tcW w:w="1516" w:type="dxa"/>
                  <w:vMerge w:val="continue"/>
                  <w:tcBorders>
                    <w:tl2br w:val="nil"/>
                    <w:tr2bl w:val="nil"/>
                  </w:tcBorders>
                  <w:vAlign w:val="center"/>
                </w:tcPr>
                <w:p w14:paraId="754A7E2E">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p>
              </w:tc>
              <w:tc>
                <w:tcPr>
                  <w:tcW w:w="2015" w:type="dxa"/>
                  <w:vMerge w:val="continue"/>
                  <w:tcBorders>
                    <w:tl2br w:val="nil"/>
                    <w:tr2bl w:val="nil"/>
                  </w:tcBorders>
                  <w:vAlign w:val="center"/>
                </w:tcPr>
                <w:p w14:paraId="32E6048B">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p>
              </w:tc>
            </w:tr>
            <w:tr w14:paraId="63254E3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3" w:type="dxa"/>
                  <w:tcBorders>
                    <w:tl2br w:val="nil"/>
                    <w:tr2bl w:val="nil"/>
                  </w:tcBorders>
                  <w:vAlign w:val="center"/>
                </w:tcPr>
                <w:p w14:paraId="4667E9DB">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氮氧化物</w:t>
                  </w:r>
                </w:p>
              </w:tc>
              <w:tc>
                <w:tcPr>
                  <w:tcW w:w="1418" w:type="dxa"/>
                  <w:tcBorders>
                    <w:tl2br w:val="nil"/>
                    <w:tr2bl w:val="nil"/>
                  </w:tcBorders>
                  <w:vAlign w:val="center"/>
                </w:tcPr>
                <w:p w14:paraId="62FF7068">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300</w:t>
                  </w:r>
                </w:p>
              </w:tc>
              <w:tc>
                <w:tcPr>
                  <w:tcW w:w="1516" w:type="dxa"/>
                  <w:vMerge w:val="continue"/>
                  <w:tcBorders>
                    <w:tl2br w:val="nil"/>
                    <w:tr2bl w:val="nil"/>
                  </w:tcBorders>
                  <w:vAlign w:val="center"/>
                </w:tcPr>
                <w:p w14:paraId="74C147F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p>
              </w:tc>
              <w:tc>
                <w:tcPr>
                  <w:tcW w:w="2015" w:type="dxa"/>
                  <w:vMerge w:val="continue"/>
                  <w:tcBorders>
                    <w:tl2br w:val="nil"/>
                    <w:tr2bl w:val="nil"/>
                  </w:tcBorders>
                  <w:vAlign w:val="center"/>
                </w:tcPr>
                <w:p w14:paraId="71B7368E">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p>
              </w:tc>
            </w:tr>
            <w:tr w14:paraId="387EC39F">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893" w:type="dxa"/>
                  <w:tcBorders>
                    <w:tl2br w:val="nil"/>
                    <w:tr2bl w:val="nil"/>
                  </w:tcBorders>
                  <w:vAlign w:val="center"/>
                </w:tcPr>
                <w:p w14:paraId="277FBDB5">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烟气黑度（林格曼黑度，级）</w:t>
                  </w:r>
                </w:p>
              </w:tc>
              <w:tc>
                <w:tcPr>
                  <w:tcW w:w="1418" w:type="dxa"/>
                  <w:tcBorders>
                    <w:tl2br w:val="nil"/>
                    <w:tr2bl w:val="nil"/>
                  </w:tcBorders>
                  <w:vAlign w:val="center"/>
                </w:tcPr>
                <w:p w14:paraId="43078F7A">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w:t>
                  </w:r>
                </w:p>
              </w:tc>
              <w:tc>
                <w:tcPr>
                  <w:tcW w:w="1516" w:type="dxa"/>
                  <w:tcBorders>
                    <w:tl2br w:val="nil"/>
                    <w:tr2bl w:val="nil"/>
                  </w:tcBorders>
                  <w:vAlign w:val="center"/>
                </w:tcPr>
                <w:p w14:paraId="250A282D">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烟囱排放口</w:t>
                  </w:r>
                </w:p>
              </w:tc>
              <w:tc>
                <w:tcPr>
                  <w:tcW w:w="2015" w:type="dxa"/>
                  <w:vMerge w:val="continue"/>
                  <w:tcBorders>
                    <w:tl2br w:val="nil"/>
                    <w:tr2bl w:val="nil"/>
                  </w:tcBorders>
                  <w:vAlign w:val="center"/>
                </w:tcPr>
                <w:p w14:paraId="43E75512">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color w:val="auto"/>
                      <w:sz w:val="21"/>
                      <w:szCs w:val="21"/>
                      <w:lang w:val="en-US" w:eastAsia="zh-CN"/>
                    </w:rPr>
                  </w:pPr>
                </w:p>
              </w:tc>
            </w:tr>
            <w:tr w14:paraId="56DDDAF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842" w:type="dxa"/>
                  <w:gridSpan w:val="4"/>
                  <w:tcBorders>
                    <w:tl2br w:val="nil"/>
                    <w:tr2bl w:val="nil"/>
                  </w:tcBorders>
                  <w:vAlign w:val="center"/>
                </w:tcPr>
                <w:p w14:paraId="3EE02734">
                  <w:pPr>
                    <w:pStyle w:val="46"/>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b w:val="0"/>
                      <w:bCs w:val="0"/>
                      <w:color w:val="auto"/>
                      <w:sz w:val="21"/>
                      <w:szCs w:val="21"/>
                      <w:lang w:val="en-US" w:eastAsia="zh-CN"/>
                    </w:rPr>
                    <w:t>备注：①我公司拟建设1座3t/h的</w:t>
                  </w:r>
                  <w:r>
                    <w:rPr>
                      <w:rFonts w:hint="eastAsia" w:cs="Times New Roman" w:eastAsiaTheme="minorEastAsia"/>
                      <w:b w:val="0"/>
                      <w:bCs w:val="0"/>
                      <w:color w:val="auto"/>
                      <w:sz w:val="21"/>
                      <w:szCs w:val="21"/>
                      <w:lang w:val="en-US" w:eastAsia="zh-CN"/>
                    </w:rPr>
                    <w:t>生物质蒸汽发生器</w:t>
                  </w:r>
                  <w:r>
                    <w:rPr>
                      <w:rFonts w:hint="default" w:ascii="Times New Roman" w:hAnsi="Times New Roman" w:cs="Times New Roman" w:eastAsiaTheme="minorEastAsia"/>
                      <w:b w:val="0"/>
                      <w:bCs w:val="0"/>
                      <w:color w:val="auto"/>
                      <w:sz w:val="21"/>
                      <w:szCs w:val="21"/>
                      <w:lang w:val="en-US" w:eastAsia="zh-CN"/>
                    </w:rPr>
                    <w:t>，燃料为生物质，</w:t>
                  </w:r>
                  <w:r>
                    <w:rPr>
                      <w:rFonts w:hint="eastAsia" w:cs="Times New Roman" w:eastAsiaTheme="minorEastAsia"/>
                      <w:b w:val="0"/>
                      <w:bCs w:val="0"/>
                      <w:color w:val="auto"/>
                      <w:sz w:val="21"/>
                      <w:szCs w:val="21"/>
                      <w:lang w:val="en-US" w:eastAsia="zh-CN"/>
                    </w:rPr>
                    <w:t>生物质蒸汽发生器</w:t>
                  </w:r>
                  <w:r>
                    <w:rPr>
                      <w:rFonts w:hint="default" w:ascii="Times New Roman" w:hAnsi="Times New Roman" w:cs="Times New Roman" w:eastAsiaTheme="minorEastAsia"/>
                      <w:b w:val="0"/>
                      <w:bCs w:val="0"/>
                      <w:color w:val="auto"/>
                      <w:sz w:val="21"/>
                      <w:szCs w:val="21"/>
                      <w:lang w:val="en-US" w:eastAsia="zh-CN"/>
                    </w:rPr>
                    <w:t>参照燃煤标准，最低允许的排放高度为30m</w:t>
                  </w:r>
                  <w:r>
                    <w:rPr>
                      <w:rFonts w:hint="default" w:ascii="Times New Roman" w:hAnsi="Times New Roman" w:cs="Times New Roman" w:eastAsiaTheme="minorEastAsia"/>
                      <w:color w:val="auto"/>
                      <w:sz w:val="21"/>
                      <w:szCs w:val="21"/>
                      <w:lang w:eastAsia="zh-CN"/>
                    </w:rPr>
                    <w:t>；</w:t>
                  </w:r>
                </w:p>
                <w:p w14:paraId="526887F7">
                  <w:pPr>
                    <w:pStyle w:val="13"/>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②根据厂家提供的生物质燃料的成分检测资料（详见附件</w:t>
                  </w:r>
                  <w:r>
                    <w:rPr>
                      <w:rFonts w:hint="eastAsia" w:ascii="Times New Roman" w:hAnsi="Times New Roman"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lang w:val="en-US" w:eastAsia="zh-CN"/>
                    </w:rPr>
                    <w:t>）生物质燃料</w:t>
                  </w:r>
                  <w:r>
                    <w:rPr>
                      <w:rFonts w:hint="eastAsia" w:cs="Times New Roman" w:eastAsiaTheme="minorEastAsia"/>
                      <w:color w:val="auto"/>
                      <w:sz w:val="21"/>
                      <w:szCs w:val="21"/>
                      <w:lang w:val="en-US" w:eastAsia="zh-CN"/>
                    </w:rPr>
                    <w:t>成分</w:t>
                  </w:r>
                  <w:r>
                    <w:rPr>
                      <w:rFonts w:hint="default" w:ascii="Times New Roman" w:hAnsi="Times New Roman" w:cs="Times New Roman" w:eastAsiaTheme="minorEastAsia"/>
                      <w:color w:val="auto"/>
                      <w:sz w:val="21"/>
                      <w:szCs w:val="21"/>
                      <w:lang w:val="en-US" w:eastAsia="zh-CN"/>
                    </w:rPr>
                    <w:t>不存在汞及其化合物，因此，不设置该项污染控制因子；</w:t>
                  </w:r>
                </w:p>
              </w:tc>
            </w:tr>
          </w:tbl>
          <w:p w14:paraId="08857E03">
            <w:pPr>
              <w:keepNext w:val="0"/>
              <w:keepLines w:val="0"/>
              <w:pageBreakBefore w:val="0"/>
              <w:widowControl/>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③</w:t>
            </w:r>
            <w:r>
              <w:rPr>
                <w:rFonts w:hint="default" w:ascii="Times New Roman" w:hAnsi="Times New Roman" w:cs="Times New Roman" w:eastAsiaTheme="minorEastAsia"/>
                <w:color w:val="auto"/>
                <w:kern w:val="0"/>
                <w:sz w:val="24"/>
                <w:lang w:bidi="ar"/>
              </w:rPr>
              <w:t>厂界</w:t>
            </w:r>
            <w:r>
              <w:rPr>
                <w:rFonts w:hint="default" w:ascii="Times New Roman" w:hAnsi="Times New Roman" w:cs="Times New Roman" w:eastAsiaTheme="minorEastAsia"/>
                <w:color w:val="auto"/>
                <w:sz w:val="24"/>
              </w:rPr>
              <w:t>无组织废气排放标准</w:t>
            </w:r>
          </w:p>
          <w:p w14:paraId="53C7F58E">
            <w:pPr>
              <w:keepNext w:val="0"/>
              <w:keepLines w:val="0"/>
              <w:pageBreakBefore w:val="0"/>
              <w:widowControl/>
              <w:suppressLineNumbers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color w:val="auto"/>
                <w:kern w:val="2"/>
                <w:sz w:val="24"/>
                <w:szCs w:val="32"/>
                <w:lang w:val="en-US" w:eastAsia="zh-CN" w:bidi="ar-SA"/>
              </w:rPr>
            </w:pPr>
            <w:r>
              <w:rPr>
                <w:rFonts w:hint="default" w:ascii="Times New Roman" w:hAnsi="Times New Roman" w:cs="Times New Roman" w:eastAsiaTheme="minorEastAsia"/>
                <w:color w:val="auto"/>
              </w:rPr>
              <w:t>项目厂界无组织废气中非甲烷总烃执行GB31572-2015《合成树脂工业污染物排放标准》（含2024年修改单）表9标准限值，苯乙烯、臭气浓度</w:t>
            </w:r>
            <w:r>
              <w:rPr>
                <w:rFonts w:hint="default" w:ascii="Times New Roman" w:hAnsi="Times New Roman" w:cs="Times New Roman" w:eastAsiaTheme="minorEastAsia"/>
                <w:color w:val="auto"/>
                <w:lang w:val="zh-CN"/>
              </w:rPr>
              <w:t>排放执行《恶臭污染物排放标准》（GB14554-93）</w:t>
            </w:r>
            <w:r>
              <w:rPr>
                <w:rFonts w:hint="default" w:ascii="Times New Roman" w:hAnsi="Times New Roman" w:cs="Times New Roman" w:eastAsiaTheme="minorEastAsia"/>
                <w:color w:val="auto"/>
              </w:rPr>
              <w:t>表1中二级</w:t>
            </w:r>
            <w:r>
              <w:rPr>
                <w:rFonts w:hint="default" w:ascii="Times New Roman" w:hAnsi="Times New Roman" w:cs="Times New Roman" w:eastAsiaTheme="minorEastAsia"/>
                <w:color w:val="auto"/>
                <w:lang w:val="zh-CN"/>
              </w:rPr>
              <w:t>标准</w:t>
            </w:r>
            <w:r>
              <w:rPr>
                <w:rFonts w:hint="default" w:ascii="Times New Roman" w:hAnsi="Times New Roman" w:cs="Times New Roman" w:eastAsiaTheme="minorEastAsia"/>
                <w:color w:val="auto"/>
              </w:rPr>
              <w:t>限值</w:t>
            </w:r>
            <w:r>
              <w:rPr>
                <w:rFonts w:hint="default" w:ascii="Times New Roman" w:hAnsi="Times New Roman" w:cs="Times New Roman" w:eastAsiaTheme="minorEastAsia"/>
                <w:color w:val="auto"/>
                <w:lang w:val="zh-CN"/>
              </w:rPr>
              <w:t>要求</w:t>
            </w:r>
            <w:r>
              <w:rPr>
                <w:rFonts w:hint="default" w:ascii="Times New Roman" w:hAnsi="Times New Roman" w:cs="Times New Roman" w:eastAsiaTheme="minorEastAsia"/>
                <w:color w:val="auto"/>
                <w:kern w:val="0"/>
                <w:sz w:val="24"/>
                <w:lang w:eastAsia="zh-CN" w:bidi="ar"/>
              </w:rPr>
              <w:t>，</w:t>
            </w:r>
            <w:r>
              <w:rPr>
                <w:rFonts w:hint="default" w:ascii="Times New Roman" w:hAnsi="Times New Roman" w:cs="Times New Roman" w:eastAsiaTheme="minorEastAsia"/>
                <w:color w:val="auto"/>
                <w:kern w:val="0"/>
                <w:sz w:val="24"/>
                <w:lang w:bidi="ar"/>
              </w:rPr>
              <w:t>标准值见</w:t>
            </w:r>
            <w:r>
              <w:rPr>
                <w:rFonts w:hint="default" w:ascii="Times New Roman" w:hAnsi="Times New Roman" w:cs="Times New Roman" w:eastAsiaTheme="minorEastAsia"/>
                <w:color w:val="auto"/>
                <w:kern w:val="0"/>
                <w:sz w:val="24"/>
              </w:rPr>
              <w:t>下表</w:t>
            </w:r>
            <w:r>
              <w:rPr>
                <w:rFonts w:hint="default" w:ascii="Times New Roman" w:hAnsi="Times New Roman" w:cs="Times New Roman" w:eastAsiaTheme="minorEastAsia"/>
                <w:color w:val="auto"/>
                <w:kern w:val="0"/>
                <w:sz w:val="24"/>
                <w:lang w:bidi="ar"/>
              </w:rPr>
              <w:t>。</w:t>
            </w:r>
          </w:p>
          <w:p w14:paraId="03545E0B">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color w:val="auto"/>
                <w:kern w:val="2"/>
                <w:sz w:val="24"/>
                <w:szCs w:val="32"/>
                <w:lang w:val="en-US" w:eastAsia="zh-CN" w:bidi="ar-SA"/>
              </w:rPr>
            </w:pPr>
            <w:r>
              <w:rPr>
                <w:rFonts w:hint="default" w:ascii="Times New Roman" w:hAnsi="Times New Roman" w:eastAsia="宋体" w:cs="Times New Roman"/>
                <w:b/>
                <w:color w:val="auto"/>
                <w:kern w:val="2"/>
                <w:sz w:val="24"/>
                <w:szCs w:val="32"/>
                <w:lang w:val="en-US" w:eastAsia="zh-CN" w:bidi="ar-SA"/>
              </w:rPr>
              <w:t>表 3-</w:t>
            </w:r>
            <w:r>
              <w:rPr>
                <w:rFonts w:hint="eastAsia" w:ascii="Times New Roman" w:hAnsi="Times New Roman" w:eastAsia="宋体" w:cs="Times New Roman"/>
                <w:b/>
                <w:color w:val="auto"/>
                <w:kern w:val="2"/>
                <w:sz w:val="24"/>
                <w:szCs w:val="32"/>
                <w:lang w:val="en-US" w:eastAsia="zh-CN" w:bidi="ar-SA"/>
              </w:rPr>
              <w:t>9</w:t>
            </w:r>
            <w:r>
              <w:rPr>
                <w:rFonts w:hint="default" w:ascii="Times New Roman" w:hAnsi="Times New Roman" w:eastAsia="宋体" w:cs="Times New Roman"/>
                <w:b/>
                <w:color w:val="auto"/>
                <w:kern w:val="2"/>
                <w:sz w:val="24"/>
                <w:szCs w:val="32"/>
                <w:lang w:val="en-US" w:eastAsia="zh-CN" w:bidi="ar-SA"/>
              </w:rPr>
              <w:t xml:space="preserve">  厂界无组织有机废气排放标准</w:t>
            </w:r>
          </w:p>
          <w:tbl>
            <w:tblPr>
              <w:tblStyle w:val="33"/>
              <w:tblW w:w="4962"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808"/>
              <w:gridCol w:w="3348"/>
              <w:gridCol w:w="2623"/>
            </w:tblGrid>
            <w:tr w14:paraId="4B2EA7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right w:val="single" w:color="auto" w:sz="4" w:space="0"/>
                  </w:tcBorders>
                  <w:vAlign w:val="center"/>
                </w:tcPr>
                <w:p w14:paraId="01A2042A">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污染物</w:t>
                  </w:r>
                </w:p>
              </w:tc>
              <w:tc>
                <w:tcPr>
                  <w:tcW w:w="2151" w:type="pct"/>
                  <w:tcBorders>
                    <w:top w:val="single" w:color="auto" w:sz="4" w:space="0"/>
                    <w:left w:val="single" w:color="auto" w:sz="4" w:space="0"/>
                    <w:bottom w:val="single" w:color="auto" w:sz="4" w:space="0"/>
                    <w:right w:val="single" w:color="auto" w:sz="4" w:space="0"/>
                  </w:tcBorders>
                  <w:vAlign w:val="center"/>
                </w:tcPr>
                <w:p w14:paraId="61B6A90C">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无组织排放监控浓度限值（mg/m</w:t>
                  </w:r>
                  <w:r>
                    <w:rPr>
                      <w:rFonts w:hint="default" w:ascii="Times New Roman" w:hAnsi="Times New Roman" w:cs="Times New Roman" w:eastAsiaTheme="minorEastAsia"/>
                      <w:b/>
                      <w:bCs/>
                      <w:color w:val="auto"/>
                      <w:sz w:val="21"/>
                      <w:szCs w:val="21"/>
                      <w:vertAlign w:val="superscript"/>
                      <w:lang w:val="en-US" w:eastAsia="zh-CN"/>
                    </w:rPr>
                    <w:t>3</w:t>
                  </w:r>
                  <w:r>
                    <w:rPr>
                      <w:rFonts w:hint="default" w:ascii="Times New Roman" w:hAnsi="Times New Roman" w:cs="Times New Roman" w:eastAsiaTheme="minorEastAsia"/>
                      <w:b/>
                      <w:bCs/>
                      <w:color w:val="auto"/>
                      <w:sz w:val="21"/>
                      <w:szCs w:val="21"/>
                      <w:lang w:val="en-US" w:eastAsia="zh-CN"/>
                    </w:rPr>
                    <w:t>）</w:t>
                  </w:r>
                </w:p>
              </w:tc>
              <w:tc>
                <w:tcPr>
                  <w:tcW w:w="1685" w:type="pct"/>
                  <w:tcBorders>
                    <w:top w:val="single" w:color="auto" w:sz="4" w:space="0"/>
                    <w:left w:val="single" w:color="auto" w:sz="4" w:space="0"/>
                    <w:right w:val="single" w:color="auto" w:sz="4" w:space="0"/>
                  </w:tcBorders>
                  <w:vAlign w:val="center"/>
                </w:tcPr>
                <w:p w14:paraId="74A39B94">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标准来源</w:t>
                  </w:r>
                </w:p>
              </w:tc>
            </w:tr>
            <w:tr w14:paraId="2929C2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right w:val="single" w:color="auto" w:sz="4" w:space="0"/>
                  </w:tcBorders>
                  <w:vAlign w:val="center"/>
                </w:tcPr>
                <w:p w14:paraId="31695427">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非甲烷总烃</w:t>
                  </w:r>
                </w:p>
              </w:tc>
              <w:tc>
                <w:tcPr>
                  <w:tcW w:w="2151" w:type="pct"/>
                  <w:tcBorders>
                    <w:top w:val="single" w:color="auto" w:sz="4" w:space="0"/>
                    <w:left w:val="single" w:color="auto" w:sz="4" w:space="0"/>
                    <w:bottom w:val="single" w:color="auto" w:sz="4" w:space="0"/>
                    <w:right w:val="single" w:color="auto" w:sz="4" w:space="0"/>
                  </w:tcBorders>
                  <w:vAlign w:val="center"/>
                </w:tcPr>
                <w:p w14:paraId="59C099F4">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4.0</w:t>
                  </w:r>
                </w:p>
              </w:tc>
              <w:tc>
                <w:tcPr>
                  <w:tcW w:w="1685" w:type="pct"/>
                  <w:vMerge w:val="restart"/>
                  <w:tcBorders>
                    <w:top w:val="single" w:color="auto" w:sz="4" w:space="0"/>
                    <w:left w:val="single" w:color="auto" w:sz="4" w:space="0"/>
                    <w:right w:val="single" w:color="auto" w:sz="4" w:space="0"/>
                  </w:tcBorders>
                  <w:vAlign w:val="center"/>
                </w:tcPr>
                <w:p w14:paraId="253E2EF4">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GB31572-2015《合成树脂工业污染物排放标准》（含2024年修改单）</w:t>
                  </w:r>
                </w:p>
              </w:tc>
            </w:tr>
            <w:tr w14:paraId="139F5B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right w:val="single" w:color="auto" w:sz="4" w:space="0"/>
                  </w:tcBorders>
                  <w:vAlign w:val="center"/>
                </w:tcPr>
                <w:p w14:paraId="71FF6CB0">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颗粒物</w:t>
                  </w:r>
                </w:p>
              </w:tc>
              <w:tc>
                <w:tcPr>
                  <w:tcW w:w="2151" w:type="pct"/>
                  <w:tcBorders>
                    <w:top w:val="single" w:color="auto" w:sz="4" w:space="0"/>
                    <w:left w:val="single" w:color="auto" w:sz="4" w:space="0"/>
                    <w:bottom w:val="single" w:color="auto" w:sz="4" w:space="0"/>
                    <w:right w:val="single" w:color="auto" w:sz="4" w:space="0"/>
                  </w:tcBorders>
                  <w:vAlign w:val="center"/>
                </w:tcPr>
                <w:p w14:paraId="2F41FFC2">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1.0</w:t>
                  </w:r>
                </w:p>
              </w:tc>
              <w:tc>
                <w:tcPr>
                  <w:tcW w:w="1685" w:type="pct"/>
                  <w:vMerge w:val="continue"/>
                  <w:tcBorders>
                    <w:left w:val="single" w:color="auto" w:sz="4" w:space="0"/>
                    <w:right w:val="single" w:color="auto" w:sz="4" w:space="0"/>
                  </w:tcBorders>
                  <w:vAlign w:val="center"/>
                </w:tcPr>
                <w:p w14:paraId="4968A89C">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p>
              </w:tc>
            </w:tr>
            <w:tr w14:paraId="0EE108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right w:val="single" w:color="auto" w:sz="4" w:space="0"/>
                  </w:tcBorders>
                  <w:vAlign w:val="center"/>
                </w:tcPr>
                <w:p w14:paraId="557C708A">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甲苯</w:t>
                  </w:r>
                </w:p>
              </w:tc>
              <w:tc>
                <w:tcPr>
                  <w:tcW w:w="2151" w:type="pct"/>
                  <w:tcBorders>
                    <w:top w:val="single" w:color="auto" w:sz="4" w:space="0"/>
                    <w:left w:val="single" w:color="auto" w:sz="4" w:space="0"/>
                    <w:bottom w:val="single" w:color="auto" w:sz="4" w:space="0"/>
                    <w:right w:val="single" w:color="auto" w:sz="4" w:space="0"/>
                  </w:tcBorders>
                  <w:vAlign w:val="center"/>
                </w:tcPr>
                <w:p w14:paraId="43A68CE9">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0.8</w:t>
                  </w:r>
                </w:p>
              </w:tc>
              <w:tc>
                <w:tcPr>
                  <w:tcW w:w="1685" w:type="pct"/>
                  <w:vMerge w:val="continue"/>
                  <w:tcBorders>
                    <w:left w:val="single" w:color="auto" w:sz="4" w:space="0"/>
                    <w:right w:val="single" w:color="auto" w:sz="4" w:space="0"/>
                  </w:tcBorders>
                  <w:vAlign w:val="center"/>
                </w:tcPr>
                <w:p w14:paraId="13CE627C">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p>
              </w:tc>
            </w:tr>
            <w:tr w14:paraId="6F5F8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65" w:hRule="atLeast"/>
              </w:trPr>
              <w:tc>
                <w:tcPr>
                  <w:tcW w:w="1162" w:type="pct"/>
                  <w:tcBorders>
                    <w:top w:val="single" w:color="auto" w:sz="4" w:space="0"/>
                    <w:left w:val="single" w:color="auto" w:sz="4" w:space="0"/>
                    <w:bottom w:val="single" w:color="auto" w:sz="4" w:space="0"/>
                    <w:right w:val="single" w:color="auto" w:sz="4" w:space="0"/>
                  </w:tcBorders>
                  <w:vAlign w:val="center"/>
                </w:tcPr>
                <w:p w14:paraId="5E8A8D6B">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苯乙烯</w:t>
                  </w:r>
                </w:p>
              </w:tc>
              <w:tc>
                <w:tcPr>
                  <w:tcW w:w="2151" w:type="pct"/>
                  <w:tcBorders>
                    <w:top w:val="single" w:color="auto" w:sz="4" w:space="0"/>
                    <w:left w:val="single" w:color="auto" w:sz="4" w:space="0"/>
                    <w:bottom w:val="single" w:color="auto" w:sz="4" w:space="0"/>
                    <w:right w:val="single" w:color="auto" w:sz="4" w:space="0"/>
                  </w:tcBorders>
                  <w:vAlign w:val="center"/>
                </w:tcPr>
                <w:p w14:paraId="00B5CCE8">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5.0</w:t>
                  </w:r>
                </w:p>
              </w:tc>
              <w:tc>
                <w:tcPr>
                  <w:tcW w:w="1685" w:type="pct"/>
                  <w:vMerge w:val="restart"/>
                  <w:tcBorders>
                    <w:top w:val="single" w:color="auto" w:sz="4" w:space="0"/>
                    <w:left w:val="single" w:color="auto" w:sz="4" w:space="0"/>
                    <w:right w:val="single" w:color="auto" w:sz="4" w:space="0"/>
                  </w:tcBorders>
                  <w:vAlign w:val="center"/>
                </w:tcPr>
                <w:p w14:paraId="730C27FA">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zh-CN" w:eastAsia="zh-CN"/>
                    </w:rPr>
                    <w:t>《恶臭污染物排放标准》（GB14554-93）</w:t>
                  </w:r>
                </w:p>
              </w:tc>
            </w:tr>
            <w:tr w14:paraId="7183B8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162" w:type="pct"/>
                  <w:tcBorders>
                    <w:top w:val="single" w:color="auto" w:sz="4" w:space="0"/>
                    <w:left w:val="single" w:color="auto" w:sz="4" w:space="0"/>
                    <w:bottom w:val="single" w:color="auto" w:sz="4" w:space="0"/>
                    <w:right w:val="single" w:color="auto" w:sz="4" w:space="0"/>
                  </w:tcBorders>
                  <w:vAlign w:val="center"/>
                </w:tcPr>
                <w:p w14:paraId="1255B98B">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臭气浓度</w:t>
                  </w:r>
                </w:p>
              </w:tc>
              <w:tc>
                <w:tcPr>
                  <w:tcW w:w="2151" w:type="pct"/>
                  <w:tcBorders>
                    <w:top w:val="single" w:color="auto" w:sz="4" w:space="0"/>
                    <w:left w:val="single" w:color="auto" w:sz="4" w:space="0"/>
                    <w:bottom w:val="single" w:color="auto" w:sz="4" w:space="0"/>
                    <w:right w:val="single" w:color="auto" w:sz="4" w:space="0"/>
                  </w:tcBorders>
                  <w:vAlign w:val="center"/>
                </w:tcPr>
                <w:p w14:paraId="7B498E39">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20</w:t>
                  </w:r>
                </w:p>
              </w:tc>
              <w:tc>
                <w:tcPr>
                  <w:tcW w:w="1685" w:type="pct"/>
                  <w:vMerge w:val="continue"/>
                  <w:tcBorders>
                    <w:left w:val="single" w:color="auto" w:sz="4" w:space="0"/>
                    <w:bottom w:val="single" w:color="auto" w:sz="4" w:space="0"/>
                    <w:right w:val="single" w:color="auto" w:sz="4" w:space="0"/>
                  </w:tcBorders>
                  <w:vAlign w:val="center"/>
                </w:tcPr>
                <w:p w14:paraId="16E6F5A3">
                  <w:pPr>
                    <w:pStyle w:val="4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b w:val="0"/>
                      <w:bCs w:val="0"/>
                      <w:color w:val="auto"/>
                      <w:sz w:val="21"/>
                      <w:szCs w:val="21"/>
                      <w:lang w:val="en-US" w:eastAsia="zh-CN"/>
                    </w:rPr>
                  </w:pPr>
                </w:p>
              </w:tc>
            </w:tr>
          </w:tbl>
          <w:p w14:paraId="410B9C08">
            <w:pPr>
              <w:keepNext w:val="0"/>
              <w:keepLines w:val="0"/>
              <w:pageBreakBefore w:val="0"/>
              <w:widowControl/>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④厂</w:t>
            </w:r>
            <w:r>
              <w:rPr>
                <w:rFonts w:hint="eastAsia" w:ascii="Times New Roman" w:hAnsi="Times New Roman" w:cs="Times New Roman" w:eastAsiaTheme="minorEastAsia"/>
                <w:color w:val="auto"/>
                <w:sz w:val="24"/>
                <w:lang w:val="en-US" w:eastAsia="zh-CN"/>
              </w:rPr>
              <w:t>区</w:t>
            </w:r>
            <w:r>
              <w:rPr>
                <w:rFonts w:hint="default" w:ascii="Times New Roman" w:hAnsi="Times New Roman" w:cs="Times New Roman" w:eastAsiaTheme="minorEastAsia"/>
                <w:color w:val="auto"/>
                <w:sz w:val="24"/>
              </w:rPr>
              <w:t>内无组织有机废气排放标准</w:t>
            </w:r>
          </w:p>
          <w:p w14:paraId="06B57547">
            <w:pPr>
              <w:keepNext w:val="0"/>
              <w:keepLines w:val="0"/>
              <w:pageBreakBefore w:val="0"/>
              <w:widowControl/>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本项目产生的有机废气以非甲烷总烃计，本项目厂区内非甲烷总烃执行《挥发性有机物无组织排放控制标准》（GB37822-2019）附录 A 厂区内非甲烷总烃无组织排放限值，标准值见下表。</w:t>
            </w:r>
          </w:p>
          <w:p w14:paraId="3B8AE5BF">
            <w:pPr>
              <w:pStyle w:val="10"/>
              <w:tabs>
                <w:tab w:val="left" w:pos="4830"/>
              </w:tabs>
              <w:spacing w:before="0" w:after="0" w:line="240" w:lineRule="auto"/>
              <w:ind w:firstLine="0" w:firstLineChars="0"/>
              <w:jc w:val="center"/>
              <w:rPr>
                <w:rFonts w:hint="default" w:ascii="Times New Roman" w:hAnsi="Times New Roman" w:cs="Times New Roman"/>
                <w:color w:val="auto"/>
                <w:kern w:val="0"/>
                <w:sz w:val="24"/>
                <w:szCs w:val="24"/>
              </w:rPr>
            </w:pPr>
            <w:r>
              <w:rPr>
                <w:rFonts w:hint="default" w:ascii="Times New Roman" w:hAnsi="Times New Roman" w:cs="Times New Roman"/>
                <w:b/>
                <w:bCs/>
                <w:color w:val="auto"/>
                <w:kern w:val="0"/>
                <w:sz w:val="24"/>
                <w:szCs w:val="24"/>
                <w:lang w:bidi="ar"/>
              </w:rPr>
              <w:t>表3-1</w:t>
            </w:r>
            <w:r>
              <w:rPr>
                <w:rFonts w:hint="eastAsia" w:cs="Times New Roman"/>
                <w:b/>
                <w:bCs/>
                <w:color w:val="auto"/>
                <w:kern w:val="0"/>
                <w:sz w:val="24"/>
                <w:szCs w:val="24"/>
                <w:lang w:val="en-US" w:eastAsia="zh-CN" w:bidi="ar"/>
              </w:rPr>
              <w:t>0</w:t>
            </w:r>
            <w:r>
              <w:rPr>
                <w:rFonts w:hint="default" w:ascii="Times New Roman" w:hAnsi="Times New Roman" w:cs="Times New Roman"/>
                <w:b/>
                <w:bCs/>
                <w:color w:val="auto"/>
                <w:kern w:val="0"/>
                <w:sz w:val="24"/>
                <w:szCs w:val="24"/>
                <w:lang w:bidi="ar"/>
              </w:rPr>
              <w:t xml:space="preserve">  厂区内非甲烷总烃无组织排放限值     单位：mg/m³</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1503"/>
              <w:gridCol w:w="3108"/>
              <w:gridCol w:w="1604"/>
            </w:tblGrid>
            <w:tr w14:paraId="7B5AE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pct"/>
                  <w:vAlign w:val="center"/>
                </w:tcPr>
                <w:p w14:paraId="22EACAEF">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污染物</w:t>
                  </w:r>
                </w:p>
              </w:tc>
              <w:tc>
                <w:tcPr>
                  <w:tcW w:w="958" w:type="pct"/>
                  <w:vAlign w:val="center"/>
                </w:tcPr>
                <w:p w14:paraId="376E149C">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排放限值</w:t>
                  </w:r>
                </w:p>
              </w:tc>
              <w:tc>
                <w:tcPr>
                  <w:tcW w:w="1981" w:type="pct"/>
                  <w:vAlign w:val="center"/>
                </w:tcPr>
                <w:p w14:paraId="7A913F48">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限值含义</w:t>
                  </w:r>
                </w:p>
              </w:tc>
              <w:tc>
                <w:tcPr>
                  <w:tcW w:w="1022" w:type="pct"/>
                  <w:vAlign w:val="center"/>
                </w:tcPr>
                <w:p w14:paraId="05EC47F0">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lang w:bidi="ar"/>
                    </w:rPr>
                    <w:t>无组织排放监控位置</w:t>
                  </w:r>
                </w:p>
              </w:tc>
            </w:tr>
            <w:tr w14:paraId="07B22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pct"/>
                  <w:vMerge w:val="restart"/>
                  <w:vAlign w:val="center"/>
                </w:tcPr>
                <w:p w14:paraId="3B801E9C">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非甲烷总烃</w:t>
                  </w:r>
                </w:p>
                <w:p w14:paraId="7067F536">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bidi="ar"/>
                    </w:rPr>
                    <w:t>（NMHC）</w:t>
                  </w:r>
                </w:p>
              </w:tc>
              <w:tc>
                <w:tcPr>
                  <w:tcW w:w="958" w:type="pct"/>
                  <w:vAlign w:val="center"/>
                </w:tcPr>
                <w:p w14:paraId="096CA6CC">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10</w:t>
                  </w:r>
                </w:p>
              </w:tc>
              <w:tc>
                <w:tcPr>
                  <w:tcW w:w="1981" w:type="pct"/>
                  <w:vAlign w:val="center"/>
                </w:tcPr>
                <w:p w14:paraId="17F841A8">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监控点处1h平均浓度</w:t>
                  </w:r>
                </w:p>
              </w:tc>
              <w:tc>
                <w:tcPr>
                  <w:tcW w:w="1022" w:type="pct"/>
                  <w:vMerge w:val="restart"/>
                  <w:vAlign w:val="center"/>
                </w:tcPr>
                <w:p w14:paraId="5EE63612">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厂房外设置监控点</w:t>
                  </w:r>
                </w:p>
              </w:tc>
            </w:tr>
            <w:tr w14:paraId="07D63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pct"/>
                  <w:vMerge w:val="continue"/>
                  <w:vAlign w:val="center"/>
                </w:tcPr>
                <w:p w14:paraId="2AEE6C5A">
                  <w:pPr>
                    <w:keepNext w:val="0"/>
                    <w:keepLines w:val="0"/>
                    <w:pageBreakBefore w:val="0"/>
                    <w:widowControl/>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 w:val="21"/>
                      <w:szCs w:val="21"/>
                      <w:lang w:bidi="ar"/>
                    </w:rPr>
                  </w:pPr>
                </w:p>
              </w:tc>
              <w:tc>
                <w:tcPr>
                  <w:tcW w:w="958" w:type="pct"/>
                  <w:vAlign w:val="center"/>
                </w:tcPr>
                <w:p w14:paraId="777B6EE5">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30</w:t>
                  </w:r>
                </w:p>
              </w:tc>
              <w:tc>
                <w:tcPr>
                  <w:tcW w:w="1981" w:type="pct"/>
                  <w:vAlign w:val="center"/>
                </w:tcPr>
                <w:p w14:paraId="3E2E88E2">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监控点处任意一次浓度限值</w:t>
                  </w:r>
                </w:p>
              </w:tc>
              <w:tc>
                <w:tcPr>
                  <w:tcW w:w="1022" w:type="pct"/>
                  <w:vMerge w:val="continue"/>
                  <w:vAlign w:val="center"/>
                </w:tcPr>
                <w:p w14:paraId="65113C12">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color w:val="auto"/>
                      <w:kern w:val="0"/>
                      <w:sz w:val="21"/>
                      <w:szCs w:val="21"/>
                    </w:rPr>
                  </w:pPr>
                </w:p>
              </w:tc>
            </w:tr>
          </w:tbl>
          <w:p w14:paraId="30019042">
            <w:pPr>
              <w:keepNext w:val="0"/>
              <w:keepLines w:val="0"/>
              <w:pageBreakBefore w:val="0"/>
              <w:widowControl/>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sz w:val="24"/>
              </w:rPr>
              <w:t>⑤</w:t>
            </w:r>
            <w:r>
              <w:rPr>
                <w:rFonts w:hint="eastAsia" w:ascii="Times New Roman" w:hAnsi="Times New Roman" w:cs="Times New Roman" w:eastAsiaTheme="minorEastAsia"/>
                <w:color w:val="auto"/>
                <w:sz w:val="24"/>
                <w:lang w:val="en-US" w:eastAsia="zh-CN"/>
              </w:rPr>
              <w:t>食堂油烟废气</w:t>
            </w:r>
          </w:p>
          <w:p w14:paraId="7E380E08">
            <w:pPr>
              <w:keepNext w:val="0"/>
              <w:keepLines w:val="0"/>
              <w:pageBreakBefore w:val="0"/>
              <w:widowControl/>
              <w:tabs>
                <w:tab w:val="left" w:pos="483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cs="Times New Roman" w:eastAsiaTheme="minorEastAsia"/>
                <w:color w:val="auto"/>
                <w:sz w:val="24"/>
                <w:lang w:val="en-US" w:eastAsia="zh-CN"/>
              </w:rPr>
              <w:t>项目食堂设置</w:t>
            </w:r>
            <w:r>
              <w:rPr>
                <w:rFonts w:hint="eastAsia" w:ascii="Times New Roman" w:hAnsi="Times New Roman" w:cs="Times New Roman" w:eastAsiaTheme="minorEastAsia"/>
                <w:color w:val="auto"/>
                <w:sz w:val="24"/>
                <w:lang w:val="en-US" w:eastAsia="zh-CN"/>
              </w:rPr>
              <w:t>1</w:t>
            </w:r>
            <w:r>
              <w:rPr>
                <w:rFonts w:hint="default" w:ascii="Times New Roman" w:hAnsi="Times New Roman" w:cs="Times New Roman" w:eastAsiaTheme="minorEastAsia"/>
                <w:color w:val="auto"/>
                <w:sz w:val="24"/>
                <w:lang w:val="en-US" w:eastAsia="zh-CN"/>
              </w:rPr>
              <w:t>个灶头，食堂油烟执行《饮食业油烟排放标准》（GB18483-2001</w:t>
            </w:r>
            <w:r>
              <w:rPr>
                <w:rFonts w:hint="eastAsia"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auto"/>
                <w:sz w:val="24"/>
                <w:lang w:val="en-US" w:eastAsia="zh-CN"/>
              </w:rPr>
              <w:t>小型规模标准</w:t>
            </w:r>
            <w:r>
              <w:rPr>
                <w:rFonts w:hint="eastAsia" w:ascii="Times New Roman" w:hAnsi="Times New Roman" w:cs="Times New Roman" w:eastAsiaTheme="minorEastAsia"/>
                <w:color w:val="auto"/>
                <w:sz w:val="24"/>
                <w:lang w:val="en-US" w:eastAsia="zh-CN"/>
              </w:rPr>
              <w:t>，详见下表3-11。</w:t>
            </w:r>
          </w:p>
          <w:p w14:paraId="534B89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color w:val="auto"/>
                <w:kern w:val="0"/>
                <w:sz w:val="24"/>
                <w:szCs w:val="24"/>
                <w:lang w:val="en-US" w:eastAsia="zh-CN" w:bidi="ar"/>
              </w:rPr>
            </w:pPr>
            <w:r>
              <w:rPr>
                <w:rFonts w:hint="default" w:ascii="Times New Roman" w:hAnsi="Times New Roman" w:eastAsia="宋体" w:cs="Times New Roman"/>
                <w:b/>
                <w:bCs/>
                <w:color w:val="auto"/>
                <w:kern w:val="0"/>
                <w:sz w:val="24"/>
                <w:szCs w:val="24"/>
                <w:lang w:val="en-US" w:eastAsia="zh-CN" w:bidi="ar"/>
              </w:rPr>
              <w:t xml:space="preserve">表 </w:t>
            </w:r>
            <w:r>
              <w:rPr>
                <w:rFonts w:hint="eastAsia" w:ascii="Times New Roman" w:hAnsi="Times New Roman" w:eastAsia="宋体" w:cs="Times New Roman"/>
                <w:b/>
                <w:bCs/>
                <w:color w:val="auto"/>
                <w:kern w:val="0"/>
                <w:sz w:val="24"/>
                <w:szCs w:val="24"/>
                <w:lang w:val="en-US" w:eastAsia="zh-CN" w:bidi="ar"/>
              </w:rPr>
              <w:t>3</w:t>
            </w:r>
            <w:r>
              <w:rPr>
                <w:rFonts w:hint="default" w:ascii="Times New Roman" w:hAnsi="Times New Roman" w:eastAsia="宋体" w:cs="Times New Roman"/>
                <w:b/>
                <w:bCs/>
                <w:color w:val="auto"/>
                <w:kern w:val="0"/>
                <w:sz w:val="24"/>
                <w:szCs w:val="24"/>
                <w:lang w:val="en-US" w:eastAsia="zh-CN" w:bidi="ar"/>
              </w:rPr>
              <w:t>-1</w:t>
            </w:r>
            <w:r>
              <w:rPr>
                <w:rFonts w:hint="eastAsia" w:ascii="Times New Roman" w:hAnsi="Times New Roman" w:eastAsia="宋体" w:cs="Times New Roman"/>
                <w:b/>
                <w:bCs/>
                <w:color w:val="auto"/>
                <w:kern w:val="0"/>
                <w:sz w:val="24"/>
                <w:szCs w:val="24"/>
                <w:lang w:val="en-US" w:eastAsia="zh-CN" w:bidi="ar"/>
              </w:rPr>
              <w:t>1</w:t>
            </w:r>
            <w:r>
              <w:rPr>
                <w:rFonts w:hint="default" w:ascii="Times New Roman" w:hAnsi="Times New Roman" w:eastAsia="宋体" w:cs="Times New Roman"/>
                <w:b/>
                <w:bCs/>
                <w:color w:val="auto"/>
                <w:kern w:val="0"/>
                <w:sz w:val="24"/>
                <w:szCs w:val="24"/>
                <w:lang w:val="en-US" w:eastAsia="zh-CN" w:bidi="ar"/>
              </w:rPr>
              <w:t xml:space="preserve">        饮食业油烟排放标准</w:t>
            </w:r>
          </w:p>
          <w:tbl>
            <w:tblPr>
              <w:tblStyle w:val="101"/>
              <w:tblW w:w="787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08"/>
              <w:gridCol w:w="707"/>
              <w:gridCol w:w="1166"/>
              <w:gridCol w:w="1153"/>
              <w:gridCol w:w="1744"/>
            </w:tblGrid>
            <w:tr w14:paraId="3E7878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 w:hRule="atLeast"/>
              </w:trPr>
              <w:tc>
                <w:tcPr>
                  <w:tcW w:w="1972" w:type="pct"/>
                  <w:noWrap w:val="0"/>
                  <w:vAlign w:val="center"/>
                </w:tcPr>
                <w:p w14:paraId="2AFADD16">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执行标准</w:t>
                  </w:r>
                </w:p>
              </w:tc>
              <w:tc>
                <w:tcPr>
                  <w:tcW w:w="448" w:type="pct"/>
                  <w:noWrap w:val="0"/>
                  <w:vAlign w:val="center"/>
                </w:tcPr>
                <w:p w14:paraId="00B9C19E">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规模</w:t>
                  </w:r>
                </w:p>
              </w:tc>
              <w:tc>
                <w:tcPr>
                  <w:tcW w:w="740" w:type="pct"/>
                  <w:noWrap w:val="0"/>
                  <w:vAlign w:val="center"/>
                </w:tcPr>
                <w:p w14:paraId="08205EAB">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基准灶头数</w:t>
                  </w:r>
                </w:p>
              </w:tc>
              <w:tc>
                <w:tcPr>
                  <w:tcW w:w="731" w:type="pct"/>
                  <w:noWrap w:val="0"/>
                  <w:vAlign w:val="center"/>
                </w:tcPr>
                <w:p w14:paraId="34383AA3">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最高允许排 放浓度</w:t>
                  </w:r>
                </w:p>
              </w:tc>
              <w:tc>
                <w:tcPr>
                  <w:tcW w:w="1106" w:type="pct"/>
                  <w:noWrap w:val="0"/>
                  <w:vAlign w:val="center"/>
                </w:tcPr>
                <w:p w14:paraId="70BE1065">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净化设施最低去除率</w:t>
                  </w:r>
                </w:p>
              </w:tc>
            </w:tr>
            <w:tr w14:paraId="755E1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972" w:type="pct"/>
                  <w:noWrap w:val="0"/>
                  <w:vAlign w:val="center"/>
                </w:tcPr>
                <w:p w14:paraId="7D9CC5FD">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《饮食业油烟排放标准</w:t>
                  </w:r>
                </w:p>
                <w:p w14:paraId="34148963">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（试行）》（GB18483-2001）</w:t>
                  </w:r>
                </w:p>
              </w:tc>
              <w:tc>
                <w:tcPr>
                  <w:tcW w:w="448" w:type="pct"/>
                  <w:noWrap w:val="0"/>
                  <w:vAlign w:val="center"/>
                </w:tcPr>
                <w:p w14:paraId="197F934F">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小型</w:t>
                  </w:r>
                </w:p>
              </w:tc>
              <w:tc>
                <w:tcPr>
                  <w:tcW w:w="740" w:type="pct"/>
                  <w:noWrap w:val="0"/>
                  <w:vAlign w:val="center"/>
                </w:tcPr>
                <w:p w14:paraId="5DFC214D">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≥1 ，＜3</w:t>
                  </w:r>
                </w:p>
              </w:tc>
              <w:tc>
                <w:tcPr>
                  <w:tcW w:w="731" w:type="pct"/>
                  <w:noWrap w:val="0"/>
                  <w:vAlign w:val="center"/>
                </w:tcPr>
                <w:p w14:paraId="1056EEBC">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2.0mg/m³</w:t>
                  </w:r>
                </w:p>
              </w:tc>
              <w:tc>
                <w:tcPr>
                  <w:tcW w:w="1106" w:type="pct"/>
                  <w:noWrap w:val="0"/>
                  <w:vAlign w:val="center"/>
                </w:tcPr>
                <w:p w14:paraId="06D41434">
                  <w:pPr>
                    <w:pStyle w:val="10"/>
                    <w:keepNext w:val="0"/>
                    <w:keepLines w:val="0"/>
                    <w:pageBreakBefore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b w:val="0"/>
                      <w:bCs w:val="0"/>
                      <w:color w:val="auto"/>
                      <w:kern w:val="0"/>
                      <w:sz w:val="21"/>
                      <w:szCs w:val="21"/>
                      <w:lang w:bidi="ar"/>
                    </w:rPr>
                  </w:pPr>
                  <w:r>
                    <w:rPr>
                      <w:rFonts w:hint="default" w:ascii="Times New Roman" w:hAnsi="Times New Roman" w:eastAsia="宋体" w:cs="Times New Roman"/>
                      <w:b w:val="0"/>
                      <w:bCs w:val="0"/>
                      <w:color w:val="auto"/>
                      <w:kern w:val="0"/>
                      <w:sz w:val="21"/>
                      <w:szCs w:val="21"/>
                      <w:lang w:bidi="ar"/>
                    </w:rPr>
                    <w:t>60%</w:t>
                  </w:r>
                </w:p>
              </w:tc>
            </w:tr>
          </w:tbl>
          <w:p w14:paraId="0E8214DA">
            <w:pPr>
              <w:tabs>
                <w:tab w:val="left" w:pos="4830"/>
                <w:tab w:val="left" w:pos="8515"/>
              </w:tabs>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2、废水排放标准</w:t>
            </w:r>
          </w:p>
          <w:p w14:paraId="39C5DC18">
            <w:pPr>
              <w:keepNext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（1）施工期</w:t>
            </w:r>
          </w:p>
          <w:p w14:paraId="6CDAD8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本项目租用</w:t>
            </w:r>
            <w:r>
              <w:rPr>
                <w:rFonts w:hint="default" w:ascii="Times New Roman" w:hAnsi="Times New Roman" w:cs="Times New Roman" w:eastAsiaTheme="minorEastAsia"/>
                <w:color w:val="auto"/>
                <w:sz w:val="24"/>
                <w:lang w:val="en-US" w:eastAsia="zh-CN"/>
              </w:rPr>
              <w:t>红塔区北城街道刺桐关社区一组岔箐脑闲置的封闭厂房</w:t>
            </w:r>
            <w:r>
              <w:rPr>
                <w:rFonts w:hint="eastAsia" w:cs="Times New Roman" w:eastAsiaTheme="minorEastAsia"/>
                <w:color w:val="auto"/>
                <w:sz w:val="24"/>
                <w:lang w:val="en-US" w:eastAsia="zh-CN"/>
              </w:rPr>
              <w:t>和空地</w:t>
            </w:r>
            <w:r>
              <w:rPr>
                <w:rFonts w:hint="default" w:ascii="Times New Roman" w:hAnsi="Times New Roman" w:cs="Times New Roman" w:eastAsiaTheme="minorEastAsia"/>
                <w:color w:val="auto"/>
                <w:sz w:val="24"/>
                <w:lang w:eastAsia="zh-CN"/>
              </w:rPr>
              <w:t>进行建设，</w:t>
            </w:r>
            <w:r>
              <w:rPr>
                <w:rFonts w:hint="default" w:ascii="Times New Roman" w:hAnsi="Times New Roman" w:cs="Times New Roman" w:eastAsiaTheme="minorEastAsia"/>
                <w:color w:val="auto"/>
                <w:sz w:val="24"/>
                <w:lang w:val="en-US" w:eastAsia="zh-CN"/>
              </w:rPr>
              <w:t>所有生产工序布设于封闭车间内，</w:t>
            </w:r>
            <w:r>
              <w:rPr>
                <w:rFonts w:hint="default" w:ascii="Times New Roman" w:hAnsi="Times New Roman" w:cs="Times New Roman" w:eastAsiaTheme="minorEastAsia"/>
                <w:color w:val="auto"/>
                <w:sz w:val="24"/>
                <w:lang w:eastAsia="zh-CN"/>
              </w:rPr>
              <w:t>施工工艺简单</w:t>
            </w:r>
            <w:r>
              <w:rPr>
                <w:rFonts w:hint="default" w:ascii="Times New Roman" w:hAnsi="Times New Roman" w:cs="Times New Roman" w:eastAsiaTheme="minorEastAsia"/>
                <w:color w:val="auto"/>
                <w:lang w:val="en-US" w:eastAsia="zh-CN"/>
              </w:rPr>
              <w:t>，</w:t>
            </w:r>
            <w:r>
              <w:rPr>
                <w:rFonts w:hint="default" w:ascii="Times New Roman" w:hAnsi="Times New Roman" w:cs="Times New Roman" w:eastAsiaTheme="minorEastAsia"/>
                <w:color w:val="auto"/>
                <w:sz w:val="24"/>
                <w:lang w:val="en-US" w:eastAsia="zh-CN"/>
              </w:rPr>
              <w:t>施工期主要为</w:t>
            </w:r>
            <w:r>
              <w:rPr>
                <w:rFonts w:hint="eastAsia" w:cs="Times New Roman" w:eastAsiaTheme="minorEastAsia"/>
                <w:color w:val="auto"/>
                <w:sz w:val="24"/>
                <w:lang w:val="en-US" w:eastAsia="zh-CN"/>
              </w:rPr>
              <w:t>办公生活区建设、</w:t>
            </w:r>
            <w:r>
              <w:rPr>
                <w:rFonts w:hint="default" w:ascii="Times New Roman" w:hAnsi="Times New Roman" w:cs="Times New Roman" w:eastAsiaTheme="minorEastAsia"/>
                <w:color w:val="auto"/>
                <w:sz w:val="24"/>
                <w:lang w:val="en-US" w:eastAsia="zh-CN"/>
              </w:rPr>
              <w:t>环保设施建设、设备安装及调试，施工人员不在厂区食宿，施工期人员清洁废水经临时沉淀池（容积约2m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lang w:val="en-US" w:eastAsia="zh-CN"/>
              </w:rPr>
              <w:t>）沉淀处理后回用于场地洒水降尘，不外排</w:t>
            </w:r>
            <w:r>
              <w:rPr>
                <w:rFonts w:hint="default" w:ascii="Times New Roman" w:hAnsi="Times New Roman" w:cs="Times New Roman" w:eastAsiaTheme="minorEastAsia"/>
                <w:color w:val="auto"/>
                <w:sz w:val="24"/>
                <w:lang w:val="en-US" w:eastAsia="zh-CN" w:bidi="ar"/>
              </w:rPr>
              <w:t>，</w:t>
            </w:r>
            <w:r>
              <w:rPr>
                <w:rFonts w:hint="default" w:ascii="Times New Roman" w:hAnsi="Times New Roman" w:cs="Times New Roman" w:eastAsiaTheme="minorEastAsia"/>
                <w:b w:val="0"/>
                <w:bCs w:val="0"/>
                <w:color w:val="auto"/>
              </w:rPr>
              <w:t>不设排放标准</w:t>
            </w:r>
            <w:r>
              <w:rPr>
                <w:rFonts w:hint="default" w:ascii="Times New Roman" w:hAnsi="Times New Roman" w:cs="Times New Roman" w:eastAsiaTheme="minorEastAsia"/>
                <w:b w:val="0"/>
                <w:bCs w:val="0"/>
                <w:color w:val="auto"/>
                <w:lang w:eastAsia="zh-CN"/>
              </w:rPr>
              <w:t>。</w:t>
            </w:r>
          </w:p>
          <w:p w14:paraId="614691CB">
            <w:pPr>
              <w:keepNext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lang w:eastAsia="zh-CN"/>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2</w:t>
            </w:r>
            <w:r>
              <w:rPr>
                <w:rFonts w:hint="default" w:ascii="Times New Roman" w:hAnsi="Times New Roman" w:cs="Times New Roman" w:eastAsiaTheme="minorEastAsia"/>
                <w:color w:val="auto"/>
                <w:sz w:val="24"/>
                <w:lang w:eastAsia="zh-CN"/>
              </w:rPr>
              <w:t>）运营期</w:t>
            </w:r>
          </w:p>
          <w:p w14:paraId="0B59B8CA">
            <w:pPr>
              <w:keepNext w:val="0"/>
              <w:keepLines/>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rPr>
              <w:t>本项目实施雨污分流排水体制，雨水经厂区雨水沟收集后排入附近排水沟；项目</w:t>
            </w:r>
            <w:r>
              <w:rPr>
                <w:rFonts w:hint="eastAsia" w:ascii="Times New Roman" w:hAnsi="Times New Roman" w:cs="Times New Roman" w:eastAsiaTheme="minorEastAsia"/>
                <w:color w:val="auto"/>
                <w:lang w:eastAsia="zh-CN"/>
              </w:rPr>
              <w:t>软水</w:t>
            </w:r>
            <w:r>
              <w:rPr>
                <w:rFonts w:hint="default" w:ascii="Times New Roman" w:hAnsi="Times New Roman" w:cs="Times New Roman" w:eastAsiaTheme="minorEastAsia"/>
                <w:color w:val="auto"/>
              </w:rPr>
              <w:t>制备废水及</w:t>
            </w:r>
            <w:r>
              <w:rPr>
                <w:rFonts w:hint="eastAsia" w:cs="Times New Roman" w:eastAsiaTheme="minorEastAsia"/>
                <w:color w:val="auto"/>
                <w:lang w:eastAsia="zh-CN"/>
              </w:rPr>
              <w:t>生物质蒸汽发生器</w:t>
            </w:r>
            <w:r>
              <w:rPr>
                <w:rFonts w:hint="default" w:ascii="Times New Roman" w:hAnsi="Times New Roman" w:cs="Times New Roman" w:eastAsiaTheme="minorEastAsia"/>
                <w:color w:val="auto"/>
              </w:rPr>
              <w:t>排污水经收集后回用于厂区洒水降尘，发泡工段蒸汽冷凝水用于</w:t>
            </w:r>
            <w:r>
              <w:rPr>
                <w:rFonts w:hint="eastAsia" w:cs="Times New Roman" w:eastAsiaTheme="minorEastAsia"/>
                <w:color w:val="auto"/>
                <w:lang w:eastAsia="zh-CN"/>
              </w:rPr>
              <w:t>生物质蒸汽发生器</w:t>
            </w:r>
            <w:r>
              <w:rPr>
                <w:rFonts w:hint="default" w:ascii="Times New Roman" w:hAnsi="Times New Roman" w:cs="Times New Roman" w:eastAsiaTheme="minorEastAsia"/>
                <w:color w:val="auto"/>
              </w:rPr>
              <w:t>损耗补充水</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项目生产废水不外排。</w:t>
            </w:r>
            <w:r>
              <w:rPr>
                <w:rFonts w:hint="default" w:ascii="Times New Roman" w:hAnsi="Times New Roman" w:cs="Times New Roman" w:eastAsiaTheme="minorEastAsia"/>
                <w:color w:val="auto"/>
                <w:sz w:val="24"/>
                <w:szCs w:val="24"/>
              </w:rPr>
              <w:t>食堂废水经油水分离器隔油后与其</w:t>
            </w:r>
            <w:r>
              <w:rPr>
                <w:rFonts w:hint="default" w:ascii="Times New Roman" w:hAnsi="Times New Roman" w:cs="Times New Roman" w:eastAsiaTheme="minorEastAsia"/>
                <w:color w:val="auto"/>
                <w:sz w:val="24"/>
                <w:szCs w:val="24"/>
                <w:lang w:val="en-US" w:eastAsia="zh-CN"/>
              </w:rPr>
              <w:t>它</w:t>
            </w:r>
            <w:r>
              <w:rPr>
                <w:rFonts w:hint="default" w:ascii="Times New Roman" w:hAnsi="Times New Roman" w:cs="Times New Roman" w:eastAsiaTheme="minorEastAsia"/>
                <w:color w:val="auto"/>
                <w:sz w:val="24"/>
                <w:szCs w:val="24"/>
              </w:rPr>
              <w:t>生活污水一起进入化粪池</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经化粪池（</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）预处理后，</w:t>
            </w:r>
            <w:r>
              <w:rPr>
                <w:rFonts w:hint="eastAsia" w:cs="Times New Roman" w:eastAsiaTheme="minorEastAsia"/>
                <w:color w:val="auto"/>
                <w:sz w:val="24"/>
                <w:szCs w:val="24"/>
                <w:lang w:val="en-US" w:eastAsia="zh-CN"/>
              </w:rPr>
              <w:t>通过泵输送至项目新建的2m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/d的一体化污水处理设施，经处理达</w:t>
            </w:r>
            <w:r>
              <w:rPr>
                <w:rFonts w:hint="default" w:ascii="Times New Roman" w:hAnsi="Times New Roman" w:cs="Times New Roman" w:eastAsiaTheme="minorEastAsia"/>
                <w:color w:val="auto"/>
                <w:kern w:val="2"/>
                <w:sz w:val="24"/>
                <w:szCs w:val="24"/>
                <w:lang w:val="zh-CN" w:eastAsia="zh-CN" w:bidi="ar-SA"/>
              </w:rPr>
              <w:t>《城市污水再生利用 城市杂用水水质》（</w:t>
            </w:r>
            <w:r>
              <w:rPr>
                <w:rFonts w:hint="default" w:ascii="Times New Roman" w:hAnsi="Times New Roman" w:cs="Times New Roman" w:eastAsiaTheme="minorEastAsia"/>
                <w:color w:val="auto"/>
                <w:kern w:val="2"/>
                <w:sz w:val="24"/>
                <w:szCs w:val="24"/>
                <w:lang w:val="en-US" w:eastAsia="zh-CN" w:bidi="ar-SA"/>
              </w:rPr>
              <w:t>GB/T18920-2020</w:t>
            </w:r>
            <w:r>
              <w:rPr>
                <w:rFonts w:hint="default" w:ascii="Times New Roman" w:hAnsi="Times New Roman" w:cs="Times New Roman" w:eastAsiaTheme="minorEastAsia"/>
                <w:color w:val="auto"/>
                <w:kern w:val="2"/>
                <w:sz w:val="24"/>
                <w:szCs w:val="24"/>
                <w:lang w:val="zh-CN" w:eastAsia="zh-CN" w:bidi="ar-SA"/>
              </w:rPr>
              <w:t>）标准中绿化标准</w:t>
            </w:r>
            <w:r>
              <w:rPr>
                <w:rFonts w:hint="default" w:ascii="Times New Roman" w:hAnsi="Times New Roman" w:cs="Times New Roman" w:eastAsiaTheme="minorEastAsia"/>
                <w:color w:val="auto"/>
                <w:kern w:val="2"/>
                <w:sz w:val="24"/>
                <w:szCs w:val="24"/>
                <w:lang w:val="en-US" w:eastAsia="zh-CN" w:bidi="ar-SA"/>
              </w:rPr>
              <w:t>后，回用于厂区绿化</w:t>
            </w:r>
            <w:r>
              <w:rPr>
                <w:rFonts w:hint="eastAsia" w:cs="Times New Roman" w:eastAsiaTheme="minorEastAsia"/>
                <w:color w:val="auto"/>
                <w:kern w:val="2"/>
                <w:sz w:val="24"/>
                <w:szCs w:val="24"/>
                <w:lang w:val="en-US" w:eastAsia="zh-CN" w:bidi="ar-SA"/>
              </w:rPr>
              <w:t>或道路清扫</w:t>
            </w:r>
            <w:r>
              <w:rPr>
                <w:rFonts w:hint="default" w:ascii="Times New Roman" w:hAnsi="Times New Roman" w:cs="Times New Roman" w:eastAsiaTheme="minorEastAsia"/>
                <w:color w:val="auto"/>
                <w:kern w:val="2"/>
                <w:sz w:val="24"/>
                <w:szCs w:val="24"/>
                <w:lang w:val="en-US" w:eastAsia="zh-CN" w:bidi="ar-SA"/>
              </w:rPr>
              <w:t>，不外排，执行</w:t>
            </w:r>
            <w:r>
              <w:rPr>
                <w:rFonts w:hint="default" w:ascii="Times New Roman" w:hAnsi="Times New Roman" w:cs="Times New Roman" w:eastAsiaTheme="minorEastAsia"/>
                <w:color w:val="auto"/>
                <w:kern w:val="2"/>
                <w:sz w:val="24"/>
                <w:szCs w:val="24"/>
                <w:lang w:val="zh-CN" w:eastAsia="zh-CN" w:bidi="ar-SA"/>
              </w:rPr>
              <w:t>《城市污水再生利用 城市杂用水水质》（</w:t>
            </w:r>
            <w:r>
              <w:rPr>
                <w:rFonts w:hint="default" w:ascii="Times New Roman" w:hAnsi="Times New Roman" w:cs="Times New Roman" w:eastAsiaTheme="minorEastAsia"/>
                <w:color w:val="auto"/>
                <w:kern w:val="2"/>
                <w:sz w:val="24"/>
                <w:szCs w:val="24"/>
                <w:lang w:val="en-US" w:eastAsia="zh-CN" w:bidi="ar-SA"/>
              </w:rPr>
              <w:t>GB/T18920-2020</w:t>
            </w:r>
            <w:r>
              <w:rPr>
                <w:rFonts w:hint="default" w:ascii="Times New Roman" w:hAnsi="Times New Roman" w:cs="Times New Roman" w:eastAsiaTheme="minorEastAsia"/>
                <w:color w:val="auto"/>
                <w:kern w:val="2"/>
                <w:sz w:val="24"/>
                <w:szCs w:val="24"/>
                <w:lang w:val="zh-CN" w:eastAsia="zh-CN" w:bidi="ar-SA"/>
              </w:rPr>
              <w:t>）标准中绿化标准</w:t>
            </w:r>
            <w:r>
              <w:rPr>
                <w:rFonts w:hint="eastAsia" w:cs="Times New Roman" w:eastAsiaTheme="minorEastAsia"/>
                <w:color w:val="auto"/>
                <w:kern w:val="2"/>
                <w:sz w:val="24"/>
                <w:szCs w:val="24"/>
                <w:lang w:val="en-US" w:eastAsia="zh-CN" w:bidi="ar-SA"/>
              </w:rPr>
              <w:t>和道路清扫标准</w:t>
            </w:r>
            <w:r>
              <w:rPr>
                <w:rFonts w:hint="default" w:ascii="Times New Roman" w:hAnsi="Times New Roman" w:cs="Times New Roman" w:eastAsiaTheme="minorEastAsia"/>
                <w:color w:val="auto"/>
                <w:kern w:val="2"/>
                <w:sz w:val="24"/>
                <w:szCs w:val="24"/>
                <w:lang w:val="zh-CN" w:eastAsia="zh-CN" w:bidi="ar-SA"/>
              </w:rPr>
              <w:t>，</w:t>
            </w:r>
            <w:r>
              <w:rPr>
                <w:rFonts w:hint="default" w:ascii="Times New Roman" w:hAnsi="Times New Roman" w:cs="Times New Roman" w:eastAsiaTheme="minorEastAsia"/>
                <w:color w:val="auto"/>
                <w:kern w:val="2"/>
                <w:sz w:val="24"/>
                <w:szCs w:val="24"/>
                <w:lang w:val="en-US" w:eastAsia="zh-CN" w:bidi="ar-SA"/>
              </w:rPr>
              <w:t>详见下表</w:t>
            </w:r>
            <w:r>
              <w:rPr>
                <w:rFonts w:hint="eastAsia" w:cs="Times New Roman" w:eastAsiaTheme="minorEastAsia"/>
                <w:color w:val="auto"/>
                <w:kern w:val="2"/>
                <w:sz w:val="24"/>
                <w:szCs w:val="24"/>
                <w:lang w:val="en-US" w:eastAsia="zh-CN" w:bidi="ar-SA"/>
              </w:rPr>
              <w:t>3-12</w:t>
            </w:r>
            <w:r>
              <w:rPr>
                <w:rFonts w:hint="default" w:ascii="Times New Roman" w:hAnsi="Times New Roman" w:cs="Times New Roman" w:eastAsiaTheme="minorEastAsia"/>
                <w:color w:val="auto"/>
                <w:kern w:val="2"/>
                <w:sz w:val="24"/>
                <w:szCs w:val="24"/>
                <w:lang w:val="en-US" w:eastAsia="zh-CN" w:bidi="ar-SA"/>
              </w:rPr>
              <w:t>。</w:t>
            </w:r>
          </w:p>
          <w:p w14:paraId="3B9D487A">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表3-1</w:t>
            </w:r>
            <w:r>
              <w:rPr>
                <w:rFonts w:hint="eastAsia" w:cs="Times New Roman"/>
                <w:b/>
                <w:bCs/>
                <w:color w:val="auto"/>
                <w:kern w:val="0"/>
                <w:sz w:val="24"/>
                <w:szCs w:val="24"/>
                <w:lang w:val="en-US" w:eastAsia="zh-CN" w:bidi="ar"/>
              </w:rPr>
              <w:t>2</w:t>
            </w:r>
            <w:r>
              <w:rPr>
                <w:rFonts w:hint="eastAsia" w:ascii="Times New Roman" w:hAnsi="Times New Roman" w:eastAsia="宋体" w:cs="Times New Roman"/>
                <w:b/>
                <w:bCs/>
                <w:color w:val="auto"/>
                <w:kern w:val="0"/>
                <w:sz w:val="24"/>
                <w:szCs w:val="24"/>
                <w:lang w:val="en-US" w:eastAsia="zh-CN" w:bidi="ar"/>
              </w:rPr>
              <w:t xml:space="preserve">  </w:t>
            </w:r>
            <w:r>
              <w:rPr>
                <w:rFonts w:hint="default" w:ascii="Times New Roman" w:hAnsi="Times New Roman" w:eastAsia="宋体" w:cs="Times New Roman"/>
                <w:b/>
                <w:bCs/>
                <w:color w:val="auto"/>
                <w:kern w:val="0"/>
                <w:sz w:val="24"/>
                <w:szCs w:val="24"/>
                <w:lang w:val="zh-CN" w:eastAsia="zh-CN" w:bidi="ar"/>
              </w:rPr>
              <w:t>城市污水再生利用 城市杂用水水质</w:t>
            </w:r>
            <w:r>
              <w:rPr>
                <w:rFonts w:hint="eastAsia" w:ascii="Times New Roman" w:hAnsi="Times New Roman" w:eastAsia="宋体" w:cs="Times New Roman"/>
                <w:b/>
                <w:bCs/>
                <w:color w:val="auto"/>
                <w:kern w:val="0"/>
                <w:sz w:val="24"/>
                <w:szCs w:val="24"/>
                <w:lang w:val="en-US" w:eastAsia="zh-CN" w:bidi="ar"/>
              </w:rPr>
              <w:t xml:space="preserve"> 标准（摘录）</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3993"/>
              <w:gridCol w:w="2923"/>
            </w:tblGrid>
            <w:tr w14:paraId="5466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pct"/>
                  <w:noWrap w:val="0"/>
                  <w:vAlign w:val="center"/>
                </w:tcPr>
                <w:p w14:paraId="39B90966">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b/>
                      <w:bCs/>
                      <w:color w:val="auto"/>
                      <w:kern w:val="0"/>
                      <w:sz w:val="21"/>
                      <w:szCs w:val="21"/>
                      <w:lang w:val="en-US" w:eastAsia="zh-CN" w:bidi="ar"/>
                    </w:rPr>
                  </w:pPr>
                  <w:r>
                    <w:rPr>
                      <w:rFonts w:hint="default" w:ascii="Times New Roman" w:hAnsi="Times New Roman" w:cs="Times New Roman" w:eastAsiaTheme="minorEastAsia"/>
                      <w:b/>
                      <w:bCs/>
                      <w:color w:val="auto"/>
                      <w:kern w:val="0"/>
                      <w:sz w:val="21"/>
                      <w:szCs w:val="21"/>
                      <w:lang w:val="en-US" w:eastAsia="zh-CN" w:bidi="ar"/>
                    </w:rPr>
                    <w:t>序号</w:t>
                  </w:r>
                </w:p>
              </w:tc>
              <w:tc>
                <w:tcPr>
                  <w:tcW w:w="2545" w:type="pct"/>
                  <w:noWrap w:val="0"/>
                  <w:vAlign w:val="center"/>
                </w:tcPr>
                <w:p w14:paraId="3E84346A">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b/>
                      <w:bCs/>
                      <w:color w:val="auto"/>
                      <w:kern w:val="0"/>
                      <w:sz w:val="21"/>
                      <w:szCs w:val="21"/>
                      <w:lang w:val="en-US" w:eastAsia="zh-CN" w:bidi="ar"/>
                    </w:rPr>
                  </w:pPr>
                  <w:r>
                    <w:rPr>
                      <w:rFonts w:hint="default" w:ascii="Times New Roman" w:hAnsi="Times New Roman" w:cs="Times New Roman" w:eastAsiaTheme="minorEastAsia"/>
                      <w:b/>
                      <w:bCs/>
                      <w:color w:val="auto"/>
                      <w:kern w:val="0"/>
                      <w:sz w:val="21"/>
                      <w:szCs w:val="21"/>
                      <w:lang w:val="en-US" w:eastAsia="zh-CN" w:bidi="ar"/>
                    </w:rPr>
                    <w:t>项目</w:t>
                  </w:r>
                </w:p>
              </w:tc>
              <w:tc>
                <w:tcPr>
                  <w:tcW w:w="1863" w:type="pct"/>
                  <w:noWrap w:val="0"/>
                  <w:vAlign w:val="center"/>
                </w:tcPr>
                <w:p w14:paraId="3CD8E9FC">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b/>
                      <w:bCs/>
                      <w:color w:val="auto"/>
                      <w:kern w:val="0"/>
                      <w:sz w:val="21"/>
                      <w:szCs w:val="21"/>
                      <w:lang w:val="en-US" w:eastAsia="zh-CN" w:bidi="ar"/>
                    </w:rPr>
                  </w:pPr>
                  <w:r>
                    <w:rPr>
                      <w:rFonts w:hint="default" w:ascii="Times New Roman" w:hAnsi="Times New Roman" w:cs="Times New Roman" w:eastAsiaTheme="minorEastAsia"/>
                      <w:b/>
                      <w:bCs/>
                      <w:color w:val="auto"/>
                      <w:kern w:val="0"/>
                      <w:sz w:val="21"/>
                      <w:szCs w:val="21"/>
                      <w:lang w:val="en-US" w:eastAsia="zh-CN" w:bidi="ar"/>
                    </w:rPr>
                    <w:t>城市绿化（标准限值）</w:t>
                  </w:r>
                </w:p>
              </w:tc>
            </w:tr>
            <w:tr w14:paraId="3054A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pct"/>
                  <w:noWrap w:val="0"/>
                  <w:vAlign w:val="center"/>
                </w:tcPr>
                <w:p w14:paraId="31AE5223">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w:t>
                  </w:r>
                </w:p>
              </w:tc>
              <w:tc>
                <w:tcPr>
                  <w:tcW w:w="2545" w:type="pct"/>
                  <w:noWrap w:val="0"/>
                  <w:vAlign w:val="center"/>
                </w:tcPr>
                <w:p w14:paraId="7C626D67">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pH</w:t>
                  </w:r>
                </w:p>
              </w:tc>
              <w:tc>
                <w:tcPr>
                  <w:tcW w:w="1863" w:type="pct"/>
                  <w:noWrap w:val="0"/>
                  <w:vAlign w:val="center"/>
                </w:tcPr>
                <w:p w14:paraId="7C3F349C">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6.0～9.0</w:t>
                  </w:r>
                </w:p>
              </w:tc>
            </w:tr>
            <w:tr w14:paraId="2532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pct"/>
                  <w:noWrap w:val="0"/>
                  <w:vAlign w:val="center"/>
                </w:tcPr>
                <w:p w14:paraId="11980638">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2</w:t>
                  </w:r>
                </w:p>
              </w:tc>
              <w:tc>
                <w:tcPr>
                  <w:tcW w:w="2545" w:type="pct"/>
                  <w:noWrap w:val="0"/>
                  <w:vAlign w:val="center"/>
                </w:tcPr>
                <w:p w14:paraId="6299AF37">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色度≤</w:t>
                  </w:r>
                </w:p>
              </w:tc>
              <w:tc>
                <w:tcPr>
                  <w:tcW w:w="1863" w:type="pct"/>
                  <w:noWrap w:val="0"/>
                  <w:vAlign w:val="center"/>
                </w:tcPr>
                <w:p w14:paraId="3F1C1365">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30</w:t>
                  </w:r>
                </w:p>
              </w:tc>
            </w:tr>
            <w:tr w14:paraId="10DAC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90" w:type="pct"/>
                  <w:noWrap w:val="0"/>
                  <w:vAlign w:val="center"/>
                </w:tcPr>
                <w:p w14:paraId="3FAF2E76">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3</w:t>
                  </w:r>
                </w:p>
              </w:tc>
              <w:tc>
                <w:tcPr>
                  <w:tcW w:w="2545" w:type="pct"/>
                  <w:noWrap w:val="0"/>
                  <w:vAlign w:val="center"/>
                </w:tcPr>
                <w:p w14:paraId="6BCD88DC">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嗅</w:t>
                  </w:r>
                </w:p>
              </w:tc>
              <w:tc>
                <w:tcPr>
                  <w:tcW w:w="1863" w:type="pct"/>
                  <w:noWrap w:val="0"/>
                  <w:vAlign w:val="center"/>
                </w:tcPr>
                <w:p w14:paraId="185BF8D4">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无不快感</w:t>
                  </w:r>
                </w:p>
              </w:tc>
            </w:tr>
            <w:tr w14:paraId="632C3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14C09B1F">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4</w:t>
                  </w:r>
                </w:p>
              </w:tc>
              <w:tc>
                <w:tcPr>
                  <w:tcW w:w="2545" w:type="pct"/>
                  <w:noWrap w:val="0"/>
                  <w:vAlign w:val="center"/>
                </w:tcPr>
                <w:p w14:paraId="13FFC537">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浊度/NTU ≤</w:t>
                  </w:r>
                </w:p>
              </w:tc>
              <w:tc>
                <w:tcPr>
                  <w:tcW w:w="1863" w:type="pct"/>
                  <w:noWrap w:val="0"/>
                  <w:vAlign w:val="center"/>
                </w:tcPr>
                <w:p w14:paraId="4C7BCEB9">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10</w:t>
                  </w:r>
                </w:p>
              </w:tc>
            </w:tr>
            <w:tr w14:paraId="2213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29A3C693">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5</w:t>
                  </w:r>
                </w:p>
              </w:tc>
              <w:tc>
                <w:tcPr>
                  <w:tcW w:w="2545" w:type="pct"/>
                  <w:noWrap w:val="0"/>
                  <w:vAlign w:val="center"/>
                </w:tcPr>
                <w:p w14:paraId="4CC40601">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溶解性总固体/（mg/L)≤</w:t>
                  </w:r>
                </w:p>
              </w:tc>
              <w:tc>
                <w:tcPr>
                  <w:tcW w:w="1863" w:type="pct"/>
                  <w:noWrap w:val="0"/>
                  <w:vAlign w:val="center"/>
                </w:tcPr>
                <w:p w14:paraId="13CCB9BD">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1000</w:t>
                  </w:r>
                </w:p>
              </w:tc>
            </w:tr>
            <w:tr w14:paraId="0D82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7CC3CC64">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6</w:t>
                  </w:r>
                </w:p>
              </w:tc>
              <w:tc>
                <w:tcPr>
                  <w:tcW w:w="2545" w:type="pct"/>
                  <w:noWrap w:val="0"/>
                  <w:vAlign w:val="center"/>
                </w:tcPr>
                <w:p w14:paraId="7A03255B">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五日生化需氧量（BOD5）/（mg/L)≤</w:t>
                  </w:r>
                </w:p>
              </w:tc>
              <w:tc>
                <w:tcPr>
                  <w:tcW w:w="1863" w:type="pct"/>
                  <w:noWrap w:val="0"/>
                  <w:vAlign w:val="center"/>
                </w:tcPr>
                <w:p w14:paraId="44B49306">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10</w:t>
                  </w:r>
                </w:p>
              </w:tc>
            </w:tr>
            <w:tr w14:paraId="7926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7B560E2F">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7</w:t>
                  </w:r>
                </w:p>
              </w:tc>
              <w:tc>
                <w:tcPr>
                  <w:tcW w:w="2545" w:type="pct"/>
                  <w:noWrap w:val="0"/>
                  <w:vAlign w:val="center"/>
                </w:tcPr>
                <w:p w14:paraId="4F226B72">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氨氮/（mg/L)≤</w:t>
                  </w:r>
                </w:p>
              </w:tc>
              <w:tc>
                <w:tcPr>
                  <w:tcW w:w="1863" w:type="pct"/>
                  <w:noWrap w:val="0"/>
                  <w:vAlign w:val="center"/>
                </w:tcPr>
                <w:p w14:paraId="091DDA95">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8</w:t>
                  </w:r>
                </w:p>
              </w:tc>
            </w:tr>
            <w:tr w14:paraId="331A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78041CD7">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8</w:t>
                  </w:r>
                </w:p>
              </w:tc>
              <w:tc>
                <w:tcPr>
                  <w:tcW w:w="2545" w:type="pct"/>
                  <w:noWrap w:val="0"/>
                  <w:vAlign w:val="center"/>
                </w:tcPr>
                <w:p w14:paraId="0B750D79">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阴离子表面活性剂/（mg/L)</w:t>
                  </w:r>
                </w:p>
              </w:tc>
              <w:tc>
                <w:tcPr>
                  <w:tcW w:w="1863" w:type="pct"/>
                  <w:noWrap w:val="0"/>
                  <w:vAlign w:val="center"/>
                </w:tcPr>
                <w:p w14:paraId="4DCB803B">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0.5</w:t>
                  </w:r>
                </w:p>
              </w:tc>
            </w:tr>
            <w:tr w14:paraId="295D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6BF64C73">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9</w:t>
                  </w:r>
                </w:p>
              </w:tc>
              <w:tc>
                <w:tcPr>
                  <w:tcW w:w="2545" w:type="pct"/>
                  <w:noWrap w:val="0"/>
                  <w:vAlign w:val="center"/>
                </w:tcPr>
                <w:p w14:paraId="300EB221">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铁/(mg/L)≤</w:t>
                  </w:r>
                </w:p>
              </w:tc>
              <w:tc>
                <w:tcPr>
                  <w:tcW w:w="1863" w:type="pct"/>
                  <w:noWrap w:val="0"/>
                  <w:vAlign w:val="center"/>
                </w:tcPr>
                <w:p w14:paraId="0B9BFA0D">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w:t>
                  </w:r>
                </w:p>
              </w:tc>
            </w:tr>
            <w:tr w14:paraId="523F7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7F88C502">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10</w:t>
                  </w:r>
                </w:p>
              </w:tc>
              <w:tc>
                <w:tcPr>
                  <w:tcW w:w="2545" w:type="pct"/>
                  <w:noWrap w:val="0"/>
                  <w:vAlign w:val="center"/>
                </w:tcPr>
                <w:p w14:paraId="5077F11D">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锰/（mg/L)≤</w:t>
                  </w:r>
                </w:p>
              </w:tc>
              <w:tc>
                <w:tcPr>
                  <w:tcW w:w="1863" w:type="pct"/>
                  <w:noWrap w:val="0"/>
                  <w:vAlign w:val="center"/>
                </w:tcPr>
                <w:p w14:paraId="24743A56">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w:t>
                  </w:r>
                </w:p>
              </w:tc>
            </w:tr>
            <w:tr w14:paraId="0F84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6988500C">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11</w:t>
                  </w:r>
                </w:p>
              </w:tc>
              <w:tc>
                <w:tcPr>
                  <w:tcW w:w="2545" w:type="pct"/>
                  <w:noWrap w:val="0"/>
                  <w:vAlign w:val="center"/>
                </w:tcPr>
                <w:p w14:paraId="10A9EFB6">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溶解氧/（mg/L)≥</w:t>
                  </w:r>
                </w:p>
              </w:tc>
              <w:tc>
                <w:tcPr>
                  <w:tcW w:w="1863" w:type="pct"/>
                  <w:noWrap w:val="0"/>
                  <w:vAlign w:val="center"/>
                </w:tcPr>
                <w:p w14:paraId="5D141220">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2.0</w:t>
                  </w:r>
                </w:p>
              </w:tc>
            </w:tr>
            <w:tr w14:paraId="38FE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5B05F582">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12</w:t>
                  </w:r>
                </w:p>
              </w:tc>
              <w:tc>
                <w:tcPr>
                  <w:tcW w:w="2545" w:type="pct"/>
                  <w:noWrap w:val="0"/>
                  <w:vAlign w:val="center"/>
                </w:tcPr>
                <w:p w14:paraId="3F0027A7">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总氯（mg/L)≥</w:t>
                  </w:r>
                </w:p>
              </w:tc>
              <w:tc>
                <w:tcPr>
                  <w:tcW w:w="1863" w:type="pct"/>
                  <w:noWrap w:val="0"/>
                  <w:vAlign w:val="center"/>
                </w:tcPr>
                <w:p w14:paraId="171A9736">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1.0（出厂），0.2（管网末端）</w:t>
                  </w:r>
                </w:p>
              </w:tc>
            </w:tr>
            <w:tr w14:paraId="32D2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0" w:type="pct"/>
                  <w:noWrap w:val="0"/>
                  <w:vAlign w:val="center"/>
                </w:tcPr>
                <w:p w14:paraId="68113C8A">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13</w:t>
                  </w:r>
                </w:p>
              </w:tc>
              <w:tc>
                <w:tcPr>
                  <w:tcW w:w="2545" w:type="pct"/>
                  <w:noWrap w:val="0"/>
                  <w:vAlign w:val="center"/>
                </w:tcPr>
                <w:p w14:paraId="3B6B5FA0">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大肠埃希氏菌/（MPN/100ml) ≤</w:t>
                  </w:r>
                </w:p>
              </w:tc>
              <w:tc>
                <w:tcPr>
                  <w:tcW w:w="1863" w:type="pct"/>
                  <w:noWrap w:val="0"/>
                  <w:vAlign w:val="center"/>
                </w:tcPr>
                <w:p w14:paraId="236B2405">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
                    </w:rPr>
                  </w:pPr>
                  <w:r>
                    <w:rPr>
                      <w:rFonts w:hint="default" w:ascii="Times New Roman" w:hAnsi="Times New Roman" w:cs="Times New Roman" w:eastAsiaTheme="minorEastAsia"/>
                      <w:color w:val="auto"/>
                      <w:kern w:val="0"/>
                      <w:sz w:val="21"/>
                      <w:szCs w:val="21"/>
                      <w:lang w:val="en-US" w:eastAsia="zh-CN" w:bidi="ar"/>
                    </w:rPr>
                    <w:t>无</w:t>
                  </w:r>
                  <w:r>
                    <w:rPr>
                      <w:rFonts w:hint="eastAsia" w:cs="Times New Roman" w:eastAsiaTheme="minorEastAsia"/>
                      <w:color w:val="auto"/>
                      <w:kern w:val="0"/>
                      <w:sz w:val="21"/>
                      <w:szCs w:val="21"/>
                      <w:vertAlign w:val="superscript"/>
                      <w:lang w:val="en-US" w:eastAsia="zh-CN" w:bidi="ar"/>
                    </w:rPr>
                    <w:t>C</w:t>
                  </w:r>
                </w:p>
              </w:tc>
            </w:tr>
            <w:tr w14:paraId="71EDA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3"/>
                  <w:noWrap w:val="0"/>
                  <w:vAlign w:val="center"/>
                </w:tcPr>
                <w:p w14:paraId="410BAEDE">
                  <w:pPr>
                    <w:pStyle w:val="10"/>
                    <w:keepNext w:val="0"/>
                    <w:keepLines w:val="0"/>
                    <w:pageBreakBefore w:val="0"/>
                    <w:widowControl w:val="0"/>
                    <w:tabs>
                      <w:tab w:val="left" w:pos="4830"/>
                    </w:tabs>
                    <w:kinsoku/>
                    <w:wordWrap/>
                    <w:overflowPunct/>
                    <w:topLinePunct w:val="0"/>
                    <w:autoSpaceDE/>
                    <w:autoSpaceDN/>
                    <w:bidi w:val="0"/>
                    <w:adjustRightInd/>
                    <w:snapToGrid/>
                    <w:spacing w:before="0" w:after="0" w:line="240" w:lineRule="auto"/>
                    <w:ind w:firstLine="0" w:firstLineChars="0"/>
                    <w:jc w:val="both"/>
                    <w:textAlignment w:val="auto"/>
                    <w:rPr>
                      <w:rFonts w:hint="default" w:ascii="Times New Roman" w:hAnsi="Times New Roman" w:cs="Times New Roman" w:eastAsiaTheme="minorEastAsia"/>
                      <w:color w:val="auto"/>
                      <w:kern w:val="0"/>
                      <w:sz w:val="21"/>
                      <w:szCs w:val="21"/>
                      <w:lang w:val="en-US" w:eastAsia="zh-CN" w:bidi="ar"/>
                    </w:rPr>
                  </w:pPr>
                  <w:r>
                    <w:rPr>
                      <w:rFonts w:hint="eastAsia" w:ascii="Times New Roman" w:hAnsi="Times New Roman" w:cs="Times New Roman" w:eastAsiaTheme="minorEastAsia"/>
                      <w:b/>
                      <w:bCs/>
                      <w:color w:val="auto"/>
                      <w:kern w:val="0"/>
                      <w:sz w:val="21"/>
                      <w:szCs w:val="21"/>
                      <w:lang w:val="en-US" w:eastAsia="zh-CN" w:bidi="ar"/>
                    </w:rPr>
                    <w:t>备注：</w:t>
                  </w:r>
                  <w:r>
                    <w:rPr>
                      <w:rFonts w:hint="eastAsia" w:ascii="Times New Roman" w:hAnsi="Times New Roman" w:cs="Times New Roman" w:eastAsiaTheme="minorEastAsia"/>
                      <w:color w:val="auto"/>
                      <w:kern w:val="0"/>
                      <w:sz w:val="21"/>
                      <w:szCs w:val="21"/>
                      <w:lang w:val="en-US" w:eastAsia="zh-CN" w:bidi="ar"/>
                    </w:rPr>
                    <w:t>“C”表示不应检出；“</w:t>
                  </w:r>
                  <w:r>
                    <w:rPr>
                      <w:rFonts w:hint="default" w:ascii="Times New Roman" w:hAnsi="Times New Roman" w:cs="Times New Roman" w:eastAsiaTheme="minorEastAsia"/>
                      <w:color w:val="auto"/>
                      <w:kern w:val="0"/>
                      <w:sz w:val="21"/>
                      <w:szCs w:val="21"/>
                      <w:lang w:val="en-US" w:eastAsia="zh-CN" w:bidi="ar"/>
                    </w:rPr>
                    <w:t>-</w:t>
                  </w:r>
                  <w:r>
                    <w:rPr>
                      <w:rFonts w:hint="eastAsia" w:ascii="Times New Roman" w:hAnsi="Times New Roman" w:cs="Times New Roman" w:eastAsiaTheme="minorEastAsia"/>
                      <w:color w:val="auto"/>
                      <w:kern w:val="0"/>
                      <w:sz w:val="21"/>
                      <w:szCs w:val="21"/>
                      <w:lang w:val="en-US" w:eastAsia="zh-CN" w:bidi="ar"/>
                    </w:rPr>
                    <w:t>”表示对此项无要求</w:t>
                  </w:r>
                </w:p>
              </w:tc>
            </w:tr>
          </w:tbl>
          <w:p w14:paraId="6B3DC018">
            <w:pPr>
              <w:keepNext w:val="0"/>
              <w:keepLines w:val="0"/>
              <w:pageBreakBefore w:val="0"/>
              <w:widowControl w:val="0"/>
              <w:tabs>
                <w:tab w:val="left" w:pos="4830"/>
                <w:tab w:val="left" w:pos="8515"/>
              </w:tabs>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3、噪声排放标准</w:t>
            </w:r>
          </w:p>
          <w:p w14:paraId="0E8C1DC2">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w:t>
            </w:r>
          </w:p>
          <w:p w14:paraId="1327C0C6">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施工期噪声执行《建筑施工场界环境噪声排放标准》（GB12523-2011）标准值，即昼间70dB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，夜间55dB</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696880E9">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（2）运营期</w:t>
            </w:r>
          </w:p>
          <w:p w14:paraId="0ACE0886">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运营期</w:t>
            </w:r>
            <w:r>
              <w:rPr>
                <w:rFonts w:hint="eastAsia" w:cs="Times New Roman"/>
                <w:color w:val="auto"/>
                <w:sz w:val="24"/>
                <w:lang w:val="en-US" w:eastAsia="zh-CN"/>
              </w:rPr>
              <w:t>厂界</w:t>
            </w:r>
            <w:r>
              <w:rPr>
                <w:rFonts w:hint="default" w:ascii="Times New Roman" w:hAnsi="Times New Roman" w:eastAsia="宋体" w:cs="Times New Roman"/>
                <w:color w:val="auto"/>
                <w:sz w:val="24"/>
              </w:rPr>
              <w:t>噪声执行《工业企业厂界环境噪声排放标准》（GB12348－2008）</w:t>
            </w:r>
            <w:r>
              <w:rPr>
                <w:rFonts w:hint="default" w:ascii="Times New Roman" w:hAnsi="Times New Roman" w:cs="Times New Roman"/>
                <w:color w:val="auto"/>
                <w:sz w:val="24"/>
                <w:lang w:val="en-US" w:eastAsia="zh-CN"/>
              </w:rPr>
              <w:t>2</w:t>
            </w:r>
            <w:r>
              <w:rPr>
                <w:rFonts w:hint="default" w:ascii="Times New Roman" w:hAnsi="Times New Roman" w:eastAsia="宋体" w:cs="Times New Roman"/>
                <w:color w:val="auto"/>
                <w:sz w:val="24"/>
              </w:rPr>
              <w:t>类标准，具体标准限值见下表。</w:t>
            </w:r>
          </w:p>
          <w:p w14:paraId="60BE3A5A">
            <w:pPr>
              <w:pStyle w:val="10"/>
              <w:tabs>
                <w:tab w:val="left" w:pos="4830"/>
              </w:tabs>
              <w:spacing w:before="0" w:after="0" w:line="240" w:lineRule="auto"/>
              <w:ind w:firstLine="0" w:firstLineChars="0"/>
              <w:jc w:val="center"/>
              <w:rPr>
                <w:rFonts w:hint="default" w:ascii="Times New Roman" w:hAnsi="Times New Roman" w:eastAsia="宋体" w:cs="Times New Roman"/>
                <w:b/>
                <w:bCs/>
                <w:color w:val="auto"/>
                <w:kern w:val="0"/>
                <w:sz w:val="24"/>
                <w:szCs w:val="24"/>
                <w:lang w:eastAsia="zh-CN" w:bidi="ar"/>
              </w:rPr>
            </w:pPr>
            <w:r>
              <w:rPr>
                <w:rFonts w:hint="default" w:ascii="Times New Roman" w:hAnsi="Times New Roman" w:eastAsia="宋体" w:cs="Times New Roman"/>
                <w:b/>
                <w:bCs/>
                <w:color w:val="auto"/>
                <w:kern w:val="0"/>
                <w:sz w:val="24"/>
                <w:szCs w:val="24"/>
                <w:lang w:bidi="ar"/>
              </w:rPr>
              <w:t>表3-1</w:t>
            </w:r>
            <w:r>
              <w:rPr>
                <w:rFonts w:hint="eastAsia" w:cs="Times New Roman"/>
                <w:b/>
                <w:bCs/>
                <w:color w:val="auto"/>
                <w:kern w:val="0"/>
                <w:sz w:val="24"/>
                <w:szCs w:val="24"/>
                <w:lang w:val="en-US" w:eastAsia="zh-CN" w:bidi="ar"/>
              </w:rPr>
              <w:t>3</w:t>
            </w:r>
            <w:r>
              <w:rPr>
                <w:rFonts w:hint="default" w:ascii="Times New Roman" w:hAnsi="Times New Roman" w:cs="Times New Roman"/>
                <w:b/>
                <w:bCs/>
                <w:color w:val="auto"/>
                <w:kern w:val="0"/>
                <w:sz w:val="24"/>
                <w:szCs w:val="24"/>
                <w:lang w:val="en-US" w:eastAsia="zh-CN" w:bidi="ar"/>
              </w:rPr>
              <w:t xml:space="preserve">  </w:t>
            </w:r>
            <w:r>
              <w:rPr>
                <w:rFonts w:hint="default" w:ascii="Times New Roman" w:hAnsi="Times New Roman" w:eastAsia="宋体" w:cs="Times New Roman"/>
                <w:b/>
                <w:bCs/>
                <w:color w:val="auto"/>
                <w:kern w:val="0"/>
                <w:sz w:val="24"/>
                <w:szCs w:val="24"/>
                <w:lang w:bidi="ar"/>
              </w:rPr>
              <w:t>工业企业厂界环境噪声排放标准（GB12348－2008）</w:t>
            </w:r>
          </w:p>
          <w:tbl>
            <w:tblPr>
              <w:tblStyle w:val="3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797"/>
              <w:gridCol w:w="1793"/>
            </w:tblGrid>
            <w:tr w14:paraId="1E92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711" w:type="pct"/>
                  <w:vMerge w:val="restart"/>
                  <w:vAlign w:val="center"/>
                </w:tcPr>
                <w:p w14:paraId="2BCFBECF">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声环境功能区类别</w:t>
                  </w:r>
                </w:p>
              </w:tc>
              <w:tc>
                <w:tcPr>
                  <w:tcW w:w="2288" w:type="pct"/>
                  <w:gridSpan w:val="2"/>
                  <w:vAlign w:val="center"/>
                </w:tcPr>
                <w:p w14:paraId="3F696A8C">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时段</w:t>
                  </w:r>
                </w:p>
              </w:tc>
            </w:tr>
            <w:tr w14:paraId="05C1E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2711" w:type="pct"/>
                  <w:vMerge w:val="continue"/>
                  <w:vAlign w:val="center"/>
                </w:tcPr>
                <w:p w14:paraId="0E1C01B2">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1145" w:type="pct"/>
                  <w:vAlign w:val="center"/>
                </w:tcPr>
                <w:p w14:paraId="0B8312C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143" w:type="pct"/>
                  <w:vAlign w:val="center"/>
                </w:tcPr>
                <w:p w14:paraId="131BBE3E">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14:paraId="42F7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2711" w:type="pct"/>
                  <w:vAlign w:val="center"/>
                </w:tcPr>
                <w:p w14:paraId="72CCF40C">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eastAsia="宋体" w:cs="Times New Roman"/>
                      <w:color w:val="auto"/>
                      <w:sz w:val="21"/>
                      <w:szCs w:val="21"/>
                    </w:rPr>
                    <w:t>类</w:t>
                  </w:r>
                </w:p>
              </w:tc>
              <w:tc>
                <w:tcPr>
                  <w:tcW w:w="1145" w:type="pct"/>
                  <w:vAlign w:val="center"/>
                </w:tcPr>
                <w:p w14:paraId="26C4F179">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rPr>
                    <w:t>6</w:t>
                  </w:r>
                  <w:r>
                    <w:rPr>
                      <w:rFonts w:hint="default" w:ascii="Times New Roman" w:hAnsi="Times New Roman" w:cs="Times New Roman"/>
                      <w:b w:val="0"/>
                      <w:bCs w:val="0"/>
                      <w:color w:val="auto"/>
                      <w:sz w:val="21"/>
                      <w:szCs w:val="21"/>
                      <w:lang w:val="en-US" w:eastAsia="zh-CN"/>
                    </w:rPr>
                    <w:t>0</w:t>
                  </w:r>
                  <w:r>
                    <w:rPr>
                      <w:rFonts w:hint="default" w:ascii="Times New Roman" w:hAnsi="Times New Roman" w:eastAsia="宋体" w:cs="Times New Roman"/>
                      <w:b w:val="0"/>
                      <w:bCs w:val="0"/>
                      <w:color w:val="auto"/>
                      <w:kern w:val="0"/>
                      <w:sz w:val="21"/>
                      <w:szCs w:val="21"/>
                      <w:lang w:bidi="ar"/>
                    </w:rPr>
                    <w:t>dB</w:t>
                  </w:r>
                  <w:r>
                    <w:rPr>
                      <w:rFonts w:hint="default" w:ascii="Times New Roman" w:hAnsi="Times New Roman" w:eastAsia="宋体" w:cs="Times New Roman"/>
                      <w:b w:val="0"/>
                      <w:bCs w:val="0"/>
                      <w:color w:val="auto"/>
                      <w:kern w:val="0"/>
                      <w:sz w:val="21"/>
                      <w:szCs w:val="21"/>
                      <w:lang w:eastAsia="zh-CN" w:bidi="ar"/>
                    </w:rPr>
                    <w:t>（</w:t>
                  </w:r>
                  <w:r>
                    <w:rPr>
                      <w:rFonts w:hint="default" w:ascii="Times New Roman" w:hAnsi="Times New Roman" w:eastAsia="宋体" w:cs="Times New Roman"/>
                      <w:b w:val="0"/>
                      <w:bCs w:val="0"/>
                      <w:color w:val="auto"/>
                      <w:kern w:val="0"/>
                      <w:sz w:val="21"/>
                      <w:szCs w:val="21"/>
                      <w:lang w:bidi="ar"/>
                    </w:rPr>
                    <w:t>A</w:t>
                  </w:r>
                  <w:r>
                    <w:rPr>
                      <w:rFonts w:hint="default" w:ascii="Times New Roman" w:hAnsi="Times New Roman" w:eastAsia="宋体" w:cs="Times New Roman"/>
                      <w:b w:val="0"/>
                      <w:bCs w:val="0"/>
                      <w:color w:val="auto"/>
                      <w:kern w:val="0"/>
                      <w:sz w:val="21"/>
                      <w:szCs w:val="21"/>
                      <w:lang w:eastAsia="zh-CN" w:bidi="ar"/>
                    </w:rPr>
                    <w:t>）</w:t>
                  </w:r>
                </w:p>
              </w:tc>
              <w:tc>
                <w:tcPr>
                  <w:tcW w:w="1143" w:type="pct"/>
                  <w:vAlign w:val="center"/>
                </w:tcPr>
                <w:p w14:paraId="21309900">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5</w:t>
                  </w:r>
                  <w:r>
                    <w:rPr>
                      <w:rFonts w:hint="default" w:ascii="Times New Roman" w:hAnsi="Times New Roman" w:cs="Times New Roman"/>
                      <w:color w:val="auto"/>
                      <w:sz w:val="21"/>
                      <w:szCs w:val="21"/>
                      <w:lang w:val="en-US" w:eastAsia="zh-CN"/>
                    </w:rPr>
                    <w:t>0</w:t>
                  </w:r>
                  <w:r>
                    <w:rPr>
                      <w:rFonts w:hint="default" w:ascii="Times New Roman" w:hAnsi="Times New Roman" w:eastAsia="宋体" w:cs="Times New Roman"/>
                      <w:b w:val="0"/>
                      <w:bCs w:val="0"/>
                      <w:color w:val="auto"/>
                      <w:kern w:val="0"/>
                      <w:sz w:val="21"/>
                      <w:szCs w:val="21"/>
                      <w:lang w:bidi="ar"/>
                    </w:rPr>
                    <w:t>dB</w:t>
                  </w:r>
                  <w:r>
                    <w:rPr>
                      <w:rFonts w:hint="default" w:ascii="Times New Roman" w:hAnsi="Times New Roman" w:eastAsia="宋体" w:cs="Times New Roman"/>
                      <w:b w:val="0"/>
                      <w:bCs w:val="0"/>
                      <w:color w:val="auto"/>
                      <w:kern w:val="0"/>
                      <w:sz w:val="21"/>
                      <w:szCs w:val="21"/>
                      <w:lang w:eastAsia="zh-CN" w:bidi="ar"/>
                    </w:rPr>
                    <w:t>（</w:t>
                  </w:r>
                  <w:r>
                    <w:rPr>
                      <w:rFonts w:hint="default" w:ascii="Times New Roman" w:hAnsi="Times New Roman" w:eastAsia="宋体" w:cs="Times New Roman"/>
                      <w:b w:val="0"/>
                      <w:bCs w:val="0"/>
                      <w:color w:val="auto"/>
                      <w:kern w:val="0"/>
                      <w:sz w:val="21"/>
                      <w:szCs w:val="21"/>
                      <w:lang w:bidi="ar"/>
                    </w:rPr>
                    <w:t>A</w:t>
                  </w:r>
                  <w:r>
                    <w:rPr>
                      <w:rFonts w:hint="default" w:ascii="Times New Roman" w:hAnsi="Times New Roman" w:eastAsia="宋体" w:cs="Times New Roman"/>
                      <w:b w:val="0"/>
                      <w:bCs w:val="0"/>
                      <w:color w:val="auto"/>
                      <w:kern w:val="0"/>
                      <w:sz w:val="21"/>
                      <w:szCs w:val="21"/>
                      <w:lang w:eastAsia="zh-CN" w:bidi="ar"/>
                    </w:rPr>
                    <w:t>）</w:t>
                  </w:r>
                </w:p>
              </w:tc>
            </w:tr>
          </w:tbl>
          <w:p w14:paraId="62521F22">
            <w:pPr>
              <w:tabs>
                <w:tab w:val="left" w:pos="4830"/>
                <w:tab w:val="left" w:pos="8515"/>
              </w:tabs>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4、固体废物控制标准</w:t>
            </w:r>
          </w:p>
          <w:p w14:paraId="1AB0B29F">
            <w:pPr>
              <w:tabs>
                <w:tab w:val="left" w:pos="4830"/>
              </w:tabs>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项目产生的一般固废执行《一般工业固体废物贮存和填埋污染控制标准》（GB18599-2020）的相关内容。</w:t>
            </w:r>
          </w:p>
          <w:p w14:paraId="038AB46E">
            <w:pPr>
              <w:tabs>
                <w:tab w:val="left" w:pos="4830"/>
              </w:tabs>
              <w:spacing w:line="360" w:lineRule="auto"/>
              <w:ind w:firstLine="480" w:firstLineChars="200"/>
              <w:jc w:val="left"/>
              <w:rPr>
                <w:rFonts w:hint="default" w:ascii="Times New Roman" w:hAnsi="Times New Roman" w:cs="Times New Roman"/>
                <w:color w:val="auto"/>
                <w:lang w:eastAsia="zh-CN"/>
              </w:rPr>
            </w:pPr>
            <w:r>
              <w:rPr>
                <w:rFonts w:hint="default" w:ascii="Times New Roman" w:hAnsi="Times New Roman" w:cs="Times New Roman"/>
                <w:color w:val="auto"/>
                <w:sz w:val="24"/>
              </w:rPr>
              <w:t>危险废物暂存执行《危险废物贮存污染控制标准》（GB18597-2023）；危险废物台账执行《危险废物管理计划和管理台账制定技术导则》（HJ1259-2022）。</w:t>
            </w:r>
          </w:p>
        </w:tc>
      </w:tr>
      <w:tr w14:paraId="6D01DA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5" w:type="pct"/>
            <w:vAlign w:val="center"/>
          </w:tcPr>
          <w:p w14:paraId="09984849">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Cs w:val="21"/>
                <w:lang w:eastAsia="zh-CN"/>
              </w:rPr>
            </w:pPr>
          </w:p>
          <w:p w14:paraId="5D44B2B7">
            <w:pPr>
              <w:pStyle w:val="15"/>
              <w:rPr>
                <w:rFonts w:hint="default" w:ascii="Times New Roman" w:hAnsi="Times New Roman" w:cs="Times New Roman"/>
                <w:color w:val="auto"/>
                <w:kern w:val="0"/>
                <w:szCs w:val="21"/>
                <w:lang w:eastAsia="zh-CN"/>
              </w:rPr>
            </w:pPr>
          </w:p>
          <w:p w14:paraId="7F0CA8AA">
            <w:pPr>
              <w:pStyle w:val="16"/>
              <w:rPr>
                <w:rFonts w:hint="default"/>
                <w:color w:val="auto"/>
                <w:lang w:eastAsia="zh-CN"/>
              </w:rPr>
            </w:pPr>
          </w:p>
          <w:p w14:paraId="112AB276">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0"/>
                <w:szCs w:val="21"/>
                <w:lang w:eastAsia="zh-CN"/>
              </w:rPr>
            </w:pPr>
          </w:p>
          <w:p w14:paraId="09E99D69">
            <w:pPr>
              <w:keepNext w:val="0"/>
              <w:keepLines w:val="0"/>
              <w:pageBreakBefore w:val="0"/>
              <w:widowControl w:val="0"/>
              <w:tabs>
                <w:tab w:val="left" w:pos="4830"/>
              </w:tabs>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cs="Times New Roman"/>
                <w:color w:val="auto"/>
                <w:kern w:val="0"/>
                <w:szCs w:val="21"/>
                <w:lang w:eastAsia="zh-CN"/>
              </w:rPr>
              <w:t>总量控制</w:t>
            </w:r>
          </w:p>
        </w:tc>
        <w:tc>
          <w:tcPr>
            <w:tcW w:w="4734" w:type="pct"/>
            <w:vAlign w:val="center"/>
          </w:tcPr>
          <w:p w14:paraId="6D732D58">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总量控制</w:t>
            </w:r>
            <w:r>
              <w:rPr>
                <w:rFonts w:hint="default" w:ascii="Times New Roman" w:hAnsi="Times New Roman" w:eastAsia="宋体" w:cs="Times New Roman"/>
                <w:b/>
                <w:bCs/>
                <w:color w:val="auto"/>
                <w:sz w:val="24"/>
                <w:szCs w:val="24"/>
                <w:lang w:eastAsia="zh-CN"/>
              </w:rPr>
              <w:t>：</w:t>
            </w:r>
          </w:p>
          <w:p w14:paraId="3921A243">
            <w:pPr>
              <w:pStyle w:val="31"/>
              <w:keepNext w:val="0"/>
              <w:keepLines w:val="0"/>
              <w:pageBreakBefore w:val="0"/>
              <w:widowControl w:val="0"/>
              <w:tabs>
                <w:tab w:val="left" w:pos="4830"/>
              </w:tabs>
              <w:kinsoku/>
              <w:wordWrap/>
              <w:overflowPunct/>
              <w:topLinePunct w:val="0"/>
              <w:autoSpaceDE/>
              <w:autoSpaceDN/>
              <w:bidi w:val="0"/>
              <w:adjustRightInd/>
              <w:snapToGrid/>
              <w:spacing w:before="0" w:beforeAutospacing="0" w:after="0" w:afterAutospacing="0"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1、废气</w:t>
            </w:r>
          </w:p>
          <w:p w14:paraId="1E67DC89">
            <w:pPr>
              <w:keepNext w:val="0"/>
              <w:keepLines w:val="0"/>
              <w:pageBreakBefore w:val="0"/>
              <w:widowControl w:val="0"/>
              <w:tabs>
                <w:tab w:val="left" w:pos="4830"/>
                <w:tab w:val="left" w:pos="5580"/>
              </w:tabs>
              <w:kinsoku/>
              <w:wordWrap/>
              <w:overflowPunct/>
              <w:topLinePunct w:val="0"/>
              <w:autoSpaceDE/>
              <w:autoSpaceDN/>
              <w:bidi w:val="0"/>
              <w:adjustRightInd/>
              <w:snapToGrid/>
              <w:spacing w:line="360" w:lineRule="auto"/>
              <w:ind w:firstLine="480" w:firstLineChars="200"/>
              <w:jc w:val="both"/>
              <w:textAlignment w:val="baseline"/>
              <w:rPr>
                <w:rFonts w:hint="default" w:ascii="Times New Roman" w:hAnsi="Times New Roman" w:cs="Times New Roman" w:eastAsiaTheme="minorEastAsia"/>
                <w:bCs/>
                <w:color w:val="auto"/>
                <w:sz w:val="24"/>
                <w:szCs w:val="24"/>
                <w:highlight w:val="none"/>
                <w:shd w:val="clear" w:color="auto" w:fill="auto"/>
                <w:lang w:val="en-US" w:eastAsia="zh-CN"/>
              </w:rPr>
            </w:pPr>
            <w:r>
              <w:rPr>
                <w:rFonts w:hint="default" w:ascii="Times New Roman" w:hAnsi="Times New Roman" w:cs="Times New Roman" w:eastAsiaTheme="minorEastAsia"/>
                <w:bCs/>
                <w:color w:val="auto"/>
                <w:sz w:val="24"/>
                <w:szCs w:val="24"/>
                <w:highlight w:val="none"/>
                <w:shd w:val="clear" w:color="auto" w:fill="auto"/>
                <w:lang w:val="en-US" w:eastAsia="zh-CN"/>
              </w:rPr>
              <w:t>根据工程分析核算，运行期间将排放苯乙烯、甲苯、乙苯、</w:t>
            </w:r>
            <w:r>
              <w:rPr>
                <w:rFonts w:hint="eastAsia" w:ascii="Times New Roman" w:hAnsi="Times New Roman" w:cs="Times New Roman" w:eastAsiaTheme="minorEastAsia"/>
                <w:bCs/>
                <w:color w:val="auto"/>
                <w:sz w:val="24"/>
                <w:szCs w:val="24"/>
                <w:highlight w:val="none"/>
                <w:shd w:val="clear" w:color="auto" w:fill="auto"/>
                <w:lang w:val="en-US" w:eastAsia="zh-CN"/>
              </w:rPr>
              <w:t>颗粒物、</w:t>
            </w:r>
            <w:r>
              <w:rPr>
                <w:rFonts w:hint="default" w:ascii="Times New Roman" w:hAnsi="Times New Roman" w:cs="Times New Roman" w:eastAsiaTheme="minorEastAsia"/>
                <w:bCs/>
                <w:color w:val="auto"/>
                <w:sz w:val="24"/>
                <w:szCs w:val="24"/>
                <w:highlight w:val="none"/>
                <w:shd w:val="clear" w:color="auto" w:fill="auto"/>
                <w:lang w:val="en-US" w:eastAsia="zh-CN"/>
              </w:rPr>
              <w:t>非甲烷总烃</w:t>
            </w:r>
            <w:r>
              <w:rPr>
                <w:rFonts w:hint="eastAsia" w:ascii="Times New Roman" w:hAnsi="Times New Roman" w:cs="Times New Roman" w:eastAsiaTheme="minorEastAsia"/>
                <w:bCs/>
                <w:color w:val="auto"/>
                <w:sz w:val="24"/>
                <w:szCs w:val="24"/>
                <w:highlight w:val="none"/>
                <w:shd w:val="clear" w:color="auto" w:fill="auto"/>
                <w:lang w:val="en-US" w:eastAsia="zh-CN"/>
              </w:rPr>
              <w:t>、二氧化硫、氮氧化物</w:t>
            </w:r>
            <w:r>
              <w:rPr>
                <w:rFonts w:hint="default" w:ascii="Times New Roman" w:hAnsi="Times New Roman" w:cs="Times New Roman" w:eastAsiaTheme="minorEastAsia"/>
                <w:bCs/>
                <w:color w:val="auto"/>
                <w:sz w:val="24"/>
                <w:szCs w:val="24"/>
                <w:highlight w:val="none"/>
                <w:shd w:val="clear" w:color="auto" w:fill="auto"/>
                <w:lang w:val="en-US" w:eastAsia="zh-CN"/>
              </w:rPr>
              <w:t>。非甲烷总烃排放量为0.06t/a</w:t>
            </w:r>
            <w:r>
              <w:rPr>
                <w:rFonts w:hint="eastAsia" w:cs="Times New Roman" w:eastAsiaTheme="minorEastAsia"/>
                <w:bCs/>
                <w:color w:val="auto"/>
                <w:sz w:val="24"/>
                <w:szCs w:val="24"/>
                <w:highlight w:val="none"/>
                <w:shd w:val="clear" w:color="auto" w:fill="auto"/>
                <w:lang w:val="en-US" w:eastAsia="zh-CN"/>
              </w:rPr>
              <w:t>，其中，有组织非甲烷总烃排放量为0.03</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，无组织非甲烷总烃排放量为0.03</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w:t>
            </w:r>
            <w:r>
              <w:rPr>
                <w:rFonts w:hint="default" w:ascii="Times New Roman" w:hAnsi="Times New Roman" w:cs="Times New Roman" w:eastAsiaTheme="minorEastAsia"/>
                <w:bCs/>
                <w:color w:val="auto"/>
                <w:sz w:val="24"/>
                <w:szCs w:val="24"/>
                <w:highlight w:val="none"/>
                <w:shd w:val="clear" w:color="auto" w:fill="auto"/>
                <w:lang w:val="en-US" w:eastAsia="zh-CN"/>
              </w:rPr>
              <w:t>甲苯排放量为0.00</w:t>
            </w:r>
            <w:r>
              <w:rPr>
                <w:rFonts w:hint="eastAsia" w:ascii="Times New Roman" w:hAnsi="Times New Roman" w:cs="Times New Roman" w:eastAsiaTheme="minorEastAsia"/>
                <w:bCs/>
                <w:color w:val="auto"/>
                <w:sz w:val="24"/>
                <w:szCs w:val="24"/>
                <w:highlight w:val="none"/>
                <w:shd w:val="clear" w:color="auto" w:fill="auto"/>
                <w:lang w:val="en-US" w:eastAsia="zh-CN"/>
              </w:rPr>
              <w:t>17</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其中，有组织</w:t>
            </w:r>
            <w:r>
              <w:rPr>
                <w:rFonts w:hint="default" w:ascii="Times New Roman" w:hAnsi="Times New Roman" w:cs="Times New Roman" w:eastAsiaTheme="minorEastAsia"/>
                <w:bCs/>
                <w:color w:val="auto"/>
                <w:sz w:val="24"/>
                <w:szCs w:val="24"/>
                <w:highlight w:val="none"/>
                <w:shd w:val="clear" w:color="auto" w:fill="auto"/>
                <w:lang w:val="en-US" w:eastAsia="zh-CN"/>
              </w:rPr>
              <w:t>甲苯排放量为0.00</w:t>
            </w:r>
            <w:r>
              <w:rPr>
                <w:rFonts w:hint="eastAsia" w:cs="Times New Roman" w:eastAsiaTheme="minorEastAsia"/>
                <w:bCs/>
                <w:color w:val="auto"/>
                <w:sz w:val="24"/>
                <w:szCs w:val="24"/>
                <w:highlight w:val="none"/>
                <w:shd w:val="clear" w:color="auto" w:fill="auto"/>
                <w:lang w:val="en-US" w:eastAsia="zh-CN"/>
              </w:rPr>
              <w:t>09</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，无组织</w:t>
            </w:r>
            <w:r>
              <w:rPr>
                <w:rFonts w:hint="default" w:ascii="Times New Roman" w:hAnsi="Times New Roman" w:cs="Times New Roman" w:eastAsiaTheme="minorEastAsia"/>
                <w:bCs/>
                <w:color w:val="auto"/>
                <w:sz w:val="24"/>
                <w:szCs w:val="24"/>
                <w:highlight w:val="none"/>
                <w:shd w:val="clear" w:color="auto" w:fill="auto"/>
                <w:lang w:val="en-US" w:eastAsia="zh-CN"/>
              </w:rPr>
              <w:t>甲苯排放量为0.00</w:t>
            </w:r>
            <w:r>
              <w:rPr>
                <w:rFonts w:hint="eastAsia" w:cs="Times New Roman" w:eastAsiaTheme="minorEastAsia"/>
                <w:bCs/>
                <w:color w:val="auto"/>
                <w:sz w:val="24"/>
                <w:szCs w:val="24"/>
                <w:highlight w:val="none"/>
                <w:shd w:val="clear" w:color="auto" w:fill="auto"/>
                <w:lang w:val="en-US" w:eastAsia="zh-CN"/>
              </w:rPr>
              <w:t>08</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w:t>
            </w:r>
            <w:r>
              <w:rPr>
                <w:rFonts w:hint="eastAsia" w:ascii="Times New Roman" w:hAnsi="Times New Roman" w:cs="Times New Roman" w:eastAsiaTheme="minorEastAsia"/>
                <w:bCs/>
                <w:color w:val="auto"/>
                <w:sz w:val="24"/>
                <w:szCs w:val="24"/>
                <w:highlight w:val="none"/>
                <w:shd w:val="clear" w:color="auto" w:fill="auto"/>
                <w:lang w:val="en-US" w:eastAsia="zh-CN"/>
              </w:rPr>
              <w:t>乙苯排放量为0.0008</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ascii="Times New Roman" w:hAnsi="Times New Roman" w:cs="Times New Roman" w:eastAsiaTheme="minorEastAsia"/>
                <w:bCs/>
                <w:color w:val="auto"/>
                <w:sz w:val="24"/>
                <w:szCs w:val="24"/>
                <w:highlight w:val="none"/>
                <w:shd w:val="clear" w:color="auto" w:fill="auto"/>
                <w:lang w:val="en-US" w:eastAsia="zh-CN"/>
              </w:rPr>
              <w:t>，</w:t>
            </w:r>
            <w:r>
              <w:rPr>
                <w:rFonts w:hint="eastAsia" w:cs="Times New Roman" w:eastAsiaTheme="minorEastAsia"/>
                <w:bCs/>
                <w:color w:val="auto"/>
                <w:sz w:val="24"/>
                <w:szCs w:val="24"/>
                <w:highlight w:val="none"/>
                <w:shd w:val="clear" w:color="auto" w:fill="auto"/>
                <w:lang w:val="en-US" w:eastAsia="zh-CN"/>
              </w:rPr>
              <w:t>其中，有组织</w:t>
            </w:r>
            <w:r>
              <w:rPr>
                <w:rFonts w:hint="eastAsia" w:ascii="Times New Roman" w:hAnsi="Times New Roman" w:cs="Times New Roman" w:eastAsiaTheme="minorEastAsia"/>
                <w:bCs/>
                <w:color w:val="auto"/>
                <w:sz w:val="24"/>
                <w:szCs w:val="24"/>
                <w:highlight w:val="none"/>
                <w:shd w:val="clear" w:color="auto" w:fill="auto"/>
                <w:lang w:val="en-US" w:eastAsia="zh-CN"/>
              </w:rPr>
              <w:t>乙苯排放量为0.000</w:t>
            </w:r>
            <w:r>
              <w:rPr>
                <w:rFonts w:hint="eastAsia" w:cs="Times New Roman" w:eastAsiaTheme="minorEastAsia"/>
                <w:bCs/>
                <w:color w:val="auto"/>
                <w:sz w:val="24"/>
                <w:szCs w:val="24"/>
                <w:highlight w:val="none"/>
                <w:shd w:val="clear" w:color="auto" w:fill="auto"/>
                <w:lang w:val="en-US" w:eastAsia="zh-CN"/>
              </w:rPr>
              <w:t>4</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，无组织</w:t>
            </w:r>
            <w:r>
              <w:rPr>
                <w:rFonts w:hint="eastAsia" w:ascii="Times New Roman" w:hAnsi="Times New Roman" w:cs="Times New Roman" w:eastAsiaTheme="minorEastAsia"/>
                <w:bCs/>
                <w:color w:val="auto"/>
                <w:sz w:val="24"/>
                <w:szCs w:val="24"/>
                <w:highlight w:val="none"/>
                <w:shd w:val="clear" w:color="auto" w:fill="auto"/>
                <w:lang w:val="en-US" w:eastAsia="zh-CN"/>
              </w:rPr>
              <w:t>乙苯排放量为0.000</w:t>
            </w:r>
            <w:r>
              <w:rPr>
                <w:rFonts w:hint="eastAsia" w:cs="Times New Roman" w:eastAsiaTheme="minorEastAsia"/>
                <w:bCs/>
                <w:color w:val="auto"/>
                <w:sz w:val="24"/>
                <w:szCs w:val="24"/>
                <w:highlight w:val="none"/>
                <w:shd w:val="clear" w:color="auto" w:fill="auto"/>
                <w:lang w:val="en-US" w:eastAsia="zh-CN"/>
              </w:rPr>
              <w:t>4</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w:t>
            </w:r>
            <w:r>
              <w:rPr>
                <w:rFonts w:hint="eastAsia" w:ascii="Times New Roman" w:hAnsi="Times New Roman" w:cs="Times New Roman" w:eastAsiaTheme="minorEastAsia"/>
                <w:bCs/>
                <w:color w:val="auto"/>
                <w:sz w:val="24"/>
                <w:szCs w:val="24"/>
                <w:highlight w:val="none"/>
                <w:shd w:val="clear" w:color="auto" w:fill="auto"/>
                <w:lang w:val="en-US" w:eastAsia="zh-CN"/>
              </w:rPr>
              <w:t>苯乙烯排放量为0.0002</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ascii="Times New Roman" w:hAnsi="Times New Roman" w:cs="Times New Roman" w:eastAsiaTheme="minorEastAsia"/>
                <w:bCs/>
                <w:color w:val="auto"/>
                <w:sz w:val="24"/>
                <w:szCs w:val="24"/>
                <w:highlight w:val="none"/>
                <w:shd w:val="clear" w:color="auto" w:fill="auto"/>
                <w:lang w:val="en-US" w:eastAsia="zh-CN"/>
              </w:rPr>
              <w:t>，</w:t>
            </w:r>
            <w:r>
              <w:rPr>
                <w:rFonts w:hint="eastAsia" w:cs="Times New Roman" w:eastAsiaTheme="minorEastAsia"/>
                <w:bCs/>
                <w:color w:val="auto"/>
                <w:sz w:val="24"/>
                <w:szCs w:val="24"/>
                <w:highlight w:val="none"/>
                <w:shd w:val="clear" w:color="auto" w:fill="auto"/>
                <w:lang w:val="en-US" w:eastAsia="zh-CN"/>
              </w:rPr>
              <w:t>其中，有组织</w:t>
            </w:r>
            <w:r>
              <w:rPr>
                <w:rFonts w:hint="eastAsia" w:ascii="Times New Roman" w:hAnsi="Times New Roman" w:cs="Times New Roman" w:eastAsiaTheme="minorEastAsia"/>
                <w:bCs/>
                <w:color w:val="auto"/>
                <w:sz w:val="24"/>
                <w:szCs w:val="24"/>
                <w:highlight w:val="none"/>
                <w:shd w:val="clear" w:color="auto" w:fill="auto"/>
                <w:lang w:val="en-US" w:eastAsia="zh-CN"/>
              </w:rPr>
              <w:t>苯乙烯排放量为0.000</w:t>
            </w:r>
            <w:r>
              <w:rPr>
                <w:rFonts w:hint="eastAsia" w:cs="Times New Roman" w:eastAsiaTheme="minorEastAsia"/>
                <w:bCs/>
                <w:color w:val="auto"/>
                <w:sz w:val="24"/>
                <w:szCs w:val="24"/>
                <w:highlight w:val="none"/>
                <w:shd w:val="clear" w:color="auto" w:fill="auto"/>
                <w:lang w:val="en-US" w:eastAsia="zh-CN"/>
              </w:rPr>
              <w:t>1</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，无组织</w:t>
            </w:r>
            <w:r>
              <w:rPr>
                <w:rFonts w:hint="eastAsia" w:ascii="Times New Roman" w:hAnsi="Times New Roman" w:cs="Times New Roman" w:eastAsiaTheme="minorEastAsia"/>
                <w:bCs/>
                <w:color w:val="auto"/>
                <w:sz w:val="24"/>
                <w:szCs w:val="24"/>
                <w:highlight w:val="none"/>
                <w:shd w:val="clear" w:color="auto" w:fill="auto"/>
                <w:lang w:val="en-US" w:eastAsia="zh-CN"/>
              </w:rPr>
              <w:t>苯乙烯排放量为0.000</w:t>
            </w:r>
            <w:r>
              <w:rPr>
                <w:rFonts w:hint="eastAsia" w:cs="Times New Roman" w:eastAsiaTheme="minorEastAsia"/>
                <w:bCs/>
                <w:color w:val="auto"/>
                <w:sz w:val="24"/>
                <w:szCs w:val="24"/>
                <w:highlight w:val="none"/>
                <w:shd w:val="clear" w:color="auto" w:fill="auto"/>
                <w:lang w:val="en-US" w:eastAsia="zh-CN"/>
              </w:rPr>
              <w:t>1</w:t>
            </w:r>
            <w:r>
              <w:rPr>
                <w:rFonts w:hint="default"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w:t>
            </w:r>
            <w:r>
              <w:rPr>
                <w:rFonts w:hint="eastAsia" w:ascii="Times New Roman" w:hAnsi="Times New Roman" w:cs="Times New Roman" w:eastAsiaTheme="minorEastAsia"/>
                <w:bCs/>
                <w:color w:val="auto"/>
                <w:sz w:val="24"/>
                <w:szCs w:val="24"/>
                <w:highlight w:val="none"/>
                <w:shd w:val="clear" w:color="auto" w:fill="auto"/>
                <w:lang w:val="en-US" w:eastAsia="zh-CN"/>
              </w:rPr>
              <w:t>颗粒物排放量为</w:t>
            </w:r>
            <w:r>
              <w:rPr>
                <w:rFonts w:hint="eastAsia" w:cs="Times New Roman" w:eastAsiaTheme="minorEastAsia"/>
                <w:bCs/>
                <w:color w:val="auto"/>
                <w:sz w:val="24"/>
                <w:szCs w:val="24"/>
                <w:highlight w:val="none"/>
                <w:shd w:val="clear" w:color="auto" w:fill="auto"/>
                <w:lang w:val="en-US" w:eastAsia="zh-CN"/>
              </w:rPr>
              <w:t>0.2564</w:t>
            </w:r>
            <w:r>
              <w:rPr>
                <w:rFonts w:hint="eastAsia" w:ascii="Times New Roman" w:hAnsi="Times New Roman" w:cs="Times New Roman" w:eastAsiaTheme="minorEastAsia"/>
                <w:bCs/>
                <w:color w:val="auto"/>
                <w:sz w:val="24"/>
                <w:szCs w:val="24"/>
                <w:highlight w:val="none"/>
                <w:shd w:val="clear" w:color="auto" w:fill="auto"/>
                <w:lang w:val="en-US" w:eastAsia="zh-CN"/>
              </w:rPr>
              <w:t>t/a，</w:t>
            </w:r>
            <w:r>
              <w:rPr>
                <w:rFonts w:hint="eastAsia" w:cs="Times New Roman" w:eastAsiaTheme="minorEastAsia"/>
                <w:bCs/>
                <w:color w:val="auto"/>
                <w:sz w:val="24"/>
                <w:szCs w:val="24"/>
                <w:highlight w:val="none"/>
                <w:shd w:val="clear" w:color="auto" w:fill="auto"/>
                <w:lang w:val="en-US" w:eastAsia="zh-CN"/>
              </w:rPr>
              <w:t>其中，有组织颗粒物排放量为0.0564t/a，无组织颗粒物排放量为0.2t/a；</w:t>
            </w:r>
            <w:r>
              <w:rPr>
                <w:rFonts w:hint="eastAsia" w:ascii="Times New Roman" w:hAnsi="Times New Roman" w:cs="Times New Roman" w:eastAsiaTheme="minorEastAsia"/>
                <w:bCs/>
                <w:color w:val="auto"/>
                <w:sz w:val="24"/>
                <w:szCs w:val="24"/>
                <w:highlight w:val="none"/>
                <w:shd w:val="clear" w:color="auto" w:fill="auto"/>
                <w:lang w:val="en-US" w:eastAsia="zh-CN"/>
              </w:rPr>
              <w:t>二氧化硫</w:t>
            </w:r>
            <w:r>
              <w:rPr>
                <w:rFonts w:hint="eastAsia" w:cs="Times New Roman" w:eastAsiaTheme="minorEastAsia"/>
                <w:bCs/>
                <w:color w:val="auto"/>
                <w:sz w:val="24"/>
                <w:szCs w:val="24"/>
                <w:highlight w:val="none"/>
                <w:shd w:val="clear" w:color="auto" w:fill="auto"/>
                <w:lang w:val="en-US" w:eastAsia="zh-CN"/>
              </w:rPr>
              <w:t>（均为有组织）</w:t>
            </w:r>
            <w:r>
              <w:rPr>
                <w:rFonts w:hint="eastAsia" w:ascii="Times New Roman" w:hAnsi="Times New Roman" w:cs="Times New Roman" w:eastAsiaTheme="minorEastAsia"/>
                <w:bCs/>
                <w:color w:val="auto"/>
                <w:sz w:val="24"/>
                <w:szCs w:val="24"/>
                <w:highlight w:val="none"/>
                <w:shd w:val="clear" w:color="auto" w:fill="auto"/>
                <w:lang w:val="en-US" w:eastAsia="zh-CN"/>
              </w:rPr>
              <w:t>排放量为0.77t/a，氮氧化物</w:t>
            </w:r>
            <w:r>
              <w:rPr>
                <w:rFonts w:hint="eastAsia" w:cs="Times New Roman" w:eastAsiaTheme="minorEastAsia"/>
                <w:bCs/>
                <w:color w:val="auto"/>
                <w:sz w:val="24"/>
                <w:szCs w:val="24"/>
                <w:highlight w:val="none"/>
                <w:shd w:val="clear" w:color="auto" w:fill="auto"/>
                <w:lang w:val="en-US" w:eastAsia="zh-CN"/>
              </w:rPr>
              <w:t>（均为有组织）</w:t>
            </w:r>
            <w:r>
              <w:rPr>
                <w:rFonts w:hint="eastAsia" w:ascii="Times New Roman" w:hAnsi="Times New Roman" w:cs="Times New Roman" w:eastAsiaTheme="minorEastAsia"/>
                <w:bCs/>
                <w:color w:val="auto"/>
                <w:sz w:val="24"/>
                <w:szCs w:val="24"/>
                <w:highlight w:val="none"/>
                <w:shd w:val="clear" w:color="auto" w:fill="auto"/>
                <w:lang w:val="en-US" w:eastAsia="zh-CN"/>
              </w:rPr>
              <w:t>排放量为1.53t/a，油烟</w:t>
            </w:r>
            <w:r>
              <w:rPr>
                <w:rFonts w:hint="eastAsia" w:cs="Times New Roman" w:eastAsiaTheme="minorEastAsia"/>
                <w:bCs/>
                <w:color w:val="auto"/>
                <w:sz w:val="24"/>
                <w:szCs w:val="24"/>
                <w:highlight w:val="none"/>
                <w:shd w:val="clear" w:color="auto" w:fill="auto"/>
                <w:lang w:val="en-US" w:eastAsia="zh-CN"/>
              </w:rPr>
              <w:t>（均为无组织）</w:t>
            </w:r>
            <w:r>
              <w:rPr>
                <w:rFonts w:hint="eastAsia" w:ascii="Times New Roman" w:hAnsi="Times New Roman" w:cs="Times New Roman" w:eastAsiaTheme="minorEastAsia"/>
                <w:bCs/>
                <w:color w:val="auto"/>
                <w:sz w:val="24"/>
                <w:szCs w:val="24"/>
                <w:highlight w:val="none"/>
                <w:shd w:val="clear" w:color="auto" w:fill="auto"/>
                <w:lang w:val="en-US" w:eastAsia="zh-CN"/>
              </w:rPr>
              <w:t>排放量为0.0005t/a。</w:t>
            </w:r>
          </w:p>
          <w:p w14:paraId="0C8AF658">
            <w:pPr>
              <w:pStyle w:val="31"/>
              <w:keepNext w:val="0"/>
              <w:keepLines w:val="0"/>
              <w:pageBreakBefore w:val="0"/>
              <w:widowControl w:val="0"/>
              <w:tabs>
                <w:tab w:val="left" w:pos="4830"/>
              </w:tabs>
              <w:kinsoku/>
              <w:wordWrap/>
              <w:overflowPunct/>
              <w:topLinePunct w:val="0"/>
              <w:autoSpaceDE/>
              <w:autoSpaceDN/>
              <w:bidi w:val="0"/>
              <w:adjustRightInd/>
              <w:snapToGrid/>
              <w:spacing w:before="0" w:beforeAutospacing="0" w:after="0" w:afterAutospacing="0"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2、废水</w:t>
            </w:r>
          </w:p>
          <w:p w14:paraId="73148226">
            <w:pPr>
              <w:keepNext w:val="0"/>
              <w:keepLines w:val="0"/>
              <w:pageBreakBefore w:val="0"/>
              <w:widowControl w:val="0"/>
              <w:tabs>
                <w:tab w:val="left" w:pos="4830"/>
                <w:tab w:val="left" w:pos="5580"/>
              </w:tabs>
              <w:kinsoku/>
              <w:wordWrap/>
              <w:overflowPunct/>
              <w:topLinePunct w:val="0"/>
              <w:autoSpaceDE/>
              <w:autoSpaceDN/>
              <w:bidi w:val="0"/>
              <w:adjustRightInd/>
              <w:snapToGrid/>
              <w:spacing w:line="360" w:lineRule="auto"/>
              <w:ind w:firstLine="476" w:firstLineChars="200"/>
              <w:jc w:val="both"/>
              <w:textAlignment w:val="baseline"/>
              <w:rPr>
                <w:rFonts w:hint="default" w:ascii="Times New Roman" w:hAnsi="Times New Roman" w:cs="Times New Roman" w:eastAsiaTheme="minorEastAsia"/>
                <w:bCs/>
                <w:color w:val="auto"/>
                <w:sz w:val="24"/>
                <w:szCs w:val="24"/>
                <w:highlight w:val="none"/>
                <w:shd w:val="clear" w:color="auto" w:fill="auto"/>
                <w:lang w:eastAsia="zh-CN"/>
              </w:rPr>
            </w:pPr>
            <w:r>
              <w:rPr>
                <w:rFonts w:hint="default" w:ascii="Times New Roman" w:hAnsi="Times New Roman" w:cs="Times New Roman" w:eastAsiaTheme="minorEastAsia"/>
                <w:color w:val="auto"/>
                <w:spacing w:val="-1"/>
              </w:rPr>
              <w:t>本项目无废水外排，不设废水污染物总量控制指标</w:t>
            </w:r>
            <w:r>
              <w:rPr>
                <w:rFonts w:hint="default" w:ascii="Times New Roman" w:hAnsi="Times New Roman" w:cs="Times New Roman" w:eastAsiaTheme="minorEastAsia"/>
                <w:bCs/>
                <w:color w:val="auto"/>
                <w:sz w:val="24"/>
                <w:szCs w:val="24"/>
                <w:highlight w:val="none"/>
                <w:shd w:val="clear" w:color="auto" w:fill="auto"/>
                <w:lang w:eastAsia="zh-CN"/>
              </w:rPr>
              <w:t>。</w:t>
            </w:r>
          </w:p>
          <w:p w14:paraId="3BF57C3B">
            <w:pPr>
              <w:pStyle w:val="31"/>
              <w:keepNext w:val="0"/>
              <w:keepLines w:val="0"/>
              <w:pageBreakBefore w:val="0"/>
              <w:widowControl w:val="0"/>
              <w:tabs>
                <w:tab w:val="left" w:pos="4830"/>
              </w:tabs>
              <w:kinsoku/>
              <w:wordWrap/>
              <w:overflowPunct/>
              <w:topLinePunct w:val="0"/>
              <w:autoSpaceDE/>
              <w:autoSpaceDN/>
              <w:bidi w:val="0"/>
              <w:adjustRightInd/>
              <w:snapToGrid/>
              <w:spacing w:before="0" w:beforeAutospacing="0" w:after="0" w:afterAutospacing="0"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3、固体废物</w:t>
            </w:r>
          </w:p>
          <w:p w14:paraId="5D0F8AB1">
            <w:pPr>
              <w:keepNext w:val="0"/>
              <w:keepLines w:val="0"/>
              <w:pageBreakBefore w:val="0"/>
              <w:widowControl w:val="0"/>
              <w:tabs>
                <w:tab w:val="left" w:pos="4830"/>
              </w:tabs>
              <w:kinsoku/>
              <w:wordWrap/>
              <w:overflowPunct/>
              <w:topLinePunct w:val="0"/>
              <w:autoSpaceDE/>
              <w:autoSpaceDN/>
              <w:bidi w:val="0"/>
              <w:adjustRightInd/>
              <w:snapToGrid/>
              <w:spacing w:line="360" w:lineRule="auto"/>
              <w:ind w:firstLine="480" w:firstLineChars="200"/>
              <w:jc w:val="both"/>
              <w:rPr>
                <w:rFonts w:hint="default" w:ascii="Times New Roman" w:hAnsi="Times New Roman" w:eastAsia="宋体" w:cs="Times New Roman"/>
                <w:color w:val="auto"/>
                <w:sz w:val="24"/>
                <w:lang w:eastAsia="zh-CN"/>
              </w:rPr>
            </w:pPr>
            <w:r>
              <w:rPr>
                <w:rFonts w:hint="default" w:ascii="Times New Roman" w:hAnsi="Times New Roman" w:cs="Times New Roman" w:eastAsiaTheme="minorEastAsia"/>
                <w:color w:val="auto"/>
                <w:sz w:val="24"/>
                <w:szCs w:val="24"/>
                <w:highlight w:val="none"/>
              </w:rPr>
              <w:t>本项目固体废弃物</w:t>
            </w:r>
            <w:r>
              <w:rPr>
                <w:rFonts w:hint="default" w:ascii="Times New Roman" w:hAnsi="Times New Roman" w:cs="Times New Roman" w:eastAsiaTheme="minorEastAsia"/>
                <w:color w:val="auto"/>
                <w:sz w:val="24"/>
                <w:szCs w:val="24"/>
                <w:highlight w:val="none"/>
                <w:lang w:eastAsia="zh-CN"/>
              </w:rPr>
              <w:t>按照本环评提出的措施能得到</w:t>
            </w:r>
            <w:r>
              <w:rPr>
                <w:rFonts w:hint="default" w:ascii="Times New Roman" w:hAnsi="Times New Roman" w:cs="Times New Roman" w:eastAsiaTheme="minorEastAsia"/>
                <w:color w:val="auto"/>
                <w:sz w:val="24"/>
                <w:szCs w:val="24"/>
                <w:highlight w:val="none"/>
              </w:rPr>
              <w:t>妥善处置，处理率达100%。</w:t>
            </w:r>
          </w:p>
        </w:tc>
      </w:tr>
    </w:tbl>
    <w:p w14:paraId="259117D2">
      <w:pPr>
        <w:pStyle w:val="27"/>
        <w:rPr>
          <w:rFonts w:hint="default" w:ascii="Times New Roman" w:hAnsi="Times New Roman" w:cs="Times New Roman"/>
          <w:color w:val="auto"/>
        </w:rPr>
        <w:sectPr>
          <w:pgSz w:w="11906" w:h="16838"/>
          <w:pgMar w:top="1440" w:right="1800" w:bottom="1440" w:left="1800" w:header="851" w:footer="992" w:gutter="0"/>
          <w:pgNumType w:fmt="decimal"/>
          <w:cols w:space="720" w:num="1"/>
          <w:docGrid w:type="lines" w:linePitch="312" w:charSpace="0"/>
        </w:sectPr>
      </w:pPr>
    </w:p>
    <w:p w14:paraId="2927D995">
      <w:pPr>
        <w:pStyle w:val="4"/>
        <w:numPr>
          <w:ilvl w:val="0"/>
          <w:numId w:val="0"/>
        </w:numPr>
        <w:ind w:firstLine="0" w:firstLineChars="0"/>
        <w:jc w:val="center"/>
        <w:rPr>
          <w:rFonts w:hint="default" w:ascii="Times New Roman" w:hAnsi="Times New Roman" w:eastAsia="宋体" w:cs="Times New Roman"/>
          <w:b/>
          <w:color w:val="auto"/>
          <w:kern w:val="44"/>
          <w:sz w:val="28"/>
          <w:szCs w:val="24"/>
          <w:lang w:val="en-US" w:eastAsia="zh-CN" w:bidi="ar-SA"/>
        </w:rPr>
      </w:pPr>
      <w:bookmarkStart w:id="22" w:name="_Toc27618"/>
      <w:bookmarkStart w:id="23" w:name="_Toc25628"/>
      <w:r>
        <w:rPr>
          <w:rFonts w:hint="default" w:ascii="Times New Roman" w:hAnsi="Times New Roman" w:eastAsia="宋体" w:cs="Times New Roman"/>
          <w:b/>
          <w:color w:val="auto"/>
          <w:kern w:val="44"/>
          <w:sz w:val="28"/>
          <w:szCs w:val="24"/>
          <w:lang w:val="en-US" w:eastAsia="zh-CN" w:bidi="ar-SA"/>
        </w:rPr>
        <w:t>四、主要环境影响和保护措施</w:t>
      </w:r>
      <w:bookmarkEnd w:id="22"/>
      <w:bookmarkEnd w:id="23"/>
    </w:p>
    <w:tbl>
      <w:tblPr>
        <w:tblStyle w:val="3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8"/>
        <w:gridCol w:w="8062"/>
      </w:tblGrid>
      <w:tr w14:paraId="2A35BE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tcMar>
              <w:left w:w="28" w:type="dxa"/>
              <w:right w:w="28" w:type="dxa"/>
            </w:tcMar>
            <w:vAlign w:val="center"/>
          </w:tcPr>
          <w:p w14:paraId="2A7CB01B">
            <w:pPr>
              <w:pStyle w:val="31"/>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0EBB14D7">
            <w:pPr>
              <w:pStyle w:val="31"/>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3A55CABB">
            <w:pPr>
              <w:pStyle w:val="31"/>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6D259145">
            <w:pPr>
              <w:pStyle w:val="31"/>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12E0BDD4">
            <w:pPr>
              <w:pStyle w:val="31"/>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4775" w:type="pct"/>
            <w:vAlign w:val="center"/>
          </w:tcPr>
          <w:p w14:paraId="6764FF0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cs="Times New Roman" w:eastAsiaTheme="minorEastAsia"/>
                <w:b/>
                <w:bCs/>
                <w:color w:val="auto"/>
                <w:sz w:val="24"/>
                <w:lang w:val="en-US" w:eastAsia="zh-CN" w:bidi="ar"/>
              </w:rPr>
            </w:pPr>
            <w:r>
              <w:rPr>
                <w:rFonts w:hint="default" w:ascii="Times New Roman" w:hAnsi="Times New Roman" w:cs="Times New Roman" w:eastAsiaTheme="minorEastAsia"/>
                <w:b/>
                <w:bCs/>
                <w:color w:val="auto"/>
                <w:sz w:val="24"/>
                <w:lang w:val="en-US" w:eastAsia="zh-CN" w:bidi="ar"/>
              </w:rPr>
              <w:t>1、废气</w:t>
            </w:r>
          </w:p>
          <w:p w14:paraId="7D3606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lang w:val="en-US" w:eastAsia="zh-CN" w:bidi="ar"/>
              </w:rPr>
            </w:pPr>
            <w:r>
              <w:rPr>
                <w:rFonts w:hint="default" w:ascii="Times New Roman" w:hAnsi="Times New Roman" w:cs="Times New Roman" w:eastAsiaTheme="minorEastAsia"/>
                <w:color w:val="auto"/>
                <w:sz w:val="24"/>
                <w:lang w:val="en-US" w:eastAsia="zh-CN" w:bidi="ar"/>
              </w:rPr>
              <w:t>本项目施工期间产生的废气主要包括物料堆场扬尘、</w:t>
            </w:r>
            <w:r>
              <w:rPr>
                <w:rFonts w:hint="eastAsia" w:ascii="Times New Roman" w:hAnsi="Times New Roman" w:cs="Times New Roman" w:eastAsiaTheme="minorEastAsia"/>
                <w:color w:val="auto"/>
                <w:sz w:val="24"/>
                <w:lang w:val="en-US" w:eastAsia="zh-CN" w:bidi="ar"/>
              </w:rPr>
              <w:t>焊接烟气</w:t>
            </w:r>
            <w:r>
              <w:rPr>
                <w:rFonts w:hint="default" w:ascii="Times New Roman" w:hAnsi="Times New Roman" w:cs="Times New Roman" w:eastAsiaTheme="minorEastAsia"/>
                <w:color w:val="auto"/>
                <w:sz w:val="24"/>
                <w:lang w:val="en-US" w:eastAsia="zh-CN" w:bidi="ar"/>
              </w:rPr>
              <w:t>等，拟采取如下废气污染防治措施：</w:t>
            </w:r>
          </w:p>
          <w:p w14:paraId="3A6842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lang w:val="en-US" w:eastAsia="zh-CN" w:bidi="ar"/>
              </w:rPr>
            </w:pPr>
            <w:r>
              <w:rPr>
                <w:rFonts w:hint="default" w:ascii="Times New Roman" w:hAnsi="Times New Roman" w:cs="Times New Roman" w:eastAsiaTheme="minorEastAsia"/>
                <w:color w:val="auto"/>
                <w:sz w:val="24"/>
                <w:lang w:val="en-US" w:eastAsia="zh-CN" w:bidi="ar"/>
              </w:rPr>
              <w:t>（1）对易起尘物料采取防尘网遮盖、定期洒水降尘的抑尘措施；</w:t>
            </w:r>
          </w:p>
          <w:p w14:paraId="1D510D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eastAsia" w:cs="Times New Roman" w:eastAsiaTheme="minorEastAsia"/>
                <w:color w:val="auto"/>
                <w:sz w:val="24"/>
                <w:lang w:val="en-US" w:eastAsia="zh-CN" w:bidi="ar"/>
              </w:rPr>
            </w:pPr>
            <w:r>
              <w:rPr>
                <w:rFonts w:hint="default" w:ascii="Times New Roman" w:hAnsi="Times New Roman" w:cs="Times New Roman" w:eastAsiaTheme="minorEastAsia"/>
                <w:color w:val="auto"/>
                <w:sz w:val="24"/>
                <w:lang w:val="en-US" w:eastAsia="zh-CN" w:bidi="ar"/>
              </w:rPr>
              <w:t>（2）建筑垃圾应及时处理、清运、以减少占地，防止粉尘污染，改善施工场地的环境</w:t>
            </w:r>
            <w:r>
              <w:rPr>
                <w:rFonts w:hint="eastAsia" w:cs="Times New Roman" w:eastAsiaTheme="minorEastAsia"/>
                <w:color w:val="auto"/>
                <w:sz w:val="24"/>
                <w:lang w:val="en-US" w:eastAsia="zh-CN" w:bidi="ar"/>
              </w:rPr>
              <w:t>；</w:t>
            </w:r>
          </w:p>
          <w:p w14:paraId="398A0A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lang w:val="en-US" w:eastAsia="zh-CN" w:bidi="ar"/>
              </w:rPr>
            </w:pPr>
            <w:r>
              <w:rPr>
                <w:rFonts w:hint="eastAsia" w:cs="Times New Roman" w:eastAsiaTheme="minorEastAsia"/>
                <w:color w:val="auto"/>
                <w:sz w:val="24"/>
                <w:lang w:val="en-US" w:eastAsia="zh-CN" w:bidi="ar"/>
              </w:rPr>
              <w:t>（3）焊接烟气采取加强通风扩散和施工人员防护的措施。</w:t>
            </w:r>
          </w:p>
          <w:p w14:paraId="2BCEB9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cs="Times New Roman" w:eastAsiaTheme="minorEastAsia"/>
                <w:b/>
                <w:bCs/>
                <w:color w:val="auto"/>
                <w:sz w:val="24"/>
                <w:lang w:val="en-US" w:eastAsia="zh-CN" w:bidi="ar"/>
              </w:rPr>
            </w:pPr>
            <w:r>
              <w:rPr>
                <w:rFonts w:hint="default" w:ascii="Times New Roman" w:hAnsi="Times New Roman" w:cs="Times New Roman" w:eastAsiaTheme="minorEastAsia"/>
                <w:b/>
                <w:bCs/>
                <w:color w:val="auto"/>
                <w:sz w:val="24"/>
                <w:lang w:val="en-US" w:eastAsia="zh-CN" w:bidi="ar"/>
              </w:rPr>
              <w:t>2、废水</w:t>
            </w:r>
          </w:p>
          <w:p w14:paraId="589CB8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lang w:val="en-US" w:eastAsia="zh-CN" w:bidi="ar"/>
              </w:rPr>
            </w:pPr>
            <w:r>
              <w:rPr>
                <w:rFonts w:hint="default" w:ascii="Times New Roman" w:hAnsi="Times New Roman" w:cs="Times New Roman" w:eastAsiaTheme="minorEastAsia"/>
                <w:color w:val="auto"/>
                <w:sz w:val="24"/>
                <w:lang w:val="en-US" w:eastAsia="zh-CN" w:bidi="ar"/>
              </w:rPr>
              <w:t>项目施工期仅进行</w:t>
            </w:r>
            <w:r>
              <w:rPr>
                <w:rFonts w:hint="eastAsia" w:cs="Times New Roman" w:eastAsiaTheme="minorEastAsia"/>
                <w:color w:val="auto"/>
                <w:sz w:val="24"/>
                <w:lang w:val="en-US" w:eastAsia="zh-CN" w:bidi="ar"/>
              </w:rPr>
              <w:t>办公生活区的建设、</w:t>
            </w:r>
            <w:r>
              <w:rPr>
                <w:rFonts w:hint="default" w:ascii="Times New Roman" w:hAnsi="Times New Roman" w:cs="Times New Roman" w:eastAsiaTheme="minorEastAsia"/>
                <w:color w:val="auto"/>
                <w:sz w:val="24"/>
                <w:lang w:val="en-US" w:eastAsia="zh-CN" w:bidi="ar"/>
              </w:rPr>
              <w:t>环保设施的建设和设备安装，施工期施工人员不在厂内食宿，施工期人员清洁废水经临时沉淀池（容积约2m</w:t>
            </w:r>
            <w:r>
              <w:rPr>
                <w:rFonts w:hint="default" w:ascii="Times New Roman" w:hAnsi="Times New Roman" w:cs="Times New Roman" w:eastAsiaTheme="minorEastAsia"/>
                <w:color w:val="auto"/>
                <w:sz w:val="24"/>
                <w:vertAlign w:val="superscript"/>
                <w:lang w:val="en-US" w:eastAsia="zh-CN" w:bidi="ar"/>
              </w:rPr>
              <w:t>3</w:t>
            </w:r>
            <w:r>
              <w:rPr>
                <w:rFonts w:hint="default" w:ascii="Times New Roman" w:hAnsi="Times New Roman" w:cs="Times New Roman" w:eastAsiaTheme="minorEastAsia"/>
                <w:color w:val="auto"/>
                <w:sz w:val="24"/>
                <w:lang w:val="en-US" w:eastAsia="zh-CN" w:bidi="ar"/>
              </w:rPr>
              <w:t>）沉淀处理后，回用于场地洒水降尘，不外排，对环境影响不大。</w:t>
            </w:r>
          </w:p>
          <w:p w14:paraId="2EC443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cs="Times New Roman" w:eastAsiaTheme="minorEastAsia"/>
                <w:b/>
                <w:bCs/>
                <w:color w:val="auto"/>
                <w:sz w:val="24"/>
                <w:lang w:val="en-US" w:eastAsia="zh-CN" w:bidi="ar"/>
              </w:rPr>
            </w:pPr>
            <w:r>
              <w:rPr>
                <w:rFonts w:hint="default" w:ascii="Times New Roman" w:hAnsi="Times New Roman" w:cs="Times New Roman" w:eastAsiaTheme="minorEastAsia"/>
                <w:b/>
                <w:bCs/>
                <w:color w:val="auto"/>
                <w:sz w:val="24"/>
                <w:lang w:val="en-US" w:eastAsia="zh-CN" w:bidi="ar"/>
              </w:rPr>
              <w:t>3、噪声</w:t>
            </w:r>
          </w:p>
          <w:p w14:paraId="1F76A8A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lang w:val="en-US" w:eastAsia="zh-CN" w:bidi="ar"/>
              </w:rPr>
            </w:pPr>
            <w:r>
              <w:rPr>
                <w:rFonts w:hint="default" w:ascii="Times New Roman" w:hAnsi="Times New Roman" w:cs="Times New Roman" w:eastAsiaTheme="minorEastAsia"/>
                <w:color w:val="auto"/>
                <w:sz w:val="24"/>
                <w:lang w:val="en-US" w:eastAsia="zh-CN" w:bidi="ar"/>
              </w:rPr>
              <w:t>本项目施工期间产生的废气主要为机械设备噪声等，拟采取如下噪声污染防治措施：</w:t>
            </w:r>
          </w:p>
          <w:p w14:paraId="71DC67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lang w:val="en-US" w:eastAsia="zh-CN" w:bidi="ar"/>
              </w:rPr>
              <w:t>（1）</w:t>
            </w:r>
            <w:r>
              <w:rPr>
                <w:rFonts w:hint="default" w:ascii="Times New Roman" w:hAnsi="Times New Roman" w:cs="Times New Roman" w:eastAsiaTheme="minorEastAsia"/>
                <w:color w:val="auto"/>
                <w:sz w:val="24"/>
                <w:szCs w:val="24"/>
              </w:rPr>
              <w:t>设备选型上尽量采用低噪声设备</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机械设备进行定期的维修、养护</w:t>
            </w:r>
            <w:r>
              <w:rPr>
                <w:rFonts w:hint="default" w:ascii="Times New Roman" w:hAnsi="Times New Roman" w:cs="Times New Roman" w:eastAsiaTheme="minorEastAsia"/>
                <w:color w:val="auto"/>
                <w:sz w:val="24"/>
                <w:szCs w:val="24"/>
                <w:lang w:val="en-US" w:eastAsia="zh-CN"/>
              </w:rPr>
              <w:t>；</w:t>
            </w:r>
          </w:p>
          <w:p w14:paraId="5CD3B6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lang w:val="en-US" w:eastAsia="zh-CN" w:bidi="ar"/>
              </w:rPr>
            </w:pPr>
            <w:r>
              <w:rPr>
                <w:rFonts w:hint="default" w:ascii="Times New Roman" w:hAnsi="Times New Roman" w:cs="Times New Roman" w:eastAsiaTheme="minorEastAsia"/>
                <w:color w:val="auto"/>
                <w:sz w:val="24"/>
                <w:lang w:val="en-US" w:eastAsia="zh-CN" w:bidi="ar"/>
              </w:rPr>
              <w:t>（2）</w:t>
            </w:r>
            <w:r>
              <w:rPr>
                <w:rFonts w:hint="default" w:ascii="Times New Roman" w:hAnsi="Times New Roman" w:cs="Times New Roman" w:eastAsiaTheme="minorEastAsia"/>
                <w:color w:val="auto"/>
                <w:sz w:val="24"/>
                <w:szCs w:val="24"/>
              </w:rPr>
              <w:t>施工期运输车辆应尽量保持良好车况，合理调度，尽可能匀速慢行</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施工场地的施工车辆出入现场时应低速、禁鸣，以减小载重汽车噪声对环境的影响</w:t>
            </w:r>
            <w:r>
              <w:rPr>
                <w:rFonts w:hint="default" w:ascii="Times New Roman" w:hAnsi="Times New Roman" w:cs="Times New Roman" w:eastAsiaTheme="minorEastAsia"/>
                <w:color w:val="auto"/>
                <w:sz w:val="24"/>
                <w:lang w:val="en-US" w:eastAsia="zh-CN" w:bidi="ar"/>
              </w:rPr>
              <w:t>。</w:t>
            </w:r>
          </w:p>
          <w:p w14:paraId="447E00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2" w:firstLineChars="200"/>
              <w:textAlignment w:val="auto"/>
              <w:rPr>
                <w:rFonts w:hint="default" w:ascii="Times New Roman" w:hAnsi="Times New Roman" w:cs="Times New Roman" w:eastAsiaTheme="minorEastAsia"/>
                <w:b/>
                <w:bCs/>
                <w:color w:val="auto"/>
                <w:sz w:val="24"/>
                <w:lang w:val="en-US" w:eastAsia="zh-CN" w:bidi="ar"/>
              </w:rPr>
            </w:pPr>
            <w:r>
              <w:rPr>
                <w:rFonts w:hint="default" w:ascii="Times New Roman" w:hAnsi="Times New Roman" w:cs="Times New Roman" w:eastAsiaTheme="minorEastAsia"/>
                <w:b/>
                <w:bCs/>
                <w:color w:val="auto"/>
                <w:sz w:val="24"/>
                <w:lang w:val="en-US" w:eastAsia="zh-CN" w:bidi="ar"/>
              </w:rPr>
              <w:t>4、固体废物</w:t>
            </w:r>
          </w:p>
          <w:p w14:paraId="3EB2BD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lang w:val="en-US" w:eastAsia="zh-CN" w:bidi="ar"/>
              </w:rPr>
            </w:pPr>
            <w:r>
              <w:rPr>
                <w:rFonts w:hint="default" w:ascii="Times New Roman" w:hAnsi="Times New Roman" w:cs="Times New Roman" w:eastAsiaTheme="minorEastAsia"/>
                <w:color w:val="auto"/>
                <w:sz w:val="24"/>
                <w:lang w:val="en-US" w:eastAsia="zh-CN" w:bidi="ar"/>
              </w:rPr>
              <w:t>本项目施工期间产生的固体废物主要包括施工人员生活垃圾及为设备包装材料（废纸箱、泡沫等）、焊接废渣</w:t>
            </w:r>
            <w:r>
              <w:rPr>
                <w:rFonts w:hint="eastAsia" w:cs="Times New Roman" w:eastAsiaTheme="minorEastAsia"/>
                <w:color w:val="auto"/>
                <w:sz w:val="24"/>
                <w:lang w:val="en-US" w:eastAsia="zh-CN" w:bidi="ar"/>
              </w:rPr>
              <w:t>、办公生活区建设和场地平整产生的建筑垃圾</w:t>
            </w:r>
            <w:r>
              <w:rPr>
                <w:rFonts w:hint="default" w:ascii="Times New Roman" w:hAnsi="Times New Roman" w:cs="Times New Roman" w:eastAsiaTheme="minorEastAsia"/>
                <w:color w:val="auto"/>
                <w:sz w:val="24"/>
                <w:lang w:val="en-US" w:eastAsia="zh-CN" w:bidi="ar"/>
              </w:rPr>
              <w:t>等，拟采取如下固废处置措施：</w:t>
            </w:r>
          </w:p>
          <w:p w14:paraId="2D9130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cs="Times New Roman" w:eastAsiaTheme="minorEastAsia"/>
                <w:color w:val="auto"/>
                <w:sz w:val="24"/>
                <w:lang w:val="en-US" w:eastAsia="zh-CN" w:bidi="ar"/>
              </w:rPr>
            </w:pPr>
            <w:r>
              <w:rPr>
                <w:rFonts w:hint="default" w:ascii="Times New Roman" w:hAnsi="Times New Roman" w:cs="Times New Roman" w:eastAsiaTheme="minorEastAsia"/>
                <w:color w:val="auto"/>
                <w:sz w:val="24"/>
                <w:lang w:val="en-US" w:eastAsia="zh-CN" w:bidi="ar"/>
              </w:rPr>
              <w:t>（1）生活垃圾</w:t>
            </w:r>
            <w:r>
              <w:rPr>
                <w:rFonts w:hint="eastAsia" w:cs="Times New Roman" w:eastAsiaTheme="minorEastAsia"/>
                <w:color w:val="auto"/>
                <w:sz w:val="24"/>
                <w:lang w:val="en-US" w:eastAsia="zh-CN" w:bidi="ar"/>
              </w:rPr>
              <w:t>统一袋装</w:t>
            </w:r>
            <w:r>
              <w:rPr>
                <w:rFonts w:hint="default" w:ascii="Times New Roman" w:hAnsi="Times New Roman" w:cs="Times New Roman" w:eastAsiaTheme="minorEastAsia"/>
                <w:color w:val="auto"/>
                <w:sz w:val="24"/>
                <w:lang w:val="en-US" w:eastAsia="zh-CN" w:bidi="ar"/>
              </w:rPr>
              <w:t>收集后运至厂区垃圾收集点，由</w:t>
            </w:r>
            <w:r>
              <w:rPr>
                <w:rFonts w:hint="eastAsia" w:cs="Times New Roman" w:eastAsiaTheme="minorEastAsia"/>
                <w:color w:val="auto"/>
                <w:sz w:val="24"/>
                <w:lang w:val="en-US" w:eastAsia="zh-CN" w:bidi="ar"/>
              </w:rPr>
              <w:t>当地</w:t>
            </w:r>
            <w:r>
              <w:rPr>
                <w:rFonts w:hint="default" w:ascii="Times New Roman" w:hAnsi="Times New Roman" w:cs="Times New Roman" w:eastAsiaTheme="minorEastAsia"/>
                <w:color w:val="auto"/>
                <w:sz w:val="24"/>
                <w:lang w:val="en-US" w:eastAsia="zh-CN" w:bidi="ar"/>
              </w:rPr>
              <w:t>环卫部门集中处置；</w:t>
            </w:r>
          </w:p>
          <w:p w14:paraId="5F22C421">
            <w:pPr>
              <w:pStyle w:val="22"/>
              <w:keepNext w:val="0"/>
              <w:keepLines/>
              <w:pageBreakBefore w:val="0"/>
              <w:widowControl w:val="0"/>
              <w:tabs>
                <w:tab w:val="left" w:pos="483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z w:val="24"/>
                <w:lang w:val="en-US" w:eastAsia="zh-CN" w:bidi="ar"/>
              </w:rPr>
            </w:pPr>
            <w:r>
              <w:rPr>
                <w:rFonts w:hint="default" w:ascii="Times New Roman" w:hAnsi="Times New Roman" w:cs="Times New Roman" w:eastAsiaTheme="minorEastAsia"/>
                <w:color w:val="auto"/>
                <w:sz w:val="24"/>
                <w:lang w:val="en-US" w:eastAsia="zh-CN" w:bidi="ar"/>
              </w:rPr>
              <w:t>（2）废包装材料能外售的外售，不能外售的与生活垃圾一同处置，焊接废渣集中收集后，与生活垃圾一并处置。</w:t>
            </w:r>
          </w:p>
          <w:p w14:paraId="1E294ECA">
            <w:pPr>
              <w:pStyle w:val="22"/>
              <w:keepNext w:val="0"/>
              <w:keepLines/>
              <w:pageBreakBefore w:val="0"/>
              <w:widowControl w:val="0"/>
              <w:tabs>
                <w:tab w:val="left" w:pos="483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z w:val="24"/>
                <w:lang w:val="en-US" w:eastAsia="zh-CN" w:bidi="ar"/>
              </w:rPr>
            </w:pPr>
            <w:r>
              <w:rPr>
                <w:rFonts w:hint="default" w:ascii="Times New Roman" w:hAnsi="Times New Roman" w:eastAsia="宋体" w:cs="Times New Roman"/>
                <w:color w:val="auto"/>
                <w:sz w:val="24"/>
                <w:lang w:val="en-US" w:eastAsia="zh-CN" w:bidi="ar"/>
              </w:rPr>
              <w:t>（</w:t>
            </w:r>
            <w:r>
              <w:rPr>
                <w:rFonts w:hint="eastAsia" w:ascii="Times New Roman" w:hAnsi="Times New Roman" w:eastAsia="宋体" w:cs="Times New Roman"/>
                <w:color w:val="auto"/>
                <w:sz w:val="24"/>
                <w:lang w:val="en-US" w:eastAsia="zh-CN" w:bidi="ar"/>
              </w:rPr>
              <w:t>3</w:t>
            </w:r>
            <w:r>
              <w:rPr>
                <w:rFonts w:hint="default" w:ascii="Times New Roman" w:hAnsi="Times New Roman" w:eastAsia="宋体" w:cs="Times New Roman"/>
                <w:color w:val="auto"/>
                <w:sz w:val="24"/>
                <w:lang w:val="en-US" w:eastAsia="zh-CN" w:bidi="ar"/>
              </w:rPr>
              <w:t>）建筑垃圾严格按照中华人民共和国建设部第139号令《城市建筑垃圾管理规定》中相关规定，集中处理，分类收集并尽可能的回收再利用，不能回收利用的部分委托有资质的单位按照相应规定进行清运、处置。</w:t>
            </w:r>
          </w:p>
          <w:p w14:paraId="654F5CD6">
            <w:pPr>
              <w:widowControl w:val="0"/>
              <w:snapToGrid/>
              <w:ind w:firstLine="482"/>
              <w:rPr>
                <w:rFonts w:hint="default" w:ascii="Times New Roman" w:hAnsi="Times New Roman" w:cs="Times New Roman" w:eastAsiaTheme="minorEastAsia"/>
                <w:b/>
                <w:bCs/>
                <w:color w:val="auto"/>
                <w:sz w:val="24"/>
                <w:lang w:val="en-US" w:eastAsia="zh-CN" w:bidi="ar"/>
              </w:rPr>
            </w:pPr>
            <w:r>
              <w:rPr>
                <w:rFonts w:hint="default" w:ascii="Times New Roman" w:hAnsi="Times New Roman" w:cs="Times New Roman" w:eastAsiaTheme="minorEastAsia"/>
                <w:b/>
                <w:bCs/>
                <w:color w:val="auto"/>
                <w:sz w:val="24"/>
                <w:lang w:val="en-US" w:eastAsia="zh-CN" w:bidi="ar"/>
              </w:rPr>
              <w:t>5、生态</w:t>
            </w:r>
          </w:p>
          <w:p w14:paraId="31D28408">
            <w:pPr>
              <w:pStyle w:val="15"/>
              <w:rPr>
                <w:rFonts w:hint="eastAsia" w:ascii="Times New Roman" w:hAnsi="Times New Roman" w:cs="Times New Roman" w:eastAsiaTheme="minorEastAsia"/>
                <w:i w:val="0"/>
                <w:color w:val="auto"/>
                <w:lang w:val="en-US" w:eastAsia="zh-CN"/>
              </w:rPr>
            </w:pPr>
            <w:r>
              <w:rPr>
                <w:rFonts w:hint="default" w:ascii="Times New Roman" w:hAnsi="Times New Roman" w:cs="Times New Roman" w:eastAsiaTheme="minorEastAsia"/>
                <w:b w:val="0"/>
                <w:bCs w:val="0"/>
                <w:i w:val="0"/>
                <w:color w:val="auto"/>
                <w:sz w:val="24"/>
                <w:lang w:val="en-US" w:eastAsia="zh-CN" w:bidi="ar-SA"/>
              </w:rPr>
              <w:t>本项目租用</w:t>
            </w:r>
            <w:r>
              <w:rPr>
                <w:rFonts w:hint="default" w:ascii="Times New Roman" w:hAnsi="Times New Roman" w:cs="Times New Roman" w:eastAsiaTheme="minorEastAsia"/>
                <w:i w:val="0"/>
                <w:color w:val="auto"/>
                <w:lang w:eastAsia="zh-CN"/>
              </w:rPr>
              <w:t>云南省玉溪市红塔区北城街道刺桐关社区一组岔箐脑</w:t>
            </w:r>
            <w:r>
              <w:rPr>
                <w:rFonts w:hint="default" w:ascii="Times New Roman" w:hAnsi="Times New Roman" w:cs="Times New Roman" w:eastAsiaTheme="minorEastAsia"/>
                <w:i w:val="0"/>
                <w:color w:val="auto"/>
                <w:lang w:val="en-US" w:eastAsia="zh-CN"/>
              </w:rPr>
              <w:t>闲置的</w:t>
            </w:r>
            <w:r>
              <w:rPr>
                <w:rFonts w:hint="default" w:ascii="Times New Roman" w:hAnsi="Times New Roman" w:cs="Times New Roman" w:eastAsiaTheme="minorEastAsia"/>
                <w:i w:val="0"/>
                <w:color w:val="auto"/>
                <w:kern w:val="2"/>
                <w:sz w:val="24"/>
                <w:szCs w:val="24"/>
                <w:lang w:val="en-US" w:eastAsia="zh-CN" w:bidi="ar-SA"/>
              </w:rPr>
              <w:t>1个封闭的厂房</w:t>
            </w:r>
            <w:r>
              <w:rPr>
                <w:rFonts w:hint="eastAsia" w:ascii="Times New Roman" w:hAnsi="Times New Roman" w:cs="Times New Roman" w:eastAsiaTheme="minorEastAsia"/>
                <w:i w:val="0"/>
                <w:color w:val="auto"/>
                <w:kern w:val="2"/>
                <w:sz w:val="24"/>
                <w:szCs w:val="24"/>
                <w:lang w:val="en-US" w:eastAsia="zh-CN" w:bidi="ar-SA"/>
              </w:rPr>
              <w:t>和空地</w:t>
            </w:r>
            <w:r>
              <w:rPr>
                <w:rFonts w:hint="default" w:ascii="Times New Roman" w:hAnsi="Times New Roman" w:cs="Times New Roman" w:eastAsiaTheme="minorEastAsia"/>
                <w:i w:val="0"/>
                <w:color w:val="auto"/>
                <w:lang w:val="en-US" w:eastAsia="zh-CN"/>
              </w:rPr>
              <w:t>进行建设，不新增用地，不涉及占用永久基本农田，项目施工期较短，</w:t>
            </w:r>
            <w:r>
              <w:rPr>
                <w:rFonts w:ascii="Times New Roman" w:hAnsi="Times New Roman" w:cs="Times New Roman" w:eastAsiaTheme="minorEastAsia"/>
                <w:i w:val="0"/>
                <w:color w:val="auto"/>
              </w:rPr>
              <w:t>采取</w:t>
            </w:r>
            <w:r>
              <w:rPr>
                <w:rFonts w:hint="default" w:ascii="Times New Roman" w:hAnsi="Times New Roman" w:cs="Times New Roman" w:eastAsiaTheme="minorEastAsia"/>
                <w:i w:val="0"/>
                <w:color w:val="auto"/>
              </w:rPr>
              <w:t>措施后，污染物均达标排放或妥善处理，对</w:t>
            </w:r>
            <w:r>
              <w:rPr>
                <w:rFonts w:hint="default" w:ascii="Times New Roman" w:hAnsi="Times New Roman" w:cs="Times New Roman" w:eastAsiaTheme="minorEastAsia"/>
                <w:i w:val="0"/>
                <w:color w:val="auto"/>
                <w:lang w:val="en-US" w:eastAsia="zh-CN"/>
              </w:rPr>
              <w:t>周围生态</w:t>
            </w:r>
            <w:r>
              <w:rPr>
                <w:rFonts w:hint="default" w:ascii="Times New Roman" w:hAnsi="Times New Roman" w:cs="Times New Roman" w:eastAsiaTheme="minorEastAsia"/>
                <w:i w:val="0"/>
                <w:color w:val="auto"/>
              </w:rPr>
              <w:t>环境影响不大</w:t>
            </w:r>
            <w:r>
              <w:rPr>
                <w:rFonts w:hint="default" w:ascii="Times New Roman" w:hAnsi="Times New Roman" w:cs="Times New Roman" w:eastAsiaTheme="minorEastAsia"/>
                <w:i w:val="0"/>
                <w:color w:val="auto"/>
                <w:lang w:eastAsia="zh-CN"/>
              </w:rPr>
              <w:t>。</w:t>
            </w:r>
          </w:p>
          <w:p w14:paraId="7D3D17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firstLine="480" w:firstLineChars="200"/>
              <w:textAlignment w:val="auto"/>
              <w:rPr>
                <w:rFonts w:hint="default" w:ascii="Times New Roman" w:hAnsi="Times New Roman" w:eastAsia="宋体" w:cs="Times New Roman"/>
                <w:bCs/>
                <w:color w:val="auto"/>
                <w:spacing w:val="-10"/>
                <w:szCs w:val="21"/>
                <w:lang w:eastAsia="zh-CN"/>
              </w:rPr>
            </w:pPr>
            <w:r>
              <w:rPr>
                <w:rFonts w:hint="default" w:ascii="Times New Roman" w:hAnsi="Times New Roman" w:cs="Times New Roman" w:eastAsiaTheme="minorEastAsia"/>
                <w:color w:val="auto"/>
                <w:sz w:val="24"/>
                <w:lang w:val="en-US" w:eastAsia="zh-CN"/>
              </w:rPr>
              <w:t>本项目红塔区北城街道刺桐关社区一组岔箐脑闲置的封闭厂房</w:t>
            </w:r>
            <w:r>
              <w:rPr>
                <w:rFonts w:hint="eastAsia" w:cs="Times New Roman" w:eastAsiaTheme="minorEastAsia"/>
                <w:color w:val="auto"/>
                <w:sz w:val="24"/>
                <w:lang w:val="en-US" w:eastAsia="zh-CN"/>
              </w:rPr>
              <w:t>和空地</w:t>
            </w:r>
            <w:r>
              <w:rPr>
                <w:rFonts w:hint="default" w:ascii="Times New Roman" w:hAnsi="Times New Roman" w:cs="Times New Roman" w:eastAsiaTheme="minorEastAsia"/>
                <w:color w:val="auto"/>
                <w:sz w:val="24"/>
                <w:lang w:eastAsia="zh-CN"/>
              </w:rPr>
              <w:t>进行建设</w:t>
            </w:r>
            <w:r>
              <w:rPr>
                <w:rFonts w:hint="default" w:ascii="Times New Roman" w:hAnsi="Times New Roman" w:cs="Times New Roman" w:eastAsiaTheme="minorEastAsia"/>
                <w:color w:val="auto"/>
                <w:sz w:val="24"/>
                <w:lang w:val="en-US" w:eastAsia="zh-CN"/>
              </w:rPr>
              <w:t>，施工期主要为设备安装及调试，产生少量的粉尘、噪声和垃圾。施工时间较为短暂，做好洒水降尘、隔声减振和垃圾清运，产污随着施工完成而结束</w:t>
            </w:r>
            <w:r>
              <w:rPr>
                <w:rFonts w:hint="default" w:ascii="Times New Roman" w:hAnsi="Times New Roman" w:cs="Times New Roman" w:eastAsiaTheme="minorEastAsia"/>
                <w:color w:val="auto"/>
                <w:sz w:val="24"/>
              </w:rPr>
              <w:t>，项目施工工艺详见图</w:t>
            </w:r>
            <w:r>
              <w:rPr>
                <w:rFonts w:hint="default" w:ascii="Times New Roman" w:hAnsi="Times New Roman" w:cs="Times New Roman" w:eastAsiaTheme="minorEastAsia"/>
                <w:color w:val="auto"/>
                <w:sz w:val="24"/>
                <w:lang w:val="en-US" w:eastAsia="zh-CN"/>
              </w:rPr>
              <w:t>2</w:t>
            </w:r>
            <w:r>
              <w:rPr>
                <w:rFonts w:hint="default" w:ascii="Times New Roman" w:hAnsi="Times New Roman" w:cs="Times New Roman" w:eastAsiaTheme="minorEastAsia"/>
                <w:color w:val="auto"/>
                <w:sz w:val="24"/>
              </w:rPr>
              <w:t>-</w:t>
            </w:r>
            <w:r>
              <w:rPr>
                <w:rFonts w:hint="eastAsia" w:cs="Times New Roman" w:eastAsiaTheme="minorEastAsia"/>
                <w:color w:val="auto"/>
                <w:sz w:val="24"/>
                <w:lang w:val="en-US" w:eastAsia="zh-CN"/>
              </w:rPr>
              <w:t>3</w:t>
            </w:r>
            <w:r>
              <w:rPr>
                <w:rFonts w:hint="default" w:ascii="Times New Roman" w:hAnsi="Times New Roman" w:cs="Times New Roman" w:eastAsiaTheme="minorEastAsia"/>
                <w:color w:val="auto"/>
                <w:sz w:val="24"/>
              </w:rPr>
              <w:t>。</w:t>
            </w:r>
          </w:p>
        </w:tc>
      </w:tr>
      <w:tr w14:paraId="6D1FA9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tcMar>
              <w:left w:w="28" w:type="dxa"/>
              <w:right w:w="28" w:type="dxa"/>
            </w:tcMar>
            <w:vAlign w:val="center"/>
          </w:tcPr>
          <w:p w14:paraId="47C3FCE4">
            <w:pPr>
              <w:pStyle w:val="31"/>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eastAsia="zh-CN"/>
              </w:rPr>
              <w:t>运营期</w:t>
            </w:r>
            <w:r>
              <w:rPr>
                <w:rFonts w:hint="default" w:ascii="Times New Roman" w:hAnsi="Times New Roman" w:cs="Times New Roman"/>
                <w:color w:val="auto"/>
                <w:kern w:val="2"/>
                <w:sz w:val="21"/>
                <w:szCs w:val="21"/>
              </w:rPr>
              <w:t>环</w:t>
            </w:r>
          </w:p>
          <w:p w14:paraId="7DE0CFE1">
            <w:pPr>
              <w:pStyle w:val="31"/>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6FB2E2CF">
            <w:pPr>
              <w:pStyle w:val="31"/>
              <w:keepNext w:val="0"/>
              <w:keepLines/>
              <w:pageBreakBefore w:val="0"/>
              <w:widowControl w:val="0"/>
              <w:tabs>
                <w:tab w:val="left" w:pos="4830"/>
              </w:tabs>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护措施</w:t>
            </w:r>
          </w:p>
        </w:tc>
        <w:tc>
          <w:tcPr>
            <w:tcW w:w="4775" w:type="pct"/>
            <w:vAlign w:val="center"/>
          </w:tcPr>
          <w:p w14:paraId="7976A5A0">
            <w:pPr>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0" w:firstLineChars="0"/>
              <w:textAlignment w:val="auto"/>
              <w:outlineLvl w:val="9"/>
              <w:rPr>
                <w:rFonts w:hint="default" w:ascii="Times New Roman" w:hAnsi="Times New Roman" w:cs="Times New Roman"/>
                <w:b/>
                <w:bCs/>
                <w:color w:val="auto"/>
                <w:sz w:val="24"/>
                <w:szCs w:val="24"/>
              </w:rPr>
            </w:pPr>
            <w:bookmarkStart w:id="24" w:name="_Toc11393"/>
            <w:r>
              <w:rPr>
                <w:rFonts w:hint="default" w:ascii="Times New Roman" w:hAnsi="Times New Roman" w:cs="Times New Roman"/>
                <w:b/>
                <w:bCs/>
                <w:color w:val="auto"/>
                <w:sz w:val="24"/>
                <w:szCs w:val="24"/>
                <w:lang w:eastAsia="zh-CN"/>
              </w:rPr>
              <w:t>一、</w:t>
            </w:r>
            <w:r>
              <w:rPr>
                <w:rFonts w:hint="default" w:ascii="Times New Roman" w:hAnsi="Times New Roman" w:cs="Times New Roman"/>
                <w:b/>
                <w:bCs/>
                <w:color w:val="auto"/>
                <w:sz w:val="24"/>
                <w:szCs w:val="24"/>
              </w:rPr>
              <w:t>废气</w:t>
            </w:r>
            <w:bookmarkEnd w:id="24"/>
          </w:p>
          <w:p w14:paraId="2027104B">
            <w:pPr>
              <w:pStyle w:val="98"/>
              <w:keepNext w:val="0"/>
              <w:keepLines w:val="0"/>
              <w:pageBreakBefore w:val="0"/>
              <w:widowControl w:val="0"/>
              <w:numPr>
                <w:ilvl w:val="0"/>
                <w:numId w:val="0"/>
              </w:numPr>
              <w:tabs>
                <w:tab w:val="left" w:pos="1782"/>
              </w:tabs>
              <w:kinsoku/>
              <w:wordWrap/>
              <w:overflowPunct/>
              <w:topLinePunct w:val="0"/>
              <w:autoSpaceDE/>
              <w:autoSpaceDN/>
              <w:bidi w:val="0"/>
              <w:adjustRightInd/>
              <w:snapToGrid/>
              <w:spacing w:line="360" w:lineRule="auto"/>
              <w:ind w:right="0" w:rightChars="0" w:firstLine="482" w:firstLineChars="200"/>
              <w:jc w:val="both"/>
              <w:textAlignment w:val="auto"/>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b/>
                <w:color w:val="auto"/>
                <w:sz w:val="24"/>
                <w:szCs w:val="24"/>
                <w:lang w:val="en-US" w:eastAsia="zh-CN"/>
              </w:rPr>
              <w:t>1、</w:t>
            </w:r>
            <w:r>
              <w:rPr>
                <w:rFonts w:hint="default" w:ascii="Times New Roman" w:hAnsi="Times New Roman" w:cs="Times New Roman" w:eastAsiaTheme="minorEastAsia"/>
                <w:b/>
                <w:color w:val="auto"/>
                <w:sz w:val="24"/>
                <w:szCs w:val="24"/>
              </w:rPr>
              <w:t>废气</w:t>
            </w:r>
            <w:r>
              <w:rPr>
                <w:rFonts w:hint="default" w:ascii="Times New Roman" w:hAnsi="Times New Roman" w:cs="Times New Roman" w:eastAsiaTheme="minorEastAsia"/>
                <w:b/>
                <w:color w:val="auto"/>
                <w:sz w:val="24"/>
                <w:szCs w:val="24"/>
                <w:lang w:val="en-US" w:eastAsia="zh-CN"/>
              </w:rPr>
              <w:t>源强核算</w:t>
            </w:r>
          </w:p>
          <w:p w14:paraId="6AEBC7D8">
            <w:pPr>
              <w:pStyle w:val="21"/>
              <w:keepNext w:val="0"/>
              <w:pageBreakBefore w:val="0"/>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根据工程分析可知，</w:t>
            </w:r>
            <w:r>
              <w:rPr>
                <w:rFonts w:hint="default" w:ascii="Times New Roman" w:hAnsi="Times New Roman" w:cs="Times New Roman" w:eastAsiaTheme="minorEastAsia"/>
                <w:color w:val="auto"/>
                <w:sz w:val="24"/>
                <w:szCs w:val="24"/>
              </w:rPr>
              <w:t>本项目原料为可发性聚苯乙烯，为颗粒状。运营期废气主要为投料过程</w:t>
            </w:r>
            <w:r>
              <w:rPr>
                <w:rFonts w:hint="eastAsia" w:ascii="Times New Roman" w:hAnsi="Times New Roman" w:cs="Times New Roman" w:eastAsiaTheme="minorEastAsia"/>
                <w:color w:val="auto"/>
                <w:sz w:val="24"/>
                <w:szCs w:val="24"/>
                <w:lang w:val="en-US" w:eastAsia="zh-CN"/>
              </w:rPr>
              <w:t>产生的颗粒物、</w:t>
            </w:r>
            <w:r>
              <w:rPr>
                <w:rFonts w:hint="default" w:ascii="Times New Roman" w:hAnsi="Times New Roman" w:cs="Times New Roman" w:eastAsiaTheme="minorEastAsia"/>
                <w:color w:val="auto"/>
                <w:sz w:val="24"/>
                <w:szCs w:val="24"/>
              </w:rPr>
              <w:t>发泡工段产生的有机废气</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非甲烷总烃、</w:t>
            </w:r>
            <w:r>
              <w:rPr>
                <w:rFonts w:hint="default" w:ascii="Times New Roman" w:hAnsi="Times New Roman" w:cs="Times New Roman" w:eastAsiaTheme="minorEastAsia"/>
                <w:i w:val="0"/>
                <w:color w:val="auto"/>
                <w:kern w:val="2"/>
                <w:sz w:val="24"/>
                <w:szCs w:val="24"/>
                <w:lang w:val="en-US" w:eastAsia="zh-CN" w:bidi="ar-SA"/>
              </w:rPr>
              <w:t>甲苯、乙苯、苯乙烯</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w:t>
            </w:r>
            <w:r>
              <w:rPr>
                <w:rFonts w:hint="eastAsia" w:ascii="Times New Roman" w:hAnsi="Times New Roman" w:cs="Times New Roman" w:eastAsiaTheme="minorEastAsia"/>
                <w:color w:val="auto"/>
                <w:sz w:val="24"/>
                <w:szCs w:val="24"/>
                <w:lang w:eastAsia="zh-CN"/>
              </w:rPr>
              <w:t>生物质蒸汽发生器</w:t>
            </w:r>
            <w:r>
              <w:rPr>
                <w:rFonts w:hint="default" w:ascii="Times New Roman" w:hAnsi="Times New Roman" w:cs="Times New Roman" w:eastAsiaTheme="minorEastAsia"/>
                <w:color w:val="auto"/>
                <w:sz w:val="24"/>
                <w:szCs w:val="24"/>
              </w:rPr>
              <w:t>废气</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颗粒物、二氧化硫、氮氧化物</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异味（臭气浓度）</w:t>
            </w:r>
            <w:r>
              <w:rPr>
                <w:rFonts w:hint="default" w:ascii="Times New Roman" w:hAnsi="Times New Roman" w:cs="Times New Roman" w:eastAsiaTheme="minorEastAsia"/>
                <w:color w:val="auto"/>
                <w:sz w:val="24"/>
                <w:szCs w:val="24"/>
              </w:rPr>
              <w:t>等。</w:t>
            </w:r>
          </w:p>
          <w:p w14:paraId="539FF0FA">
            <w:pPr>
              <w:keepNext w:val="0"/>
              <w:keepLines/>
              <w:pageBreakBefore w:val="0"/>
              <w:numPr>
                <w:ilvl w:val="0"/>
                <w:numId w:val="0"/>
              </w:numPr>
              <w:kinsoku/>
              <w:wordWrap/>
              <w:overflowPunct/>
              <w:topLinePunct w:val="0"/>
              <w:autoSpaceDE/>
              <w:autoSpaceDN/>
              <w:bidi w:val="0"/>
              <w:adjustRightInd/>
              <w:ind w:firstLine="482" w:firstLineChars="200"/>
              <w:textAlignment w:val="auto"/>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（1）</w:t>
            </w:r>
            <w:r>
              <w:rPr>
                <w:rFonts w:hint="default" w:ascii="Times New Roman" w:hAnsi="Times New Roman" w:cs="Times New Roman" w:eastAsiaTheme="minorEastAsia"/>
                <w:b/>
                <w:bCs/>
                <w:color w:val="auto"/>
                <w:sz w:val="24"/>
                <w:szCs w:val="24"/>
                <w:lang w:eastAsia="zh-CN"/>
              </w:rPr>
              <w:t>发泡</w:t>
            </w:r>
            <w:r>
              <w:rPr>
                <w:rFonts w:hint="default" w:ascii="Times New Roman" w:hAnsi="Times New Roman" w:cs="Times New Roman" w:eastAsiaTheme="minorEastAsia"/>
                <w:b/>
                <w:bCs/>
                <w:color w:val="auto"/>
                <w:sz w:val="24"/>
                <w:szCs w:val="24"/>
              </w:rPr>
              <w:t>废气</w:t>
            </w:r>
          </w:p>
          <w:p w14:paraId="24024490">
            <w:pPr>
              <w:keepNext w:val="0"/>
              <w:keepLines/>
              <w:pageBreakBefore w:val="0"/>
              <w:kinsoku/>
              <w:wordWrap/>
              <w:overflowPunct/>
              <w:topLinePunct w:val="0"/>
              <w:autoSpaceDE/>
              <w:autoSpaceDN/>
              <w:bidi w:val="0"/>
              <w:adjustRightInd/>
              <w:ind w:firstLine="48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项目采用发泡型聚苯乙烯颗粒为原料，无需额外添加发泡剂。聚苯乙烯为高分子有机聚合物，为无毒、无害的材料，其裂解温度为330~380℃。本项目EPS发泡加热温度约为90℃~100℃，加热温度远低于EPS裂解温度</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可发性聚苯乙烯颗粒不会分解，故无分解废气产生。</w:t>
            </w:r>
            <w:r>
              <w:rPr>
                <w:rFonts w:hint="default" w:ascii="Times New Roman" w:hAnsi="Times New Roman" w:cs="Times New Roman" w:eastAsiaTheme="minorEastAsia"/>
                <w:i w:val="0"/>
                <w:color w:val="auto"/>
                <w:kern w:val="2"/>
                <w:sz w:val="24"/>
                <w:szCs w:val="24"/>
                <w:lang w:val="en-US" w:eastAsia="zh-CN" w:bidi="ar-SA"/>
              </w:rPr>
              <w:t>此外，《气相色谱—质谱法分析聚苯乙烯加热分解产物》（林华影等，中国卫生检验杂志，2009（9）：1964-1966）中聚苯乙烯在不同温度的加工条件下，所释放于工作场所空气中的毒害物质的种类、数量。结果发现，聚苯乙烯在80度的加热条件下即可分解产生乙苯和甲苯，不同的加热温度条件下分解产物不同，温度越高，分解产物的种类越多，浓度越大。</w:t>
            </w:r>
          </w:p>
          <w:p w14:paraId="483BDCE5">
            <w:pPr>
              <w:keepNext w:val="0"/>
              <w:keepLines/>
              <w:pageBreakBefore w:val="0"/>
              <w:kinsoku/>
              <w:wordWrap/>
              <w:overflowPunct/>
              <w:topLinePunct w:val="0"/>
              <w:autoSpaceDE/>
              <w:autoSpaceDN/>
              <w:bidi w:val="0"/>
              <w:adjustRightInd/>
              <w:ind w:firstLine="48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color w:val="auto"/>
                <w:sz w:val="24"/>
                <w:szCs w:val="24"/>
              </w:rPr>
              <w:t>由于《排污许可申请与核发技术规范 橡胶和塑料制品工业》（HJ 1122-2020）附录G橡胶和塑料制品工业污染物产污系数中无泡沫塑料制造核算系数，因此本环评参考</w:t>
            </w:r>
            <w:r>
              <w:rPr>
                <w:rFonts w:hint="default" w:ascii="Times New Roman" w:hAnsi="Times New Roman" w:cs="Times New Roman" w:eastAsiaTheme="minorEastAsia"/>
                <w:color w:val="auto"/>
                <w:sz w:val="24"/>
                <w:szCs w:val="24"/>
                <w:lang w:val="en-US" w:eastAsia="zh-CN"/>
              </w:rPr>
              <w:t>《排放源统计调查产排污核实方法和系数手册》中</w:t>
            </w:r>
            <w:r>
              <w:rPr>
                <w:rFonts w:hint="default" w:ascii="Times New Roman" w:hAnsi="Times New Roman" w:cs="Times New Roman" w:eastAsiaTheme="minorEastAsia"/>
                <w:color w:val="auto"/>
                <w:sz w:val="24"/>
                <w:szCs w:val="24"/>
              </w:rPr>
              <w:t>《292塑料制品行业技术手册》292</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rPr>
              <w:t>泡沫塑料制造行业系数表中推荐的</w:t>
            </w:r>
            <w:r>
              <w:rPr>
                <w:rFonts w:hint="default" w:ascii="Times New Roman" w:hAnsi="Times New Roman" w:cs="Times New Roman" w:eastAsiaTheme="minorEastAsia"/>
                <w:color w:val="auto"/>
                <w:sz w:val="24"/>
                <w:szCs w:val="24"/>
                <w:lang w:val="en-US" w:eastAsia="zh-CN"/>
              </w:rPr>
              <w:t>发泡</w:t>
            </w:r>
            <w:r>
              <w:rPr>
                <w:rFonts w:hint="default" w:ascii="Times New Roman" w:hAnsi="Times New Roman" w:cs="Times New Roman" w:eastAsiaTheme="minorEastAsia"/>
                <w:color w:val="auto"/>
                <w:sz w:val="24"/>
                <w:szCs w:val="24"/>
              </w:rPr>
              <w:t>废气排放系数</w:t>
            </w:r>
            <w:r>
              <w:rPr>
                <w:rFonts w:hint="default" w:ascii="Times New Roman" w:hAnsi="Times New Roman" w:cs="Times New Roman" w:eastAsiaTheme="minorEastAsia"/>
                <w:color w:val="auto"/>
                <w:sz w:val="24"/>
                <w:szCs w:val="24"/>
                <w:lang w:val="en-US" w:eastAsia="zh-CN"/>
              </w:rPr>
              <w:t>为</w:t>
            </w:r>
            <w:r>
              <w:rPr>
                <w:rFonts w:hint="default" w:ascii="Times New Roman" w:hAnsi="Times New Roman" w:cs="Times New Roman" w:eastAsiaTheme="minorEastAsia"/>
                <w:b w:val="0"/>
                <w:bCs/>
                <w:color w:val="auto"/>
                <w:sz w:val="24"/>
                <w:szCs w:val="24"/>
                <w:lang w:val="en-US" w:eastAsia="zh-CN"/>
              </w:rPr>
              <w:t>1.50kg/吨-产品进行计算</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根据工程分析可知，本项目年产</w:t>
            </w:r>
            <w:r>
              <w:rPr>
                <w:rFonts w:hint="default" w:ascii="Times New Roman" w:hAnsi="Times New Roman" w:cs="Times New Roman" w:eastAsiaTheme="minorEastAsia"/>
                <w:b w:val="0"/>
                <w:bCs/>
                <w:color w:val="auto"/>
                <w:sz w:val="24"/>
                <w:szCs w:val="24"/>
                <w:lang w:val="en-US" w:eastAsia="zh-CN"/>
              </w:rPr>
              <w:t>100</w:t>
            </w:r>
            <w:r>
              <w:rPr>
                <w:rFonts w:hint="default" w:ascii="Times New Roman" w:hAnsi="Times New Roman" w:cs="Times New Roman" w:eastAsiaTheme="minorEastAsia"/>
                <w:color w:val="auto"/>
                <w:sz w:val="24"/>
                <w:szCs w:val="24"/>
                <w:lang w:val="en-US" w:eastAsia="zh-CN"/>
              </w:rPr>
              <w:t>吨EPS泡沫颗粒，发泡工段的有机废气（以非甲烷总烃计）</w:t>
            </w:r>
            <w:r>
              <w:rPr>
                <w:rFonts w:hint="default" w:ascii="Times New Roman" w:hAnsi="Times New Roman" w:cs="Times New Roman" w:eastAsiaTheme="minorEastAsia"/>
                <w:b w:val="0"/>
                <w:bCs/>
                <w:color w:val="auto"/>
                <w:sz w:val="24"/>
                <w:szCs w:val="24"/>
                <w:lang w:val="en-US" w:eastAsia="zh-CN"/>
              </w:rPr>
              <w:t>以1.50kg/吨-产品进行计算，则发泡工段中产生的非甲烷总烃为0.15t/a。</w:t>
            </w:r>
            <w:r>
              <w:rPr>
                <w:rFonts w:hint="default" w:ascii="Times New Roman" w:hAnsi="Times New Roman" w:cs="Times New Roman" w:eastAsiaTheme="minorEastAsia"/>
                <w:i w:val="0"/>
                <w:color w:val="auto"/>
                <w:kern w:val="2"/>
                <w:sz w:val="24"/>
                <w:szCs w:val="24"/>
                <w:lang w:val="en-US" w:eastAsia="zh-CN" w:bidi="ar-SA"/>
              </w:rPr>
              <w:t>本项目发泡温度控制在90℃~100℃，根据《气相色谱—质谱法分析聚苯乙烯加热分解产物》（林华影等，中国卫生检验杂志，2009（9）：1964-1966）中聚苯乙烯在不同温度的加工条件下释放的甲苯、乙苯、苯乙烯</w:t>
            </w:r>
            <w:r>
              <w:rPr>
                <w:rFonts w:hint="eastAsia" w:cs="Times New Roman" w:eastAsiaTheme="minorEastAsia"/>
                <w:i w:val="0"/>
                <w:color w:val="auto"/>
                <w:kern w:val="2"/>
                <w:sz w:val="24"/>
                <w:szCs w:val="24"/>
                <w:lang w:val="en-US" w:eastAsia="zh-CN" w:bidi="ar-SA"/>
              </w:rPr>
              <w:t>，其中乙苯产生量约为甲苯的50%，苯乙烯的产生量约为甲苯的6%。</w:t>
            </w:r>
          </w:p>
          <w:p w14:paraId="4115254B">
            <w:pPr>
              <w:keepNext w:val="0"/>
              <w:keepLines/>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1）</w:t>
            </w:r>
            <w:r>
              <w:rPr>
                <w:rFonts w:hint="default" w:ascii="Times New Roman" w:hAnsi="Times New Roman" w:cs="Times New Roman" w:eastAsiaTheme="minorEastAsia"/>
                <w:b/>
                <w:bCs/>
                <w:color w:val="auto"/>
                <w:sz w:val="24"/>
                <w:szCs w:val="24"/>
              </w:rPr>
              <w:t>风机风量</w:t>
            </w:r>
          </w:p>
          <w:p w14:paraId="08CFF3FF">
            <w:pPr>
              <w:pStyle w:val="92"/>
              <w:keepNext w:val="0"/>
              <w:keepLines/>
              <w:pageBreakBefore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b w:val="0"/>
                <w:bCs/>
                <w:color w:val="auto"/>
                <w:sz w:val="24"/>
                <w:szCs w:val="24"/>
                <w:lang w:val="en-US" w:eastAsia="zh-CN"/>
              </w:rPr>
              <w:t>项目共设置有</w:t>
            </w:r>
            <w:r>
              <w:rPr>
                <w:rFonts w:hint="eastAsia" w:cs="Times New Roman" w:eastAsiaTheme="minorEastAsia"/>
                <w:b w:val="0"/>
                <w:bCs/>
                <w:color w:val="auto"/>
                <w:sz w:val="24"/>
                <w:szCs w:val="24"/>
                <w:lang w:val="en-US" w:eastAsia="zh-CN"/>
              </w:rPr>
              <w:t>2</w:t>
            </w:r>
            <w:r>
              <w:rPr>
                <w:rFonts w:hint="default" w:ascii="Times New Roman" w:hAnsi="Times New Roman" w:cs="Times New Roman" w:eastAsiaTheme="minorEastAsia"/>
                <w:b w:val="0"/>
                <w:bCs/>
                <w:color w:val="auto"/>
                <w:sz w:val="24"/>
                <w:szCs w:val="24"/>
                <w:lang w:val="en-US" w:eastAsia="zh-CN"/>
              </w:rPr>
              <w:t>台发泡机，拟在发泡机顶部设置</w:t>
            </w:r>
            <w:r>
              <w:rPr>
                <w:rFonts w:hint="eastAsia" w:cs="Times New Roman" w:eastAsiaTheme="minorEastAsia"/>
                <w:b w:val="0"/>
                <w:bCs/>
                <w:color w:val="auto"/>
                <w:sz w:val="24"/>
                <w:szCs w:val="24"/>
                <w:lang w:val="en-US" w:eastAsia="zh-CN"/>
              </w:rPr>
              <w:t>2套</w:t>
            </w:r>
            <w:r>
              <w:rPr>
                <w:rFonts w:hint="default" w:ascii="Times New Roman" w:hAnsi="Times New Roman" w:cs="Times New Roman" w:eastAsiaTheme="minorEastAsia"/>
                <w:b w:val="0"/>
                <w:bCs/>
                <w:color w:val="auto"/>
                <w:sz w:val="24"/>
                <w:szCs w:val="24"/>
                <w:lang w:val="en-US" w:eastAsia="zh-CN"/>
              </w:rPr>
              <w:t>集气罩，</w:t>
            </w:r>
            <w:r>
              <w:rPr>
                <w:rFonts w:hint="default" w:ascii="Times New Roman" w:hAnsi="Times New Roman" w:cs="Times New Roman" w:eastAsiaTheme="minorEastAsia"/>
                <w:color w:val="auto"/>
                <w:sz w:val="24"/>
                <w:szCs w:val="24"/>
              </w:rPr>
              <w:t>根据《云南省重点行业挥发性有机物综合治理实施方案》，采用局部集气罩的，距集气罩开口面最远处的VOCs无组织排放位置，控制风速应不低于0.3m/s，</w:t>
            </w:r>
            <w:r>
              <w:rPr>
                <w:rFonts w:hint="default" w:ascii="Times New Roman" w:hAnsi="Times New Roman" w:cs="Times New Roman" w:eastAsiaTheme="minorEastAsia"/>
                <w:color w:val="auto"/>
                <w:sz w:val="24"/>
                <w:szCs w:val="24"/>
                <w:lang w:val="en-US" w:eastAsia="zh-CN"/>
              </w:rPr>
              <w:t>根据集气罩的类型和风量计算，罩口平均风速为0.5</w:t>
            </w:r>
            <w:r>
              <w:rPr>
                <w:rFonts w:hint="default" w:ascii="Times New Roman" w:hAnsi="Times New Roman" w:cs="Times New Roman" w:eastAsiaTheme="minorEastAsia"/>
                <w:color w:val="auto"/>
                <w:sz w:val="24"/>
                <w:szCs w:val="24"/>
              </w:rPr>
              <w:t>m/s</w:t>
            </w:r>
            <w:r>
              <w:rPr>
                <w:rFonts w:hint="default" w:ascii="Times New Roman" w:hAnsi="Times New Roman" w:cs="Times New Roman" w:eastAsiaTheme="minorEastAsia"/>
                <w:color w:val="auto"/>
                <w:sz w:val="24"/>
                <w:szCs w:val="24"/>
                <w:lang w:val="en-US" w:eastAsia="zh-CN"/>
              </w:rPr>
              <w:t>~1.25</w:t>
            </w:r>
            <w:r>
              <w:rPr>
                <w:rFonts w:hint="default" w:ascii="Times New Roman" w:hAnsi="Times New Roman" w:cs="Times New Roman" w:eastAsiaTheme="minorEastAsia"/>
                <w:color w:val="auto"/>
                <w:sz w:val="24"/>
                <w:szCs w:val="24"/>
              </w:rPr>
              <w:t>m/s</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本次评价罩口平均风速按0.</w:t>
            </w:r>
            <w:r>
              <w:rPr>
                <w:rFonts w:hint="eastAsia"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rPr>
              <w:t>m/s</w:t>
            </w:r>
            <w:r>
              <w:rPr>
                <w:rFonts w:hint="default" w:ascii="Times New Roman" w:hAnsi="Times New Roman" w:cs="Times New Roman" w:eastAsiaTheme="minorEastAsia"/>
                <w:color w:val="auto"/>
                <w:sz w:val="24"/>
                <w:szCs w:val="24"/>
                <w:lang w:val="en-US" w:eastAsia="zh-CN"/>
              </w:rPr>
              <w:t>计，则风机风速为2</w:t>
            </w:r>
            <w:r>
              <w:rPr>
                <w:rFonts w:hint="eastAsia" w:cs="Times New Roman" w:eastAsiaTheme="minorEastAsia"/>
                <w:color w:val="auto"/>
                <w:sz w:val="24"/>
                <w:szCs w:val="24"/>
                <w:lang w:val="en-US" w:eastAsia="zh-CN"/>
              </w:rPr>
              <w:t>520</w:t>
            </w:r>
            <w:r>
              <w:rPr>
                <w:rFonts w:hint="default" w:ascii="Times New Roman" w:hAnsi="Times New Roman" w:cs="Times New Roman" w:eastAsiaTheme="minorEastAsia"/>
                <w:color w:val="auto"/>
                <w:sz w:val="24"/>
                <w:szCs w:val="24"/>
              </w:rPr>
              <w:t>m/h。</w:t>
            </w:r>
            <w:r>
              <w:rPr>
                <w:rFonts w:hint="default" w:ascii="Times New Roman" w:hAnsi="Times New Roman" w:cs="Times New Roman" w:eastAsiaTheme="minorEastAsia"/>
                <w:color w:val="auto"/>
                <w:sz w:val="24"/>
                <w:szCs w:val="24"/>
                <w:lang w:val="en-US" w:eastAsia="zh-CN"/>
              </w:rPr>
              <w:t>根据建设单位提供的资料和类比</w:t>
            </w:r>
            <w:r>
              <w:rPr>
                <w:rFonts w:hint="default" w:ascii="Times New Roman" w:hAnsi="Times New Roman" w:cs="Times New Roman" w:eastAsiaTheme="minorEastAsia"/>
                <w:color w:val="auto"/>
                <w:sz w:val="24"/>
                <w:szCs w:val="24"/>
                <w:lang w:eastAsia="zh-CN"/>
              </w:rPr>
              <w:t>同类项目</w:t>
            </w:r>
            <w:r>
              <w:rPr>
                <w:rFonts w:hint="default" w:ascii="Times New Roman" w:hAnsi="Times New Roman" w:cs="Times New Roman" w:eastAsiaTheme="minorEastAsia"/>
                <w:color w:val="auto"/>
                <w:sz w:val="24"/>
                <w:szCs w:val="24"/>
              </w:rPr>
              <w:t>设计资料，单台</w:t>
            </w:r>
            <w:r>
              <w:rPr>
                <w:rFonts w:hint="default" w:ascii="Times New Roman" w:hAnsi="Times New Roman" w:cs="Times New Roman" w:eastAsiaTheme="minorEastAsia"/>
                <w:color w:val="auto"/>
                <w:sz w:val="24"/>
                <w:szCs w:val="24"/>
                <w:lang w:eastAsia="zh-CN"/>
              </w:rPr>
              <w:t>发泡</w:t>
            </w:r>
            <w:r>
              <w:rPr>
                <w:rFonts w:hint="default" w:ascii="Times New Roman" w:hAnsi="Times New Roman" w:cs="Times New Roman" w:eastAsiaTheme="minorEastAsia"/>
                <w:color w:val="auto"/>
                <w:sz w:val="24"/>
                <w:szCs w:val="24"/>
              </w:rPr>
              <w:t>机集气罩投影面积</w:t>
            </w:r>
            <w:r>
              <w:rPr>
                <w:rFonts w:hint="default" w:ascii="Times New Roman" w:hAnsi="Times New Roman" w:cs="Times New Roman" w:eastAsiaTheme="minorEastAsia"/>
                <w:color w:val="auto"/>
                <w:sz w:val="24"/>
                <w:szCs w:val="24"/>
                <w:lang w:eastAsia="zh-CN"/>
              </w:rPr>
              <w:t>约为</w:t>
            </w:r>
            <w:r>
              <w:rPr>
                <w:rFonts w:hint="default" w:ascii="Times New Roman" w:hAnsi="Times New Roman" w:cs="Times New Roman" w:eastAsiaTheme="minorEastAsia"/>
                <w:color w:val="auto"/>
                <w:sz w:val="24"/>
                <w:szCs w:val="24"/>
                <w:lang w:val="en-US" w:eastAsia="zh-CN"/>
              </w:rPr>
              <w:t>1.</w:t>
            </w:r>
            <w:r>
              <w:rPr>
                <w:rFonts w:hint="eastAsia"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2</w:t>
            </w:r>
            <w:r>
              <w:rPr>
                <w:rFonts w:hint="default" w:ascii="Times New Roman" w:hAnsi="Times New Roman" w:cs="Times New Roman" w:eastAsiaTheme="minorEastAsia"/>
                <w:color w:val="auto"/>
                <w:sz w:val="24"/>
                <w:szCs w:val="24"/>
                <w:lang w:val="en-US" w:eastAsia="zh-CN"/>
              </w:rPr>
              <w:t>，</w:t>
            </w:r>
            <w:r>
              <w:rPr>
                <w:rFonts w:hint="eastAsia" w:cs="Times New Roman" w:eastAsiaTheme="minorEastAsia"/>
                <w:color w:val="auto"/>
                <w:sz w:val="24"/>
                <w:szCs w:val="24"/>
                <w:lang w:val="en-US" w:eastAsia="zh-CN"/>
              </w:rPr>
              <w:t>集气罩高度距发泡机高度为0.5m，</w:t>
            </w:r>
            <w:r>
              <w:rPr>
                <w:rFonts w:hint="default" w:ascii="Times New Roman" w:hAnsi="Times New Roman" w:cs="Times New Roman" w:eastAsiaTheme="minorEastAsia"/>
                <w:color w:val="auto"/>
                <w:sz w:val="24"/>
                <w:szCs w:val="24"/>
              </w:rPr>
              <w:t>则</w:t>
            </w:r>
            <w:r>
              <w:rPr>
                <w:rFonts w:hint="default" w:ascii="Times New Roman" w:hAnsi="Times New Roman" w:cs="Times New Roman" w:eastAsiaTheme="minorEastAsia"/>
                <w:color w:val="auto"/>
                <w:sz w:val="24"/>
                <w:szCs w:val="24"/>
                <w:lang w:val="en-US" w:eastAsia="zh-CN"/>
              </w:rPr>
              <w:t>发泡机</w:t>
            </w:r>
            <w:r>
              <w:rPr>
                <w:rFonts w:hint="default" w:ascii="Times New Roman" w:hAnsi="Times New Roman" w:cs="Times New Roman" w:eastAsiaTheme="minorEastAsia"/>
                <w:color w:val="auto"/>
                <w:sz w:val="24"/>
                <w:szCs w:val="24"/>
              </w:rPr>
              <w:t>集气罩风量不低于</w:t>
            </w:r>
            <w:r>
              <w:rPr>
                <w:rFonts w:hint="eastAsia" w:cs="Times New Roman" w:eastAsiaTheme="minorEastAsia"/>
                <w:color w:val="auto"/>
                <w:sz w:val="24"/>
                <w:szCs w:val="24"/>
                <w:lang w:val="en-US" w:eastAsia="zh-CN"/>
              </w:rPr>
              <w:t>4032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/h，考虑风管风量损耗，设计略大于理论计算的最大风量，本次考虑建设完成后车间所有</w:t>
            </w:r>
            <w:r>
              <w:rPr>
                <w:rFonts w:hint="default" w:ascii="Times New Roman" w:hAnsi="Times New Roman" w:cs="Times New Roman" w:eastAsiaTheme="minorEastAsia"/>
                <w:color w:val="auto"/>
                <w:sz w:val="24"/>
                <w:szCs w:val="24"/>
                <w:lang w:eastAsia="zh-CN"/>
              </w:rPr>
              <w:t>发泡机</w:t>
            </w:r>
            <w:r>
              <w:rPr>
                <w:rFonts w:hint="default" w:ascii="Times New Roman" w:hAnsi="Times New Roman" w:cs="Times New Roman" w:eastAsiaTheme="minorEastAsia"/>
                <w:color w:val="auto"/>
                <w:sz w:val="24"/>
                <w:szCs w:val="24"/>
              </w:rPr>
              <w:t>设计风机风量，风机风量参考《吸附法工业有机废气治理工程技术规范》（HJ2026-2013）中</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6.1.2治理工程的处理能力应根据废气的处理量确定，设计风量宜按照最大废气排放量的120%进行设计</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相关要求</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故</w:t>
            </w:r>
            <w:r>
              <w:rPr>
                <w:rFonts w:hint="eastAsia" w:cs="Times New Roman" w:eastAsiaTheme="minorEastAsia"/>
                <w:color w:val="auto"/>
                <w:sz w:val="24"/>
                <w:szCs w:val="24"/>
                <w:lang w:val="en-US" w:eastAsia="zh-CN"/>
              </w:rPr>
              <w:t>单台</w:t>
            </w:r>
            <w:r>
              <w:rPr>
                <w:rFonts w:hint="default" w:ascii="Times New Roman" w:hAnsi="Times New Roman" w:cs="Times New Roman" w:eastAsiaTheme="minorEastAsia"/>
                <w:color w:val="auto"/>
                <w:sz w:val="24"/>
                <w:szCs w:val="24"/>
                <w:lang w:val="en-US" w:eastAsia="zh-CN"/>
              </w:rPr>
              <w:t>风机风量为</w:t>
            </w:r>
            <w:r>
              <w:rPr>
                <w:rFonts w:hint="eastAsia" w:cs="Times New Roman" w:eastAsiaTheme="minorEastAsia"/>
                <w:color w:val="auto"/>
                <w:sz w:val="24"/>
                <w:szCs w:val="24"/>
                <w:lang w:val="en-US" w:eastAsia="zh-CN"/>
              </w:rPr>
              <w:t>4838</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/h</w:t>
            </w:r>
            <w:r>
              <w:rPr>
                <w:rFonts w:hint="default" w:ascii="Times New Roman" w:hAnsi="Times New Roman" w:cs="Times New Roman" w:eastAsiaTheme="minorEastAsia"/>
                <w:color w:val="auto"/>
                <w:sz w:val="24"/>
                <w:szCs w:val="24"/>
                <w:lang w:eastAsia="zh-CN"/>
              </w:rPr>
              <w:t>，</w:t>
            </w:r>
            <w:r>
              <w:rPr>
                <w:rFonts w:hint="eastAsia" w:cs="Times New Roman" w:eastAsiaTheme="minorEastAsia"/>
                <w:color w:val="auto"/>
                <w:sz w:val="24"/>
                <w:szCs w:val="24"/>
                <w:lang w:val="en-US" w:eastAsia="zh-CN"/>
              </w:rPr>
              <w:t>本项目拟设置2台风机，故本项目</w:t>
            </w:r>
            <w:r>
              <w:rPr>
                <w:rFonts w:hint="default" w:ascii="Times New Roman" w:hAnsi="Times New Roman" w:cs="Times New Roman" w:eastAsiaTheme="minorEastAsia"/>
                <w:color w:val="auto"/>
                <w:sz w:val="24"/>
                <w:szCs w:val="24"/>
                <w:lang w:val="en-US" w:eastAsia="zh-CN"/>
              </w:rPr>
              <w:t>风机风量为</w:t>
            </w:r>
            <w:r>
              <w:rPr>
                <w:rFonts w:hint="eastAsia" w:cs="Times New Roman" w:eastAsiaTheme="minorEastAsia"/>
                <w:color w:val="auto"/>
                <w:sz w:val="24"/>
                <w:szCs w:val="24"/>
                <w:lang w:val="en-US" w:eastAsia="zh-CN"/>
              </w:rPr>
              <w:t>9676</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/h</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本次评价提出设置引风量不小于</w:t>
            </w:r>
            <w:r>
              <w:rPr>
                <w:rFonts w:hint="eastAsia"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000m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/h的引风机（风机风速为0.8</w:t>
            </w:r>
            <w:r>
              <w:rPr>
                <w:rFonts w:hint="eastAsia"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lang w:val="en-US" w:eastAsia="zh-CN"/>
              </w:rPr>
              <w:t>m/s），将发泡废气引至有机废气处理系统进行处理。</w:t>
            </w:r>
          </w:p>
          <w:p w14:paraId="10C664B5">
            <w:pPr>
              <w:keepNext w:val="0"/>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为保障收集设施（集气罩）能够有效收集有机废气，本次评价提出以下建议：</w:t>
            </w:r>
          </w:p>
          <w:p w14:paraId="5D93F5CA">
            <w:pPr>
              <w:pStyle w:val="92"/>
              <w:keepNext w:val="0"/>
              <w:keepLines/>
              <w:pageBreakBefore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①在尽可能保证操作流程的情况下减少横向气流对产生废气的影响，且废气设施运行时车间门窗尽可能密闭，减少外部车间横向气流对吸气收集影响，从而保证收集效率。</w:t>
            </w:r>
          </w:p>
          <w:p w14:paraId="7AD36CA4">
            <w:pPr>
              <w:pStyle w:val="92"/>
              <w:keepNext w:val="0"/>
              <w:keepLines/>
              <w:pageBreakBefore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②集气罩的收集效率与收集方式、集气罩大小、距污染源距离、收集风速和风量等有关，为提高集气罩控制效果，本次设计罩口尽可能靠近污染物发生源，减少横向气流的干扰。</w:t>
            </w:r>
          </w:p>
          <w:p w14:paraId="4F284BFC">
            <w:pPr>
              <w:pStyle w:val="92"/>
              <w:keepNext w:val="0"/>
              <w:keepLines/>
              <w:pageBreakBefore w:val="0"/>
              <w:kinsoku/>
              <w:wordWrap/>
              <w:overflowPunct/>
              <w:topLinePunct w:val="0"/>
              <w:autoSpaceDE/>
              <w:autoSpaceDN/>
              <w:bidi w:val="0"/>
              <w:adjustRightInd/>
              <w:ind w:firstLine="48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2）</w:t>
            </w:r>
            <w:r>
              <w:rPr>
                <w:rFonts w:hint="default" w:ascii="Times New Roman" w:hAnsi="Times New Roman" w:cs="Times New Roman" w:eastAsiaTheme="minorEastAsia"/>
                <w:b/>
                <w:bCs/>
                <w:color w:val="auto"/>
                <w:sz w:val="24"/>
                <w:szCs w:val="24"/>
                <w:lang w:eastAsia="zh-CN"/>
              </w:rPr>
              <w:t>有机废气</w:t>
            </w:r>
            <w:r>
              <w:rPr>
                <w:rFonts w:hint="default" w:ascii="Times New Roman" w:hAnsi="Times New Roman" w:cs="Times New Roman" w:eastAsiaTheme="minorEastAsia"/>
                <w:b/>
                <w:bCs/>
                <w:color w:val="auto"/>
                <w:sz w:val="24"/>
                <w:szCs w:val="24"/>
              </w:rPr>
              <w:t>处理效率</w:t>
            </w:r>
          </w:p>
          <w:p w14:paraId="33421156">
            <w:pPr>
              <w:pStyle w:val="92"/>
              <w:keepNext w:val="0"/>
              <w:keepLines/>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本次评价通过类比</w:t>
            </w:r>
            <w:r>
              <w:rPr>
                <w:rFonts w:hint="eastAsia"/>
                <w:color w:val="auto"/>
                <w:spacing w:val="-1"/>
              </w:rPr>
              <w:t>宝鸡骏浪工贸</w:t>
            </w:r>
            <w:r>
              <w:rPr>
                <w:color w:val="auto"/>
                <w:spacing w:val="-1"/>
              </w:rPr>
              <w:t>有限公司</w:t>
            </w:r>
            <w:r>
              <w:rPr>
                <w:rFonts w:hint="eastAsia" w:cs="Times New Roman"/>
                <w:color w:val="auto"/>
                <w:highlight w:val="none"/>
                <w:lang w:val="en-US" w:eastAsia="zh-CN"/>
              </w:rPr>
              <w:t>《</w:t>
            </w:r>
            <w:r>
              <w:rPr>
                <w:rFonts w:hint="eastAsia"/>
                <w:color w:val="auto"/>
                <w:spacing w:val="-8"/>
              </w:rPr>
              <w:t>宝鸡骏浪工贸有限公司EPS泡沫成型包装材料生产线项目</w:t>
            </w:r>
            <w:r>
              <w:rPr>
                <w:rFonts w:hint="eastAsia" w:cs="Times New Roman"/>
                <w:color w:val="auto"/>
                <w:highlight w:val="none"/>
                <w:lang w:val="en-US" w:eastAsia="zh-CN"/>
              </w:rPr>
              <w:t>竣工环境保护验收报告》得出本项目有机废气处理效率和甲苯、乙苯、苯乙烯的产排量，具体如下：</w:t>
            </w:r>
          </w:p>
          <w:p w14:paraId="3AA23E1D">
            <w:pPr>
              <w:pStyle w:val="92"/>
              <w:keepNext w:val="0"/>
              <w:keepLines/>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黑体"/>
                <w:color w:val="auto"/>
                <w:spacing w:val="-8"/>
                <w:kern w:val="2"/>
                <w:sz w:val="24"/>
                <w:szCs w:val="24"/>
                <w:lang w:val="en-US" w:eastAsia="zh-CN" w:bidi="ar-SA"/>
              </w:rPr>
              <w:t>宝鸡骏浪工贸有限公司通过采用可发性</w:t>
            </w:r>
            <w:r>
              <w:rPr>
                <w:rFonts w:hint="default" w:ascii="Times New Roman" w:hAnsi="Times New Roman" w:eastAsia="宋体" w:cs="黑体"/>
                <w:color w:val="auto"/>
                <w:spacing w:val="-8"/>
                <w:kern w:val="2"/>
                <w:sz w:val="24"/>
                <w:szCs w:val="24"/>
                <w:lang w:val="en-US" w:eastAsia="zh-CN" w:bidi="ar-SA"/>
              </w:rPr>
              <w:t>EPS</w:t>
            </w:r>
            <w:r>
              <w:rPr>
                <w:rFonts w:hint="eastAsia" w:ascii="Times New Roman" w:hAnsi="Times New Roman" w:eastAsia="宋体" w:cs="黑体"/>
                <w:color w:val="auto"/>
                <w:spacing w:val="-8"/>
                <w:kern w:val="2"/>
                <w:sz w:val="24"/>
                <w:szCs w:val="24"/>
                <w:lang w:val="en-US" w:eastAsia="zh-CN" w:bidi="ar-SA"/>
              </w:rPr>
              <w:t>（原料）来生产泡沫箱和泡沫保护垫，可发性</w:t>
            </w:r>
            <w:r>
              <w:rPr>
                <w:rFonts w:hint="default" w:ascii="Times New Roman" w:hAnsi="Times New Roman" w:eastAsia="宋体" w:cs="黑体"/>
                <w:color w:val="auto"/>
                <w:spacing w:val="-8"/>
                <w:kern w:val="2"/>
                <w:sz w:val="24"/>
                <w:szCs w:val="24"/>
                <w:lang w:val="en-US" w:eastAsia="zh-CN" w:bidi="ar-SA"/>
              </w:rPr>
              <w:t>EPS</w:t>
            </w:r>
            <w:r>
              <w:rPr>
                <w:rFonts w:hint="eastAsia" w:ascii="Times New Roman" w:hAnsi="Times New Roman" w:eastAsia="宋体" w:cs="黑体"/>
                <w:color w:val="auto"/>
                <w:spacing w:val="-8"/>
                <w:kern w:val="2"/>
                <w:sz w:val="24"/>
                <w:szCs w:val="24"/>
                <w:lang w:val="en-US" w:eastAsia="zh-CN" w:bidi="ar-SA"/>
              </w:rPr>
              <w:t>年用量为260t，生产工艺主要为“上料——预发泡——熟化——成型脱模——烘干——切割——打包”，其中，发泡工段产生的有机废气主要通过集气罩+</w:t>
            </w:r>
            <w:r>
              <w:rPr>
                <w:rFonts w:hint="eastAsia" w:ascii="宋体" w:hAnsi="宋体" w:eastAsia="宋体" w:cs="宋体"/>
                <w:color w:val="auto"/>
                <w:kern w:val="0"/>
                <w:sz w:val="24"/>
                <w:szCs w:val="24"/>
                <w:lang w:val="en-US" w:eastAsia="zh-CN" w:bidi="ar"/>
              </w:rPr>
              <w:t>活性炭吸附</w:t>
            </w:r>
            <w:r>
              <w:rPr>
                <w:rFonts w:hint="default" w:ascii="Times New Roman" w:hAnsi="Times New Roman" w:eastAsia="宋体" w:cs="Times New Roman"/>
                <w:color w:val="auto"/>
                <w:kern w:val="0"/>
                <w:sz w:val="24"/>
                <w:szCs w:val="24"/>
                <w:lang w:val="en-US" w:eastAsia="zh-CN" w:bidi="ar"/>
              </w:rPr>
              <w:t>+UV</w:t>
            </w:r>
            <w:r>
              <w:rPr>
                <w:rFonts w:hint="eastAsia" w:ascii="宋体" w:hAnsi="宋体" w:eastAsia="宋体" w:cs="宋体"/>
                <w:color w:val="auto"/>
                <w:kern w:val="0"/>
                <w:sz w:val="24"/>
                <w:szCs w:val="24"/>
                <w:lang w:val="en-US" w:eastAsia="zh-CN" w:bidi="ar"/>
              </w:rPr>
              <w:t>光氧</w:t>
            </w:r>
            <w:r>
              <w:rPr>
                <w:rFonts w:hint="eastAsia" w:ascii="Times New Roman" w:hAnsi="Times New Roman" w:eastAsia="宋体" w:cs="黑体"/>
                <w:color w:val="auto"/>
                <w:spacing w:val="-8"/>
                <w:kern w:val="2"/>
                <w:sz w:val="24"/>
                <w:szCs w:val="24"/>
                <w:lang w:val="en-US" w:eastAsia="zh-CN" w:bidi="ar-SA"/>
              </w:rPr>
              <w:t>+15m排气筒进行处理，本项目生产原料为可发性EPS</w:t>
            </w:r>
            <w:r>
              <w:rPr>
                <w:rFonts w:hint="eastAsia" w:cs="黑体"/>
                <w:color w:val="auto"/>
                <w:spacing w:val="-8"/>
                <w:kern w:val="2"/>
                <w:sz w:val="24"/>
                <w:szCs w:val="24"/>
                <w:lang w:val="en-US" w:eastAsia="zh-CN" w:bidi="ar-SA"/>
              </w:rPr>
              <w:t>，</w:t>
            </w:r>
            <w:r>
              <w:rPr>
                <w:rFonts w:hint="eastAsia" w:ascii="Times New Roman" w:hAnsi="Times New Roman" w:eastAsia="宋体" w:cs="黑体"/>
                <w:color w:val="auto"/>
                <w:spacing w:val="-8"/>
                <w:kern w:val="2"/>
                <w:sz w:val="24"/>
                <w:szCs w:val="24"/>
                <w:lang w:val="en-US" w:eastAsia="zh-CN" w:bidi="ar-SA"/>
              </w:rPr>
              <w:t>发泡工段产生的有机废气主要通过集气罩</w:t>
            </w:r>
            <w:r>
              <w:rPr>
                <w:rFonts w:hint="eastAsia" w:cs="Times New Roman"/>
                <w:color w:val="auto"/>
                <w:highlight w:val="none"/>
                <w:lang w:val="en-US" w:eastAsia="zh-CN"/>
              </w:rPr>
              <w:t>+两级</w:t>
            </w:r>
            <w:r>
              <w:rPr>
                <w:rFonts w:hint="eastAsia" w:ascii="宋体" w:hAnsi="宋体" w:eastAsia="宋体" w:cs="宋体"/>
                <w:color w:val="auto"/>
                <w:kern w:val="0"/>
                <w:sz w:val="24"/>
                <w:szCs w:val="24"/>
                <w:lang w:val="en-US" w:eastAsia="zh-CN" w:bidi="ar"/>
              </w:rPr>
              <w:t>活性炭吸附</w:t>
            </w:r>
            <w:r>
              <w:rPr>
                <w:rFonts w:hint="eastAsia"/>
                <w:color w:val="auto"/>
                <w:spacing w:val="-2"/>
                <w:lang w:val="en-US" w:eastAsia="zh-CN"/>
              </w:rPr>
              <w:t>+15m排气筒进行处理</w:t>
            </w:r>
            <w:r>
              <w:rPr>
                <w:rFonts w:hint="eastAsia" w:cs="Times New Roman"/>
                <w:color w:val="auto"/>
                <w:lang w:val="en-US" w:eastAsia="zh-CN"/>
              </w:rPr>
              <w:t>，本项目使用的生产原料、生产工艺、发泡工段废气治理工艺基本一致，故本项目类比</w:t>
            </w:r>
            <w:r>
              <w:rPr>
                <w:rFonts w:hint="eastAsia" w:ascii="Times New Roman" w:hAnsi="Times New Roman" w:eastAsia="宋体" w:cs="黑体"/>
                <w:color w:val="auto"/>
                <w:spacing w:val="-8"/>
                <w:kern w:val="2"/>
                <w:sz w:val="24"/>
                <w:szCs w:val="24"/>
                <w:lang w:val="en-US" w:eastAsia="zh-CN" w:bidi="ar-SA"/>
              </w:rPr>
              <w:t>宝鸡骏浪工贸有限公司</w:t>
            </w:r>
            <w:r>
              <w:rPr>
                <w:rFonts w:hint="eastAsia" w:cs="Times New Roman"/>
                <w:color w:val="auto"/>
                <w:highlight w:val="none"/>
                <w:lang w:val="en-US" w:eastAsia="zh-CN"/>
              </w:rPr>
              <w:t>《</w:t>
            </w:r>
            <w:r>
              <w:rPr>
                <w:rFonts w:hint="eastAsia"/>
                <w:color w:val="auto"/>
                <w:spacing w:val="-8"/>
              </w:rPr>
              <w:t>宝鸡骏浪工贸有限公司EPS泡沫成型包装材料生产线项目</w:t>
            </w:r>
            <w:r>
              <w:rPr>
                <w:rFonts w:hint="eastAsia" w:cs="Times New Roman"/>
                <w:color w:val="auto"/>
                <w:highlight w:val="none"/>
                <w:lang w:val="en-US" w:eastAsia="zh-CN"/>
              </w:rPr>
              <w:t>竣工环境保护验收报告》是可行的。</w:t>
            </w:r>
          </w:p>
          <w:p w14:paraId="6AA01B1B">
            <w:pPr>
              <w:pStyle w:val="92"/>
              <w:keepNext w:val="0"/>
              <w:keepLines/>
              <w:pageBreakBefore w:val="0"/>
              <w:widowControl w:val="0"/>
              <w:kinsoku/>
              <w:wordWrap/>
              <w:overflowPunct/>
              <w:topLinePunct w:val="0"/>
              <w:autoSpaceDE/>
              <w:autoSpaceDN/>
              <w:bidi w:val="0"/>
              <w:adjustRightInd/>
              <w:snapToGrid/>
              <w:ind w:firstLine="480"/>
              <w:textAlignment w:val="auto"/>
              <w:rPr>
                <w:rFonts w:hint="eastAsia" w:cs="Times New Roman"/>
                <w:color w:val="auto"/>
                <w:highlight w:val="none"/>
                <w:lang w:val="en-US" w:eastAsia="zh-CN"/>
              </w:rPr>
            </w:pPr>
            <w:r>
              <w:rPr>
                <w:rFonts w:hint="eastAsia" w:cs="Times New Roman"/>
                <w:color w:val="auto"/>
                <w:highlight w:val="none"/>
                <w:lang w:val="en-US" w:eastAsia="zh-CN"/>
              </w:rPr>
              <w:t>本次评价收集了</w:t>
            </w:r>
            <w:r>
              <w:rPr>
                <w:rFonts w:hint="eastAsia" w:ascii="Times New Roman" w:hAnsi="Times New Roman" w:eastAsia="宋体" w:cs="黑体"/>
                <w:color w:val="auto"/>
                <w:spacing w:val="-8"/>
                <w:kern w:val="2"/>
                <w:sz w:val="24"/>
                <w:szCs w:val="24"/>
                <w:lang w:val="en-US" w:eastAsia="zh-CN" w:bidi="ar-SA"/>
              </w:rPr>
              <w:t>宝鸡骏浪工贸有限公司</w:t>
            </w:r>
            <w:r>
              <w:rPr>
                <w:rFonts w:hint="eastAsia" w:cs="Times New Roman"/>
                <w:color w:val="auto"/>
                <w:highlight w:val="none"/>
                <w:lang w:val="en-US" w:eastAsia="zh-CN"/>
              </w:rPr>
              <w:t>《</w:t>
            </w:r>
            <w:r>
              <w:rPr>
                <w:rFonts w:hint="eastAsia"/>
                <w:color w:val="auto"/>
                <w:spacing w:val="-8"/>
              </w:rPr>
              <w:t>宝鸡骏浪工贸有限公司EPS泡沫成型包装材料生产线项目</w:t>
            </w:r>
            <w:r>
              <w:rPr>
                <w:rFonts w:hint="eastAsia" w:cs="Times New Roman"/>
                <w:color w:val="auto"/>
                <w:highlight w:val="none"/>
                <w:lang w:val="en-US" w:eastAsia="zh-CN"/>
              </w:rPr>
              <w:t>竣工环境保护验收报告》中关于发泡成型工段的相关监测结果（详见附件9），详见下表。</w:t>
            </w:r>
          </w:p>
          <w:p w14:paraId="1C651BCE">
            <w:pPr>
              <w:pStyle w:val="92"/>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 xml:space="preserve">表4-1 有组织废气监测结果一览表 </w:t>
            </w:r>
          </w:p>
          <w:tbl>
            <w:tblPr>
              <w:tblStyle w:val="34"/>
              <w:tblW w:w="7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335"/>
              <w:gridCol w:w="870"/>
              <w:gridCol w:w="1005"/>
              <w:gridCol w:w="1976"/>
              <w:gridCol w:w="1698"/>
            </w:tblGrid>
            <w:tr w14:paraId="79DD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14:paraId="41175AB3">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r>
                    <w:rPr>
                      <w:rFonts w:hint="default" w:ascii="Times New Roman" w:hAnsi="Times New Roman" w:cs="Times New Roman" w:eastAsiaTheme="minorEastAsia"/>
                      <w:b/>
                      <w:bCs/>
                      <w:color w:val="auto"/>
                      <w:sz w:val="21"/>
                      <w:szCs w:val="21"/>
                      <w:highlight w:val="none"/>
                      <w:vertAlign w:val="baseline"/>
                      <w:lang w:val="en-US" w:eastAsia="zh-CN"/>
                    </w:rPr>
                    <w:t>日期</w:t>
                  </w:r>
                </w:p>
              </w:tc>
              <w:tc>
                <w:tcPr>
                  <w:tcW w:w="1335" w:type="dxa"/>
                  <w:vMerge w:val="restart"/>
                  <w:vAlign w:val="center"/>
                </w:tcPr>
                <w:p w14:paraId="00D9665F">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r>
                    <w:rPr>
                      <w:rFonts w:hint="default" w:ascii="Times New Roman" w:hAnsi="Times New Roman" w:cs="Times New Roman" w:eastAsiaTheme="minorEastAsia"/>
                      <w:b/>
                      <w:bCs/>
                      <w:color w:val="auto"/>
                      <w:sz w:val="21"/>
                      <w:szCs w:val="21"/>
                      <w:highlight w:val="none"/>
                      <w:vertAlign w:val="baseline"/>
                      <w:lang w:val="en-US" w:eastAsia="zh-CN"/>
                    </w:rPr>
                    <w:t>检测点位</w:t>
                  </w:r>
                </w:p>
              </w:tc>
              <w:tc>
                <w:tcPr>
                  <w:tcW w:w="870" w:type="dxa"/>
                  <w:vMerge w:val="restart"/>
                  <w:vAlign w:val="center"/>
                </w:tcPr>
                <w:p w14:paraId="49532DEF">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r>
                    <w:rPr>
                      <w:rFonts w:hint="default" w:ascii="Times New Roman" w:hAnsi="Times New Roman" w:cs="Times New Roman" w:eastAsiaTheme="minorEastAsia"/>
                      <w:b/>
                      <w:bCs/>
                      <w:color w:val="auto"/>
                      <w:sz w:val="21"/>
                      <w:szCs w:val="21"/>
                      <w:highlight w:val="none"/>
                      <w:vertAlign w:val="baseline"/>
                      <w:lang w:val="en-US" w:eastAsia="zh-CN"/>
                    </w:rPr>
                    <w:t>检测项目</w:t>
                  </w:r>
                </w:p>
              </w:tc>
              <w:tc>
                <w:tcPr>
                  <w:tcW w:w="1005" w:type="dxa"/>
                  <w:vMerge w:val="restart"/>
                  <w:vAlign w:val="center"/>
                </w:tcPr>
                <w:p w14:paraId="28B02627">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r>
                    <w:rPr>
                      <w:rFonts w:hint="default" w:ascii="Times New Roman" w:hAnsi="Times New Roman" w:cs="Times New Roman" w:eastAsiaTheme="minorEastAsia"/>
                      <w:b/>
                      <w:bCs/>
                      <w:color w:val="auto"/>
                      <w:sz w:val="21"/>
                      <w:szCs w:val="21"/>
                      <w:highlight w:val="none"/>
                      <w:vertAlign w:val="baseline"/>
                      <w:lang w:val="en-US" w:eastAsia="zh-CN"/>
                    </w:rPr>
                    <w:t>频次</w:t>
                  </w:r>
                </w:p>
              </w:tc>
              <w:tc>
                <w:tcPr>
                  <w:tcW w:w="3674" w:type="dxa"/>
                  <w:gridSpan w:val="2"/>
                  <w:vAlign w:val="center"/>
                </w:tcPr>
                <w:p w14:paraId="526E73D6">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default" w:ascii="Times New Roman" w:hAnsi="Times New Roman" w:cs="Times New Roman" w:eastAsiaTheme="minorEastAsia"/>
                      <w:b/>
                      <w:bCs/>
                      <w:color w:val="auto"/>
                      <w:sz w:val="21"/>
                      <w:szCs w:val="21"/>
                      <w:highlight w:val="none"/>
                      <w:vertAlign w:val="baseline"/>
                      <w:lang w:val="en-US" w:eastAsia="zh-CN"/>
                    </w:rPr>
                    <w:t>检测结果</w:t>
                  </w:r>
                </w:p>
              </w:tc>
            </w:tr>
            <w:tr w14:paraId="7912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4E2ED624">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p>
              </w:tc>
              <w:tc>
                <w:tcPr>
                  <w:tcW w:w="1335" w:type="dxa"/>
                  <w:vMerge w:val="continue"/>
                  <w:vAlign w:val="center"/>
                </w:tcPr>
                <w:p w14:paraId="06852675">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p>
              </w:tc>
              <w:tc>
                <w:tcPr>
                  <w:tcW w:w="870" w:type="dxa"/>
                  <w:vMerge w:val="continue"/>
                  <w:vAlign w:val="center"/>
                </w:tcPr>
                <w:p w14:paraId="102BCEB5">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p>
              </w:tc>
              <w:tc>
                <w:tcPr>
                  <w:tcW w:w="1005" w:type="dxa"/>
                  <w:vMerge w:val="continue"/>
                  <w:vAlign w:val="center"/>
                </w:tcPr>
                <w:p w14:paraId="180D16DA">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kern w:val="2"/>
                      <w:sz w:val="21"/>
                      <w:szCs w:val="21"/>
                      <w:highlight w:val="none"/>
                      <w:vertAlign w:val="baseline"/>
                      <w:lang w:val="en-US" w:eastAsia="zh-CN" w:bidi="ar-SA"/>
                    </w:rPr>
                  </w:pPr>
                </w:p>
              </w:tc>
              <w:tc>
                <w:tcPr>
                  <w:tcW w:w="1976" w:type="dxa"/>
                  <w:vAlign w:val="center"/>
                </w:tcPr>
                <w:p w14:paraId="205CB4A8">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default" w:ascii="Times New Roman" w:hAnsi="Times New Roman" w:cs="Times New Roman" w:eastAsiaTheme="minorEastAsia"/>
                      <w:b/>
                      <w:bCs/>
                      <w:color w:val="auto"/>
                      <w:sz w:val="21"/>
                      <w:szCs w:val="21"/>
                      <w:highlight w:val="none"/>
                      <w:vertAlign w:val="baseline"/>
                      <w:lang w:val="en-US" w:eastAsia="zh-CN"/>
                    </w:rPr>
                    <w:t>实测浓度（</w:t>
                  </w:r>
                  <w:r>
                    <w:rPr>
                      <w:rFonts w:hint="default" w:ascii="Times New Roman" w:hAnsi="Times New Roman" w:cs="Times New Roman" w:eastAsiaTheme="minorEastAsia"/>
                      <w:b/>
                      <w:bCs/>
                      <w:color w:val="auto"/>
                      <w:sz w:val="21"/>
                      <w:szCs w:val="21"/>
                      <w:highlight w:val="none"/>
                    </w:rPr>
                    <w:t>mg/m</w:t>
                  </w:r>
                  <w:r>
                    <w:rPr>
                      <w:rFonts w:hint="default" w:ascii="Times New Roman" w:hAnsi="Times New Roman" w:cs="Times New Roman" w:eastAsiaTheme="minorEastAsia"/>
                      <w:b/>
                      <w:bCs/>
                      <w:color w:val="auto"/>
                      <w:sz w:val="21"/>
                      <w:szCs w:val="21"/>
                      <w:highlight w:val="none"/>
                      <w:vertAlign w:val="superscript"/>
                    </w:rPr>
                    <w:t>3</w:t>
                  </w:r>
                  <w:r>
                    <w:rPr>
                      <w:rFonts w:hint="default" w:ascii="Times New Roman" w:hAnsi="Times New Roman" w:cs="Times New Roman" w:eastAsiaTheme="minorEastAsia"/>
                      <w:b/>
                      <w:bCs/>
                      <w:color w:val="auto"/>
                      <w:sz w:val="21"/>
                      <w:szCs w:val="21"/>
                      <w:highlight w:val="none"/>
                      <w:vertAlign w:val="baseline"/>
                      <w:lang w:val="en-US" w:eastAsia="zh-CN"/>
                    </w:rPr>
                    <w:t>）</w:t>
                  </w:r>
                </w:p>
              </w:tc>
              <w:tc>
                <w:tcPr>
                  <w:tcW w:w="1698" w:type="dxa"/>
                  <w:vAlign w:val="center"/>
                </w:tcPr>
                <w:p w14:paraId="24481AB6">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b/>
                      <w:bCs/>
                      <w:color w:val="auto"/>
                      <w:sz w:val="21"/>
                      <w:szCs w:val="21"/>
                      <w:highlight w:val="none"/>
                      <w:vertAlign w:val="baseline"/>
                      <w:lang w:val="en-US" w:eastAsia="zh-CN"/>
                    </w:rPr>
                  </w:pPr>
                  <w:r>
                    <w:rPr>
                      <w:rFonts w:hint="default" w:ascii="Times New Roman" w:hAnsi="Times New Roman" w:cs="Times New Roman" w:eastAsiaTheme="minorEastAsia"/>
                      <w:b/>
                      <w:bCs/>
                      <w:color w:val="auto"/>
                      <w:sz w:val="21"/>
                      <w:szCs w:val="21"/>
                      <w:highlight w:val="none"/>
                      <w:vertAlign w:val="baseline"/>
                      <w:lang w:val="en-US" w:eastAsia="zh-CN"/>
                    </w:rPr>
                    <w:t>排放速率（</w:t>
                  </w:r>
                  <w:r>
                    <w:rPr>
                      <w:rFonts w:hint="default" w:ascii="Times New Roman" w:hAnsi="Times New Roman" w:cs="Times New Roman" w:eastAsiaTheme="minorEastAsia"/>
                      <w:b/>
                      <w:bCs/>
                      <w:color w:val="auto"/>
                      <w:sz w:val="21"/>
                      <w:szCs w:val="21"/>
                      <w:highlight w:val="none"/>
                    </w:rPr>
                    <w:t>kg/h</w:t>
                  </w:r>
                  <w:r>
                    <w:rPr>
                      <w:rFonts w:hint="default" w:ascii="Times New Roman" w:hAnsi="Times New Roman" w:cs="Times New Roman" w:eastAsiaTheme="minorEastAsia"/>
                      <w:b/>
                      <w:bCs/>
                      <w:color w:val="auto"/>
                      <w:sz w:val="21"/>
                      <w:szCs w:val="21"/>
                      <w:highlight w:val="none"/>
                      <w:vertAlign w:val="baseline"/>
                      <w:lang w:val="en-US" w:eastAsia="zh-CN"/>
                    </w:rPr>
                    <w:t>）</w:t>
                  </w:r>
                </w:p>
              </w:tc>
            </w:tr>
            <w:tr w14:paraId="456E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14:paraId="58F36146">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2019年12月19日</w:t>
                  </w:r>
                </w:p>
              </w:tc>
              <w:tc>
                <w:tcPr>
                  <w:tcW w:w="1335" w:type="dxa"/>
                  <w:vMerge w:val="restart"/>
                  <w:vAlign w:val="center"/>
                </w:tcPr>
                <w:p w14:paraId="7499417A">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进口</w:t>
                  </w:r>
                </w:p>
              </w:tc>
              <w:tc>
                <w:tcPr>
                  <w:tcW w:w="870" w:type="dxa"/>
                  <w:vMerge w:val="restart"/>
                  <w:vAlign w:val="center"/>
                </w:tcPr>
                <w:p w14:paraId="4F5CA074">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非甲烷总烃</w:t>
                  </w:r>
                </w:p>
              </w:tc>
              <w:tc>
                <w:tcPr>
                  <w:tcW w:w="1005" w:type="dxa"/>
                  <w:vAlign w:val="center"/>
                </w:tcPr>
                <w:p w14:paraId="21111AFE">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1</w:t>
                  </w:r>
                </w:p>
              </w:tc>
              <w:tc>
                <w:tcPr>
                  <w:tcW w:w="1976" w:type="dxa"/>
                  <w:vAlign w:val="center"/>
                </w:tcPr>
                <w:p w14:paraId="35FFCFE7">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3"/>
                      <w:sz w:val="21"/>
                      <w:szCs w:val="21"/>
                      <w:lang w:val="en-US" w:eastAsia="zh-CN"/>
                    </w:rPr>
                    <w:t>49.2</w:t>
                  </w:r>
                </w:p>
              </w:tc>
              <w:tc>
                <w:tcPr>
                  <w:tcW w:w="1698" w:type="dxa"/>
                  <w:vAlign w:val="center"/>
                </w:tcPr>
                <w:p w14:paraId="23C58C44">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4"/>
                      <w:sz w:val="21"/>
                      <w:szCs w:val="21"/>
                      <w:lang w:val="en-US" w:eastAsia="zh-CN"/>
                    </w:rPr>
                    <w:t>/</w:t>
                  </w:r>
                </w:p>
              </w:tc>
            </w:tr>
            <w:tr w14:paraId="66A9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579FB886">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2C1FE166">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6CF26D79">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31686F63">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2</w:t>
                  </w:r>
                </w:p>
              </w:tc>
              <w:tc>
                <w:tcPr>
                  <w:tcW w:w="1976" w:type="dxa"/>
                  <w:vAlign w:val="center"/>
                </w:tcPr>
                <w:p w14:paraId="4FE8CFBA">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4"/>
                      <w:sz w:val="21"/>
                      <w:szCs w:val="21"/>
                      <w:lang w:val="en-US" w:eastAsia="zh-CN"/>
                    </w:rPr>
                    <w:t>55.7</w:t>
                  </w:r>
                </w:p>
              </w:tc>
              <w:tc>
                <w:tcPr>
                  <w:tcW w:w="1698" w:type="dxa"/>
                  <w:vAlign w:val="center"/>
                </w:tcPr>
                <w:p w14:paraId="04ACC304">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7DB27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2143A1F8">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632AAFD9">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08FB9A3E">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2B2CA918">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3</w:t>
                  </w:r>
                </w:p>
              </w:tc>
              <w:tc>
                <w:tcPr>
                  <w:tcW w:w="1976" w:type="dxa"/>
                  <w:vAlign w:val="center"/>
                </w:tcPr>
                <w:p w14:paraId="583E10A3">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4"/>
                      <w:sz w:val="21"/>
                      <w:szCs w:val="21"/>
                      <w:lang w:val="en-US" w:eastAsia="zh-CN"/>
                    </w:rPr>
                    <w:t>50.3</w:t>
                  </w:r>
                </w:p>
              </w:tc>
              <w:tc>
                <w:tcPr>
                  <w:tcW w:w="1698" w:type="dxa"/>
                  <w:vAlign w:val="center"/>
                </w:tcPr>
                <w:p w14:paraId="74E99DBC">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071E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5E46536B">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restart"/>
                  <w:vAlign w:val="center"/>
                </w:tcPr>
                <w:p w14:paraId="12BDBC4F">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出口</w:t>
                  </w:r>
                </w:p>
              </w:tc>
              <w:tc>
                <w:tcPr>
                  <w:tcW w:w="870" w:type="dxa"/>
                  <w:vMerge w:val="restart"/>
                  <w:vAlign w:val="center"/>
                </w:tcPr>
                <w:p w14:paraId="7542D58B">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非甲烷总烃</w:t>
                  </w:r>
                </w:p>
              </w:tc>
              <w:tc>
                <w:tcPr>
                  <w:tcW w:w="1005" w:type="dxa"/>
                  <w:vAlign w:val="center"/>
                </w:tcPr>
                <w:p w14:paraId="73862936">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1</w:t>
                  </w:r>
                </w:p>
              </w:tc>
              <w:tc>
                <w:tcPr>
                  <w:tcW w:w="1976" w:type="dxa"/>
                  <w:vAlign w:val="center"/>
                </w:tcPr>
                <w:p w14:paraId="1C9EBF38">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3.68</w:t>
                  </w:r>
                </w:p>
              </w:tc>
              <w:tc>
                <w:tcPr>
                  <w:tcW w:w="1698" w:type="dxa"/>
                  <w:vAlign w:val="center"/>
                </w:tcPr>
                <w:p w14:paraId="2488B28F">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2FD2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71EE4954">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00EF1F04">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32A38831">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1CA4DF04">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2</w:t>
                  </w:r>
                </w:p>
              </w:tc>
              <w:tc>
                <w:tcPr>
                  <w:tcW w:w="1976" w:type="dxa"/>
                  <w:vAlign w:val="center"/>
                </w:tcPr>
                <w:p w14:paraId="44B0FE4D">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3"/>
                      <w:sz w:val="21"/>
                      <w:szCs w:val="21"/>
                      <w:lang w:val="en-US" w:eastAsia="zh-CN"/>
                    </w:rPr>
                    <w:t>3.45</w:t>
                  </w:r>
                </w:p>
              </w:tc>
              <w:tc>
                <w:tcPr>
                  <w:tcW w:w="1698" w:type="dxa"/>
                  <w:vAlign w:val="center"/>
                </w:tcPr>
                <w:p w14:paraId="2BCA5386">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0345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61617497">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52AD51DC">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4FF804C0">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25457967">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3</w:t>
                  </w:r>
                </w:p>
              </w:tc>
              <w:tc>
                <w:tcPr>
                  <w:tcW w:w="1976" w:type="dxa"/>
                  <w:vAlign w:val="center"/>
                </w:tcPr>
                <w:p w14:paraId="7B616A7B">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2"/>
                      <w:sz w:val="21"/>
                      <w:szCs w:val="21"/>
                      <w:lang w:val="en-US" w:eastAsia="zh-CN"/>
                    </w:rPr>
                    <w:t>4.05</w:t>
                  </w:r>
                </w:p>
              </w:tc>
              <w:tc>
                <w:tcPr>
                  <w:tcW w:w="1698" w:type="dxa"/>
                  <w:vAlign w:val="center"/>
                </w:tcPr>
                <w:p w14:paraId="7F326B83">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36A63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14:paraId="2A264305">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2019年12月20日</w:t>
                  </w:r>
                </w:p>
              </w:tc>
              <w:tc>
                <w:tcPr>
                  <w:tcW w:w="1335" w:type="dxa"/>
                  <w:vMerge w:val="restart"/>
                  <w:vAlign w:val="center"/>
                </w:tcPr>
                <w:p w14:paraId="122834A3">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进口</w:t>
                  </w:r>
                </w:p>
              </w:tc>
              <w:tc>
                <w:tcPr>
                  <w:tcW w:w="870" w:type="dxa"/>
                  <w:vMerge w:val="restart"/>
                  <w:vAlign w:val="center"/>
                </w:tcPr>
                <w:p w14:paraId="6FD4CCDA">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非甲烷总烃</w:t>
                  </w:r>
                </w:p>
              </w:tc>
              <w:tc>
                <w:tcPr>
                  <w:tcW w:w="1005" w:type="dxa"/>
                  <w:vAlign w:val="center"/>
                </w:tcPr>
                <w:p w14:paraId="3394BA46">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1</w:t>
                  </w:r>
                </w:p>
              </w:tc>
              <w:tc>
                <w:tcPr>
                  <w:tcW w:w="1976" w:type="dxa"/>
                  <w:vAlign w:val="center"/>
                </w:tcPr>
                <w:p w14:paraId="45F1E9B8">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48.0</w:t>
                  </w:r>
                </w:p>
              </w:tc>
              <w:tc>
                <w:tcPr>
                  <w:tcW w:w="1698" w:type="dxa"/>
                  <w:vAlign w:val="center"/>
                </w:tcPr>
                <w:p w14:paraId="21DA8C8F">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4449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554CCEEF">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5FE9E18A">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6F5E775B">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11CA11E0">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2</w:t>
                  </w:r>
                </w:p>
              </w:tc>
              <w:tc>
                <w:tcPr>
                  <w:tcW w:w="1976" w:type="dxa"/>
                  <w:vAlign w:val="center"/>
                </w:tcPr>
                <w:p w14:paraId="31D5A442">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4"/>
                      <w:sz w:val="21"/>
                      <w:szCs w:val="21"/>
                      <w:lang w:val="en-US" w:eastAsia="zh-CN"/>
                    </w:rPr>
                    <w:t>53.6</w:t>
                  </w:r>
                </w:p>
              </w:tc>
              <w:tc>
                <w:tcPr>
                  <w:tcW w:w="1698" w:type="dxa"/>
                  <w:vAlign w:val="center"/>
                </w:tcPr>
                <w:p w14:paraId="14D8A02B">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604F6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5656B1D4">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47AC29FD">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36B0815E">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2ED38D65">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3</w:t>
                  </w:r>
                </w:p>
              </w:tc>
              <w:tc>
                <w:tcPr>
                  <w:tcW w:w="1976" w:type="dxa"/>
                  <w:vAlign w:val="center"/>
                </w:tcPr>
                <w:p w14:paraId="5D693BF3">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3"/>
                      <w:sz w:val="21"/>
                      <w:szCs w:val="21"/>
                      <w:lang w:val="en-US" w:eastAsia="zh-CN"/>
                    </w:rPr>
                    <w:t>55.7</w:t>
                  </w:r>
                </w:p>
              </w:tc>
              <w:tc>
                <w:tcPr>
                  <w:tcW w:w="1698" w:type="dxa"/>
                  <w:vAlign w:val="center"/>
                </w:tcPr>
                <w:p w14:paraId="44D2FD96">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1E04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290FC909">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restart"/>
                  <w:vAlign w:val="center"/>
                </w:tcPr>
                <w:p w14:paraId="66C61B7C">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出口</w:t>
                  </w:r>
                </w:p>
              </w:tc>
              <w:tc>
                <w:tcPr>
                  <w:tcW w:w="870" w:type="dxa"/>
                  <w:vMerge w:val="restart"/>
                  <w:vAlign w:val="center"/>
                </w:tcPr>
                <w:p w14:paraId="220BC47A">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非甲烷总烃</w:t>
                  </w:r>
                </w:p>
              </w:tc>
              <w:tc>
                <w:tcPr>
                  <w:tcW w:w="1005" w:type="dxa"/>
                  <w:vAlign w:val="center"/>
                </w:tcPr>
                <w:p w14:paraId="22FF44A1">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1</w:t>
                  </w:r>
                </w:p>
              </w:tc>
              <w:tc>
                <w:tcPr>
                  <w:tcW w:w="1976" w:type="dxa"/>
                  <w:vAlign w:val="center"/>
                </w:tcPr>
                <w:p w14:paraId="4FF29F2E">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3"/>
                      <w:sz w:val="21"/>
                      <w:szCs w:val="21"/>
                      <w:lang w:val="en-US" w:eastAsia="zh-CN"/>
                    </w:rPr>
                    <w:t>4.22</w:t>
                  </w:r>
                </w:p>
              </w:tc>
              <w:tc>
                <w:tcPr>
                  <w:tcW w:w="1698" w:type="dxa"/>
                  <w:vAlign w:val="center"/>
                </w:tcPr>
                <w:p w14:paraId="09AE3D26">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6E047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749AFDF4">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2123E45E">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4E491BA9">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7C27F959">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2</w:t>
                  </w:r>
                </w:p>
              </w:tc>
              <w:tc>
                <w:tcPr>
                  <w:tcW w:w="1976" w:type="dxa"/>
                  <w:vAlign w:val="center"/>
                </w:tcPr>
                <w:p w14:paraId="5B953533">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3"/>
                      <w:sz w:val="21"/>
                      <w:szCs w:val="21"/>
                      <w:lang w:val="en-US" w:eastAsia="zh-CN"/>
                    </w:rPr>
                    <w:t>4.06</w:t>
                  </w:r>
                </w:p>
              </w:tc>
              <w:tc>
                <w:tcPr>
                  <w:tcW w:w="1698" w:type="dxa"/>
                  <w:vAlign w:val="center"/>
                </w:tcPr>
                <w:p w14:paraId="02C482C1">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4EFB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4F9ED231">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34310DAF">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2C7F522A">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7C28F5C7">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3</w:t>
                  </w:r>
                </w:p>
              </w:tc>
              <w:tc>
                <w:tcPr>
                  <w:tcW w:w="1976" w:type="dxa"/>
                  <w:vAlign w:val="center"/>
                </w:tcPr>
                <w:p w14:paraId="3D957DD6">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3"/>
                      <w:sz w:val="21"/>
                      <w:szCs w:val="21"/>
                      <w:lang w:val="en-US" w:eastAsia="zh-CN"/>
                    </w:rPr>
                    <w:t>4.19</w:t>
                  </w:r>
                </w:p>
              </w:tc>
              <w:tc>
                <w:tcPr>
                  <w:tcW w:w="1698" w:type="dxa"/>
                  <w:vAlign w:val="center"/>
                </w:tcPr>
                <w:p w14:paraId="2A5786A8">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sz w:val="21"/>
                      <w:szCs w:val="21"/>
                      <w:lang w:val="en-US" w:eastAsia="zh-CN"/>
                    </w:rPr>
                  </w:pPr>
                  <w:r>
                    <w:rPr>
                      <w:rFonts w:hint="default" w:ascii="Times New Roman" w:hAnsi="Times New Roman" w:cs="Times New Roman" w:eastAsiaTheme="minorEastAsia"/>
                      <w:color w:val="auto"/>
                      <w:spacing w:val="-4"/>
                      <w:sz w:val="21"/>
                      <w:szCs w:val="21"/>
                      <w:lang w:val="en-US" w:eastAsia="zh-CN"/>
                    </w:rPr>
                    <w:t>/</w:t>
                  </w:r>
                </w:p>
              </w:tc>
            </w:tr>
            <w:tr w14:paraId="514FD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shd w:val="clear" w:color="auto" w:fill="auto"/>
                  <w:vAlign w:val="center"/>
                </w:tcPr>
                <w:p w14:paraId="1296B141">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2019年12月19日</w:t>
                  </w:r>
                </w:p>
              </w:tc>
              <w:tc>
                <w:tcPr>
                  <w:tcW w:w="1335" w:type="dxa"/>
                  <w:vMerge w:val="restart"/>
                  <w:shd w:val="clear" w:color="auto" w:fill="auto"/>
                  <w:vAlign w:val="center"/>
                </w:tcPr>
                <w:p w14:paraId="3CCC194D">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出口</w:t>
                  </w:r>
                </w:p>
              </w:tc>
              <w:tc>
                <w:tcPr>
                  <w:tcW w:w="870" w:type="dxa"/>
                  <w:vMerge w:val="restart"/>
                  <w:vAlign w:val="center"/>
                </w:tcPr>
                <w:p w14:paraId="68A9874D">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甲苯</w:t>
                  </w:r>
                </w:p>
              </w:tc>
              <w:tc>
                <w:tcPr>
                  <w:tcW w:w="1005" w:type="dxa"/>
                  <w:vAlign w:val="center"/>
                </w:tcPr>
                <w:p w14:paraId="7501F4F0">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1</w:t>
                  </w:r>
                </w:p>
              </w:tc>
              <w:tc>
                <w:tcPr>
                  <w:tcW w:w="1976" w:type="dxa"/>
                  <w:vAlign w:val="center"/>
                </w:tcPr>
                <w:p w14:paraId="5659AEDC">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0.0476</w:t>
                  </w:r>
                </w:p>
              </w:tc>
              <w:tc>
                <w:tcPr>
                  <w:tcW w:w="1698" w:type="dxa"/>
                  <w:vAlign w:val="center"/>
                </w:tcPr>
                <w:p w14:paraId="718B81CE">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position w:val="1"/>
                      <w:sz w:val="21"/>
                      <w:szCs w:val="21"/>
                      <w:lang w:val="en-US" w:eastAsia="zh-CN"/>
                    </w:rPr>
                  </w:pPr>
                  <w:r>
                    <w:rPr>
                      <w:rFonts w:hint="default" w:ascii="Times New Roman" w:hAnsi="Times New Roman" w:cs="Times New Roman" w:eastAsiaTheme="minorEastAsia"/>
                      <w:color w:val="auto"/>
                      <w:spacing w:val="-4"/>
                      <w:position w:val="1"/>
                      <w:sz w:val="21"/>
                      <w:szCs w:val="21"/>
                      <w:lang w:val="en-US" w:eastAsia="zh-CN"/>
                    </w:rPr>
                    <w:t>3.1×10</w:t>
                  </w:r>
                  <w:r>
                    <w:rPr>
                      <w:rFonts w:hint="default" w:ascii="Times New Roman" w:hAnsi="Times New Roman" w:cs="Times New Roman" w:eastAsiaTheme="minorEastAsia"/>
                      <w:color w:val="auto"/>
                      <w:spacing w:val="-4"/>
                      <w:position w:val="1"/>
                      <w:sz w:val="21"/>
                      <w:szCs w:val="21"/>
                      <w:vertAlign w:val="superscript"/>
                      <w:lang w:val="en-US" w:eastAsia="zh-CN"/>
                    </w:rPr>
                    <w:t>-4</w:t>
                  </w:r>
                </w:p>
              </w:tc>
            </w:tr>
            <w:tr w14:paraId="3FFC7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45D76506">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2D1A3DEB">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17B81537">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2B1BC9AF">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2</w:t>
                  </w:r>
                </w:p>
              </w:tc>
              <w:tc>
                <w:tcPr>
                  <w:tcW w:w="1976" w:type="dxa"/>
                  <w:vAlign w:val="center"/>
                </w:tcPr>
                <w:p w14:paraId="28CF8D1C">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0.0521</w:t>
                  </w:r>
                </w:p>
              </w:tc>
              <w:tc>
                <w:tcPr>
                  <w:tcW w:w="1698" w:type="dxa"/>
                  <w:vAlign w:val="center"/>
                </w:tcPr>
                <w:p w14:paraId="337D2057">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position w:val="1"/>
                      <w:sz w:val="21"/>
                      <w:szCs w:val="21"/>
                      <w:lang w:val="en-US" w:eastAsia="zh-CN"/>
                    </w:rPr>
                  </w:pPr>
                  <w:r>
                    <w:rPr>
                      <w:rFonts w:hint="default" w:ascii="Times New Roman" w:hAnsi="Times New Roman" w:cs="Times New Roman" w:eastAsiaTheme="minorEastAsia"/>
                      <w:color w:val="auto"/>
                      <w:spacing w:val="-4"/>
                      <w:position w:val="1"/>
                      <w:sz w:val="21"/>
                      <w:szCs w:val="21"/>
                      <w:lang w:val="en-US" w:eastAsia="zh-CN"/>
                    </w:rPr>
                    <w:t>3.5×10</w:t>
                  </w:r>
                  <w:r>
                    <w:rPr>
                      <w:rFonts w:hint="default" w:ascii="Times New Roman" w:hAnsi="Times New Roman" w:cs="Times New Roman" w:eastAsiaTheme="minorEastAsia"/>
                      <w:color w:val="auto"/>
                      <w:spacing w:val="-4"/>
                      <w:position w:val="1"/>
                      <w:sz w:val="21"/>
                      <w:szCs w:val="21"/>
                      <w:vertAlign w:val="superscript"/>
                      <w:lang w:val="en-US" w:eastAsia="zh-CN"/>
                    </w:rPr>
                    <w:t>-4</w:t>
                  </w:r>
                </w:p>
              </w:tc>
            </w:tr>
            <w:tr w14:paraId="3C76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962" w:type="dxa"/>
                  <w:vMerge w:val="continue"/>
                  <w:vAlign w:val="center"/>
                </w:tcPr>
                <w:p w14:paraId="7335AD54">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38EAF7BF">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71698F75">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vAlign w:val="center"/>
                </w:tcPr>
                <w:p w14:paraId="6F8CAFEB">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3</w:t>
                  </w:r>
                </w:p>
              </w:tc>
              <w:tc>
                <w:tcPr>
                  <w:tcW w:w="1976" w:type="dxa"/>
                  <w:vAlign w:val="center"/>
                </w:tcPr>
                <w:p w14:paraId="49208EDE">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0.0445</w:t>
                  </w:r>
                </w:p>
              </w:tc>
              <w:tc>
                <w:tcPr>
                  <w:tcW w:w="1698" w:type="dxa"/>
                  <w:vAlign w:val="center"/>
                </w:tcPr>
                <w:p w14:paraId="41FD4D98">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position w:val="1"/>
                      <w:sz w:val="21"/>
                      <w:szCs w:val="21"/>
                      <w:lang w:val="en-US" w:eastAsia="zh-CN"/>
                    </w:rPr>
                  </w:pPr>
                  <w:r>
                    <w:rPr>
                      <w:rFonts w:hint="default" w:ascii="Times New Roman" w:hAnsi="Times New Roman" w:cs="Times New Roman" w:eastAsiaTheme="minorEastAsia"/>
                      <w:color w:val="auto"/>
                      <w:spacing w:val="-4"/>
                      <w:position w:val="1"/>
                      <w:sz w:val="21"/>
                      <w:szCs w:val="21"/>
                      <w:lang w:val="en-US" w:eastAsia="zh-CN"/>
                    </w:rPr>
                    <w:t>2.96×10</w:t>
                  </w:r>
                  <w:r>
                    <w:rPr>
                      <w:rFonts w:hint="default" w:ascii="Times New Roman" w:hAnsi="Times New Roman" w:cs="Times New Roman" w:eastAsiaTheme="minorEastAsia"/>
                      <w:color w:val="auto"/>
                      <w:spacing w:val="-4"/>
                      <w:position w:val="1"/>
                      <w:sz w:val="21"/>
                      <w:szCs w:val="21"/>
                      <w:vertAlign w:val="superscript"/>
                      <w:lang w:val="en-US" w:eastAsia="zh-CN"/>
                    </w:rPr>
                    <w:t>-4</w:t>
                  </w:r>
                </w:p>
              </w:tc>
            </w:tr>
            <w:tr w14:paraId="543E0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restart"/>
                  <w:vAlign w:val="center"/>
                </w:tcPr>
                <w:p w14:paraId="10E1C36D">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2019年12月20日</w:t>
                  </w:r>
                </w:p>
              </w:tc>
              <w:tc>
                <w:tcPr>
                  <w:tcW w:w="1335" w:type="dxa"/>
                  <w:vMerge w:val="restart"/>
                  <w:shd w:val="clear" w:color="auto" w:fill="auto"/>
                  <w:vAlign w:val="center"/>
                </w:tcPr>
                <w:p w14:paraId="33BF3E76">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出口</w:t>
                  </w:r>
                </w:p>
              </w:tc>
              <w:tc>
                <w:tcPr>
                  <w:tcW w:w="870" w:type="dxa"/>
                  <w:vMerge w:val="restart"/>
                  <w:vAlign w:val="center"/>
                </w:tcPr>
                <w:p w14:paraId="7F30DBE5">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r>
                    <w:rPr>
                      <w:rFonts w:hint="default" w:ascii="Times New Roman" w:hAnsi="Times New Roman" w:cs="Times New Roman" w:eastAsiaTheme="minorEastAsia"/>
                      <w:color w:val="auto"/>
                      <w:sz w:val="21"/>
                      <w:szCs w:val="21"/>
                      <w:highlight w:val="none"/>
                      <w:vertAlign w:val="baseline"/>
                      <w:lang w:val="en-US" w:eastAsia="zh-CN"/>
                    </w:rPr>
                    <w:t>甲苯</w:t>
                  </w:r>
                </w:p>
              </w:tc>
              <w:tc>
                <w:tcPr>
                  <w:tcW w:w="1005" w:type="dxa"/>
                  <w:shd w:val="clear" w:color="auto" w:fill="auto"/>
                  <w:vAlign w:val="center"/>
                </w:tcPr>
                <w:p w14:paraId="35B9DAAA">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1</w:t>
                  </w:r>
                </w:p>
              </w:tc>
              <w:tc>
                <w:tcPr>
                  <w:tcW w:w="1976" w:type="dxa"/>
                  <w:vAlign w:val="center"/>
                </w:tcPr>
                <w:p w14:paraId="559A0667">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0.0332</w:t>
                  </w:r>
                </w:p>
              </w:tc>
              <w:tc>
                <w:tcPr>
                  <w:tcW w:w="1698" w:type="dxa"/>
                  <w:vAlign w:val="center"/>
                </w:tcPr>
                <w:p w14:paraId="4E088B55">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position w:val="1"/>
                      <w:sz w:val="21"/>
                      <w:szCs w:val="21"/>
                      <w:lang w:val="en-US" w:eastAsia="zh-CN"/>
                    </w:rPr>
                  </w:pPr>
                  <w:r>
                    <w:rPr>
                      <w:rFonts w:hint="default" w:ascii="Times New Roman" w:hAnsi="Times New Roman" w:cs="Times New Roman" w:eastAsiaTheme="minorEastAsia"/>
                      <w:color w:val="auto"/>
                      <w:spacing w:val="-4"/>
                      <w:position w:val="1"/>
                      <w:sz w:val="21"/>
                      <w:szCs w:val="21"/>
                      <w:lang w:val="en-US" w:eastAsia="zh-CN"/>
                    </w:rPr>
                    <w:t>2.28×10</w:t>
                  </w:r>
                  <w:r>
                    <w:rPr>
                      <w:rFonts w:hint="default" w:ascii="Times New Roman" w:hAnsi="Times New Roman" w:cs="Times New Roman" w:eastAsiaTheme="minorEastAsia"/>
                      <w:color w:val="auto"/>
                      <w:spacing w:val="-4"/>
                      <w:position w:val="1"/>
                      <w:sz w:val="21"/>
                      <w:szCs w:val="21"/>
                      <w:vertAlign w:val="superscript"/>
                      <w:lang w:val="en-US" w:eastAsia="zh-CN"/>
                    </w:rPr>
                    <w:t>-4</w:t>
                  </w:r>
                </w:p>
              </w:tc>
            </w:tr>
            <w:tr w14:paraId="1AC7D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1EEEC182">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5B8F23B3">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1202310A">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shd w:val="clear" w:color="auto" w:fill="auto"/>
                  <w:vAlign w:val="center"/>
                </w:tcPr>
                <w:p w14:paraId="591ED93D">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2</w:t>
                  </w:r>
                </w:p>
              </w:tc>
              <w:tc>
                <w:tcPr>
                  <w:tcW w:w="1976" w:type="dxa"/>
                  <w:vAlign w:val="center"/>
                </w:tcPr>
                <w:p w14:paraId="522DFED1">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0.0348</w:t>
                  </w:r>
                </w:p>
              </w:tc>
              <w:tc>
                <w:tcPr>
                  <w:tcW w:w="1698" w:type="dxa"/>
                  <w:vAlign w:val="center"/>
                </w:tcPr>
                <w:p w14:paraId="5DCF3E51">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position w:val="1"/>
                      <w:sz w:val="21"/>
                      <w:szCs w:val="21"/>
                      <w:lang w:val="en-US" w:eastAsia="zh-CN"/>
                    </w:rPr>
                  </w:pPr>
                  <w:r>
                    <w:rPr>
                      <w:rFonts w:hint="default" w:ascii="Times New Roman" w:hAnsi="Times New Roman" w:cs="Times New Roman" w:eastAsiaTheme="minorEastAsia"/>
                      <w:color w:val="auto"/>
                      <w:spacing w:val="-4"/>
                      <w:position w:val="1"/>
                      <w:sz w:val="21"/>
                      <w:szCs w:val="21"/>
                      <w:lang w:val="en-US" w:eastAsia="zh-CN"/>
                    </w:rPr>
                    <w:t>2.37×10</w:t>
                  </w:r>
                  <w:r>
                    <w:rPr>
                      <w:rFonts w:hint="default" w:ascii="Times New Roman" w:hAnsi="Times New Roman" w:cs="Times New Roman" w:eastAsiaTheme="minorEastAsia"/>
                      <w:color w:val="auto"/>
                      <w:spacing w:val="-4"/>
                      <w:position w:val="1"/>
                      <w:sz w:val="21"/>
                      <w:szCs w:val="21"/>
                      <w:vertAlign w:val="superscript"/>
                      <w:lang w:val="en-US" w:eastAsia="zh-CN"/>
                    </w:rPr>
                    <w:t>-4</w:t>
                  </w:r>
                </w:p>
              </w:tc>
            </w:tr>
            <w:tr w14:paraId="2470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 w:type="dxa"/>
                  <w:vMerge w:val="continue"/>
                  <w:vAlign w:val="center"/>
                </w:tcPr>
                <w:p w14:paraId="183D7988">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335" w:type="dxa"/>
                  <w:vMerge w:val="continue"/>
                  <w:vAlign w:val="center"/>
                </w:tcPr>
                <w:p w14:paraId="366260DB">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870" w:type="dxa"/>
                  <w:vMerge w:val="continue"/>
                  <w:vAlign w:val="center"/>
                </w:tcPr>
                <w:p w14:paraId="45B9C8F1">
                  <w:pPr>
                    <w:pStyle w:val="92"/>
                    <w:keepNext w:val="0"/>
                    <w:keepLines/>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cs="Times New Roman" w:eastAsiaTheme="minorEastAsia"/>
                      <w:color w:val="auto"/>
                      <w:sz w:val="21"/>
                      <w:szCs w:val="21"/>
                      <w:highlight w:val="none"/>
                      <w:vertAlign w:val="baseline"/>
                      <w:lang w:val="en-US" w:eastAsia="zh-CN"/>
                    </w:rPr>
                  </w:pPr>
                </w:p>
              </w:tc>
              <w:tc>
                <w:tcPr>
                  <w:tcW w:w="1005" w:type="dxa"/>
                  <w:shd w:val="clear" w:color="auto" w:fill="auto"/>
                  <w:vAlign w:val="center"/>
                </w:tcPr>
                <w:p w14:paraId="408BEF6A">
                  <w:pPr>
                    <w:pStyle w:val="92"/>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highlight w:val="none"/>
                      <w:vertAlign w:val="baseline"/>
                      <w:lang w:val="en-US" w:eastAsia="zh-CN" w:bidi="ar-SA"/>
                    </w:rPr>
                  </w:pPr>
                  <w:r>
                    <w:rPr>
                      <w:rFonts w:hint="default" w:ascii="Times New Roman" w:hAnsi="Times New Roman" w:cs="Times New Roman" w:eastAsiaTheme="minorEastAsia"/>
                      <w:color w:val="auto"/>
                      <w:sz w:val="21"/>
                      <w:szCs w:val="21"/>
                      <w:highlight w:val="none"/>
                      <w:vertAlign w:val="baseline"/>
                      <w:lang w:val="en-US" w:eastAsia="zh-CN"/>
                    </w:rPr>
                    <w:t>3</w:t>
                  </w:r>
                </w:p>
              </w:tc>
              <w:tc>
                <w:tcPr>
                  <w:tcW w:w="1976" w:type="dxa"/>
                  <w:vAlign w:val="center"/>
                </w:tcPr>
                <w:p w14:paraId="498647BC">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3"/>
                      <w:sz w:val="21"/>
                      <w:szCs w:val="21"/>
                      <w:lang w:val="en-US" w:eastAsia="zh-CN"/>
                    </w:rPr>
                  </w:pPr>
                  <w:r>
                    <w:rPr>
                      <w:rFonts w:hint="default" w:ascii="Times New Roman" w:hAnsi="Times New Roman" w:cs="Times New Roman" w:eastAsiaTheme="minorEastAsia"/>
                      <w:color w:val="auto"/>
                      <w:spacing w:val="-3"/>
                      <w:sz w:val="21"/>
                      <w:szCs w:val="21"/>
                      <w:lang w:val="en-US" w:eastAsia="zh-CN"/>
                    </w:rPr>
                    <w:t>0.0306</w:t>
                  </w:r>
                </w:p>
              </w:tc>
              <w:tc>
                <w:tcPr>
                  <w:tcW w:w="1698" w:type="dxa"/>
                  <w:vAlign w:val="center"/>
                </w:tcPr>
                <w:p w14:paraId="2C048644">
                  <w:pPr>
                    <w:keepNext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color w:val="auto"/>
                      <w:spacing w:val="-4"/>
                      <w:position w:val="1"/>
                      <w:sz w:val="21"/>
                      <w:szCs w:val="21"/>
                      <w:lang w:val="en-US" w:eastAsia="zh-CN"/>
                    </w:rPr>
                  </w:pPr>
                  <w:r>
                    <w:rPr>
                      <w:rFonts w:hint="default" w:ascii="Times New Roman" w:hAnsi="Times New Roman" w:cs="Times New Roman" w:eastAsiaTheme="minorEastAsia"/>
                      <w:color w:val="auto"/>
                      <w:spacing w:val="-4"/>
                      <w:position w:val="1"/>
                      <w:sz w:val="21"/>
                      <w:szCs w:val="21"/>
                      <w:lang w:val="en-US" w:eastAsia="zh-CN"/>
                    </w:rPr>
                    <w:t>2.11×10</w:t>
                  </w:r>
                  <w:r>
                    <w:rPr>
                      <w:rFonts w:hint="default" w:ascii="Times New Roman" w:hAnsi="Times New Roman" w:cs="Times New Roman" w:eastAsiaTheme="minorEastAsia"/>
                      <w:color w:val="auto"/>
                      <w:spacing w:val="-4"/>
                      <w:position w:val="1"/>
                      <w:sz w:val="21"/>
                      <w:szCs w:val="21"/>
                      <w:vertAlign w:val="superscript"/>
                      <w:lang w:val="en-US" w:eastAsia="zh-CN"/>
                    </w:rPr>
                    <w:t>-4</w:t>
                  </w:r>
                </w:p>
              </w:tc>
            </w:tr>
          </w:tbl>
          <w:p w14:paraId="4FFFED60">
            <w:pPr>
              <w:pStyle w:val="92"/>
              <w:keepNext w:val="0"/>
              <w:keepLines/>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通过上表可知（按最大浓度进行核算），发泡工段有机废气（活性炭吸附+</w:t>
            </w:r>
            <w:r>
              <w:rPr>
                <w:rFonts w:hint="default" w:ascii="Times New Roman" w:hAnsi="Times New Roman" w:cs="Times New Roman" w:eastAsiaTheme="minorEastAsia"/>
                <w:b w:val="0"/>
                <w:bCs w:val="0"/>
                <w:color w:val="auto"/>
                <w:kern w:val="2"/>
                <w:sz w:val="24"/>
                <w:szCs w:val="24"/>
                <w:lang w:val="en-US" w:eastAsia="zh-CN" w:bidi="ar-SA"/>
              </w:rPr>
              <w:t>UV</w:t>
            </w:r>
            <w:r>
              <w:rPr>
                <w:rFonts w:hint="eastAsia" w:ascii="Times New Roman" w:hAnsi="Times New Roman" w:cs="Times New Roman" w:eastAsiaTheme="minorEastAsia"/>
                <w:b w:val="0"/>
                <w:bCs w:val="0"/>
                <w:color w:val="auto"/>
                <w:kern w:val="2"/>
                <w:sz w:val="24"/>
                <w:szCs w:val="24"/>
                <w:lang w:val="en-US" w:eastAsia="zh-CN" w:bidi="ar-SA"/>
              </w:rPr>
              <w:t>光氧）的处理效率为（55.7-4.19）</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55.7=92.5%，根据</w:t>
            </w:r>
            <w:r>
              <w:rPr>
                <w:rFonts w:hint="default" w:ascii="Times New Roman" w:hAnsi="Times New Roman" w:cs="Times New Roman" w:eastAsiaTheme="minorEastAsia"/>
                <w:b w:val="0"/>
                <w:bCs w:val="0"/>
                <w:color w:val="auto"/>
                <w:kern w:val="2"/>
                <w:sz w:val="24"/>
                <w:szCs w:val="24"/>
                <w:lang w:val="en-US" w:eastAsia="zh-CN" w:bidi="ar-SA"/>
              </w:rPr>
              <w:t>《排放源统计调查产排污核实方法和系数手册》中《292塑料制品行业技术手册》2924泡沫塑料制造行业系数表中推荐的</w:t>
            </w:r>
            <w:r>
              <w:rPr>
                <w:rFonts w:hint="eastAsia" w:ascii="Times New Roman" w:hAnsi="Times New Roman" w:cs="Times New Roman" w:eastAsiaTheme="minorEastAsia"/>
                <w:b w:val="0"/>
                <w:bCs w:val="0"/>
                <w:color w:val="auto"/>
                <w:kern w:val="2"/>
                <w:sz w:val="24"/>
                <w:szCs w:val="24"/>
                <w:lang w:val="en-US" w:eastAsia="zh-CN" w:bidi="ar-SA"/>
              </w:rPr>
              <w:t>处理效率，活性炭处理效率略高于</w:t>
            </w:r>
            <w:r>
              <w:rPr>
                <w:rFonts w:hint="default" w:ascii="Times New Roman" w:hAnsi="Times New Roman" w:cs="Times New Roman" w:eastAsiaTheme="minorEastAsia"/>
                <w:b w:val="0"/>
                <w:bCs w:val="0"/>
                <w:color w:val="auto"/>
                <w:kern w:val="2"/>
                <w:sz w:val="24"/>
                <w:szCs w:val="24"/>
                <w:lang w:val="en-US" w:eastAsia="zh-CN" w:bidi="ar-SA"/>
              </w:rPr>
              <w:t>UV</w:t>
            </w:r>
            <w:r>
              <w:rPr>
                <w:rFonts w:hint="eastAsia" w:ascii="Times New Roman" w:hAnsi="Times New Roman" w:cs="Times New Roman" w:eastAsiaTheme="minorEastAsia"/>
                <w:b w:val="0"/>
                <w:bCs w:val="0"/>
                <w:color w:val="auto"/>
                <w:kern w:val="2"/>
                <w:sz w:val="24"/>
                <w:szCs w:val="24"/>
                <w:lang w:val="en-US" w:eastAsia="zh-CN" w:bidi="ar-SA"/>
              </w:rPr>
              <w:t>光氧，故本项目采用的两级活性炭处理效率可以达到92.5%，本次评价考虑活性炭吸附装置之间的差异问题，故</w:t>
            </w:r>
            <w:r>
              <w:rPr>
                <w:rFonts w:hint="default" w:ascii="Times New Roman" w:hAnsi="Times New Roman" w:cs="Times New Roman" w:eastAsiaTheme="minorEastAsia"/>
                <w:b w:val="0"/>
                <w:bCs w:val="0"/>
                <w:color w:val="auto"/>
                <w:kern w:val="2"/>
                <w:sz w:val="24"/>
                <w:szCs w:val="24"/>
                <w:lang w:val="en-US" w:eastAsia="zh-CN" w:bidi="ar-SA"/>
              </w:rPr>
              <w:t>本次评价活性炭吸附装置</w:t>
            </w:r>
            <w:r>
              <w:rPr>
                <w:rFonts w:hint="eastAsia" w:ascii="Times New Roman" w:hAnsi="Times New Roman" w:cs="Times New Roman" w:eastAsiaTheme="minorEastAsia"/>
                <w:b w:val="0"/>
                <w:bCs w:val="0"/>
                <w:color w:val="auto"/>
                <w:kern w:val="2"/>
                <w:sz w:val="24"/>
                <w:szCs w:val="24"/>
                <w:lang w:val="en-US" w:eastAsia="zh-CN" w:bidi="ar-SA"/>
              </w:rPr>
              <w:t>（两级活性炭）</w:t>
            </w:r>
            <w:r>
              <w:rPr>
                <w:rFonts w:hint="default" w:ascii="Times New Roman" w:hAnsi="Times New Roman" w:cs="Times New Roman" w:eastAsiaTheme="minorEastAsia"/>
                <w:b w:val="0"/>
                <w:bCs w:val="0"/>
                <w:color w:val="auto"/>
                <w:kern w:val="2"/>
                <w:sz w:val="24"/>
                <w:szCs w:val="24"/>
                <w:lang w:val="en-US" w:eastAsia="zh-CN" w:bidi="ar-SA"/>
              </w:rPr>
              <w:t>去除效率按</w:t>
            </w:r>
            <w:r>
              <w:rPr>
                <w:rFonts w:hint="eastAsia" w:ascii="Times New Roman" w:hAnsi="Times New Roman" w:cs="Times New Roman" w:eastAsiaTheme="minorEastAsia"/>
                <w:b w:val="0"/>
                <w:bCs w:val="0"/>
                <w:color w:val="auto"/>
                <w:kern w:val="2"/>
                <w:sz w:val="24"/>
                <w:szCs w:val="24"/>
                <w:lang w:val="en-US" w:eastAsia="zh-CN" w:bidi="ar-SA"/>
              </w:rPr>
              <w:t>75</w:t>
            </w:r>
            <w:r>
              <w:rPr>
                <w:rFonts w:hint="default" w:ascii="Times New Roman" w:hAnsi="Times New Roman" w:cs="Times New Roman" w:eastAsiaTheme="minorEastAsia"/>
                <w:b w:val="0"/>
                <w:bCs w:val="0"/>
                <w:color w:val="auto"/>
                <w:kern w:val="2"/>
                <w:sz w:val="24"/>
                <w:szCs w:val="24"/>
                <w:lang w:val="en-US" w:eastAsia="zh-CN" w:bidi="ar-SA"/>
              </w:rPr>
              <w:t>%计</w:t>
            </w:r>
            <w:r>
              <w:rPr>
                <w:rFonts w:hint="eastAsia" w:ascii="Times New Roman" w:hAnsi="Times New Roman" w:cs="Times New Roman" w:eastAsiaTheme="minorEastAsia"/>
                <w:b w:val="0"/>
                <w:bCs w:val="0"/>
                <w:color w:val="auto"/>
                <w:kern w:val="2"/>
                <w:sz w:val="24"/>
                <w:szCs w:val="24"/>
                <w:lang w:val="en-US" w:eastAsia="zh-CN" w:bidi="ar-SA"/>
              </w:rPr>
              <w:t>。</w:t>
            </w:r>
          </w:p>
          <w:p w14:paraId="26792DA5">
            <w:pPr>
              <w:keepNext w:val="0"/>
              <w:keepLines/>
              <w:pageBreakBefore w:val="0"/>
              <w:widowControl w:val="0"/>
              <w:kinsoku/>
              <w:wordWrap/>
              <w:overflowPunct/>
              <w:topLinePunct w:val="0"/>
              <w:autoSpaceDE/>
              <w:autoSpaceDN/>
              <w:bidi w:val="0"/>
              <w:adjustRightInd/>
              <w:snapToGrid/>
              <w:ind w:firstLine="480"/>
              <w:textAlignment w:val="auto"/>
              <w:rPr>
                <w:rFonts w:hint="default" w:cs="Times New Roman"/>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根据上表可知，甲苯的排放浓度为0.0521</w:t>
            </w:r>
            <w:r>
              <w:rPr>
                <w:rFonts w:hint="default" w:ascii="Times New Roman" w:hAnsi="Times New Roman" w:cs="Times New Roman" w:eastAsiaTheme="minorEastAsia"/>
                <w:b w:val="0"/>
                <w:bCs w:val="0"/>
                <w:color w:val="auto"/>
                <w:sz w:val="24"/>
                <w:szCs w:val="24"/>
                <w:highlight w:val="none"/>
              </w:rPr>
              <w:t>mg/m</w:t>
            </w:r>
            <w:r>
              <w:rPr>
                <w:rFonts w:hint="default" w:ascii="Times New Roman" w:hAnsi="Times New Roman" w:cs="Times New Roman" w:eastAsiaTheme="minorEastAsia"/>
                <w:b w:val="0"/>
                <w:bCs w:val="0"/>
                <w:color w:val="auto"/>
                <w:sz w:val="24"/>
                <w:szCs w:val="24"/>
                <w:highlight w:val="none"/>
                <w:vertAlign w:val="superscript"/>
              </w:rPr>
              <w:t>3</w:t>
            </w:r>
            <w:r>
              <w:rPr>
                <w:rFonts w:hint="default" w:ascii="Times New Roman" w:hAnsi="Times New Roman" w:cs="Times New Roman" w:eastAsiaTheme="minorEastAsia"/>
                <w:b w:val="0"/>
                <w:bCs w:val="0"/>
                <w:color w:val="auto"/>
                <w:sz w:val="24"/>
                <w:szCs w:val="24"/>
                <w:lang w:val="en-US" w:eastAsia="zh-CN"/>
              </w:rPr>
              <w:t>（按最大浓度核算），排放速率为</w:t>
            </w:r>
            <w:r>
              <w:rPr>
                <w:rFonts w:hint="default" w:ascii="Times New Roman" w:hAnsi="Times New Roman" w:cs="Times New Roman" w:eastAsiaTheme="minorEastAsia"/>
                <w:b w:val="0"/>
                <w:bCs w:val="0"/>
                <w:color w:val="auto"/>
                <w:spacing w:val="-4"/>
                <w:position w:val="1"/>
                <w:sz w:val="24"/>
                <w:szCs w:val="24"/>
                <w:lang w:val="en-US" w:eastAsia="zh-CN"/>
              </w:rPr>
              <w:t>3.5×10</w:t>
            </w:r>
            <w:r>
              <w:rPr>
                <w:rFonts w:hint="default" w:ascii="Times New Roman" w:hAnsi="Times New Roman" w:cs="Times New Roman" w:eastAsiaTheme="minorEastAsia"/>
                <w:b w:val="0"/>
                <w:bCs w:val="0"/>
                <w:color w:val="auto"/>
                <w:spacing w:val="-4"/>
                <w:position w:val="1"/>
                <w:sz w:val="24"/>
                <w:szCs w:val="24"/>
                <w:vertAlign w:val="superscript"/>
                <w:lang w:val="en-US" w:eastAsia="zh-CN"/>
              </w:rPr>
              <w:t>-4</w:t>
            </w:r>
            <w:r>
              <w:rPr>
                <w:rFonts w:hint="default" w:ascii="Times New Roman" w:hAnsi="Times New Roman" w:cs="Times New Roman" w:eastAsiaTheme="minorEastAsia"/>
                <w:b w:val="0"/>
                <w:bCs w:val="0"/>
                <w:color w:val="auto"/>
                <w:sz w:val="24"/>
                <w:szCs w:val="24"/>
                <w:highlight w:val="none"/>
              </w:rPr>
              <w:t>kg/h</w:t>
            </w:r>
            <w:r>
              <w:rPr>
                <w:rFonts w:hint="default" w:ascii="Times New Roman" w:hAnsi="Times New Roman" w:cs="Times New Roman" w:eastAsiaTheme="minorEastAsia"/>
                <w:b w:val="0"/>
                <w:bCs w:val="0"/>
                <w:color w:val="auto"/>
                <w:sz w:val="24"/>
                <w:szCs w:val="24"/>
                <w:lang w:val="en-US" w:eastAsia="zh-CN"/>
              </w:rPr>
              <w:t>，处理效率按75%计，收集效率为80%，则可以反推出甲苯的产生浓度为0.2605</w:t>
            </w:r>
            <w:r>
              <w:rPr>
                <w:rFonts w:hint="default" w:ascii="Times New Roman" w:hAnsi="Times New Roman" w:cs="Times New Roman" w:eastAsiaTheme="minorEastAsia"/>
                <w:b w:val="0"/>
                <w:bCs w:val="0"/>
                <w:color w:val="auto"/>
                <w:sz w:val="24"/>
                <w:szCs w:val="24"/>
                <w:highlight w:val="none"/>
              </w:rPr>
              <w:t>mg/m</w:t>
            </w:r>
            <w:r>
              <w:rPr>
                <w:rFonts w:hint="default" w:ascii="Times New Roman" w:hAnsi="Times New Roman" w:cs="Times New Roman" w:eastAsiaTheme="minorEastAsia"/>
                <w:b w:val="0"/>
                <w:bCs w:val="0"/>
                <w:color w:val="auto"/>
                <w:sz w:val="24"/>
                <w:szCs w:val="24"/>
                <w:highlight w:val="none"/>
                <w:vertAlign w:val="superscript"/>
              </w:rPr>
              <w:t>3</w:t>
            </w:r>
            <w:r>
              <w:rPr>
                <w:rFonts w:hint="default" w:ascii="Times New Roman" w:hAnsi="Times New Roman" w:cs="Times New Roman" w:eastAsiaTheme="minorEastAsia"/>
                <w:b w:val="0"/>
                <w:bCs w:val="0"/>
                <w:color w:val="auto"/>
                <w:sz w:val="24"/>
                <w:szCs w:val="24"/>
                <w:lang w:val="en-US" w:eastAsia="zh-CN"/>
              </w:rPr>
              <w:t>，产生量为0.0042t</w:t>
            </w:r>
            <w:r>
              <w:rPr>
                <w:rFonts w:hint="eastAsia" w:ascii="Times New Roman" w:hAnsi="Times New Roman" w:cs="Times New Roman" w:eastAsiaTheme="minorEastAsia"/>
                <w:b w:val="0"/>
                <w:bCs w:val="0"/>
                <w:color w:val="auto"/>
                <w:sz w:val="24"/>
                <w:szCs w:val="24"/>
                <w:lang w:val="en-US" w:eastAsia="zh-CN"/>
              </w:rPr>
              <w:t>/a</w:t>
            </w:r>
            <w:r>
              <w:rPr>
                <w:rFonts w:hint="default"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i w:val="0"/>
                <w:color w:val="auto"/>
                <w:kern w:val="2"/>
                <w:sz w:val="24"/>
                <w:szCs w:val="24"/>
                <w:lang w:val="en-US" w:eastAsia="zh-CN" w:bidi="ar-SA"/>
              </w:rPr>
              <w:t>乙苯产生量约为甲苯的50%，苯乙烯的产生量约为甲苯的6%，则乙苯产生量为0.0021t</w:t>
            </w:r>
            <w:r>
              <w:rPr>
                <w:rFonts w:hint="eastAsia" w:ascii="Times New Roman" w:hAnsi="Times New Roman" w:cs="Times New Roman" w:eastAsiaTheme="minorEastAsia"/>
                <w:b w:val="0"/>
                <w:bCs w:val="0"/>
                <w:i w:val="0"/>
                <w:color w:val="auto"/>
                <w:kern w:val="2"/>
                <w:sz w:val="24"/>
                <w:szCs w:val="24"/>
                <w:lang w:val="en-US" w:eastAsia="zh-CN" w:bidi="ar-SA"/>
              </w:rPr>
              <w:t>/a</w:t>
            </w:r>
            <w:r>
              <w:rPr>
                <w:rFonts w:hint="default" w:ascii="Times New Roman" w:hAnsi="Times New Roman" w:cs="Times New Roman" w:eastAsiaTheme="minorEastAsia"/>
                <w:b w:val="0"/>
                <w:bCs w:val="0"/>
                <w:i w:val="0"/>
                <w:color w:val="auto"/>
                <w:kern w:val="2"/>
                <w:sz w:val="24"/>
                <w:szCs w:val="24"/>
                <w:lang w:val="en-US" w:eastAsia="zh-CN" w:bidi="ar-SA"/>
              </w:rPr>
              <w:t>，产生浓度为0.1303</w:t>
            </w:r>
            <w:r>
              <w:rPr>
                <w:rFonts w:hint="default" w:ascii="Times New Roman" w:hAnsi="Times New Roman" w:cs="Times New Roman" w:eastAsiaTheme="minorEastAsia"/>
                <w:b w:val="0"/>
                <w:bCs w:val="0"/>
                <w:color w:val="auto"/>
                <w:sz w:val="24"/>
                <w:szCs w:val="24"/>
                <w:highlight w:val="none"/>
              </w:rPr>
              <w:t>mg/m</w:t>
            </w:r>
            <w:r>
              <w:rPr>
                <w:rFonts w:hint="default" w:ascii="Times New Roman" w:hAnsi="Times New Roman" w:cs="Times New Roman" w:eastAsiaTheme="minorEastAsia"/>
                <w:b w:val="0"/>
                <w:bCs w:val="0"/>
                <w:color w:val="auto"/>
                <w:sz w:val="24"/>
                <w:szCs w:val="24"/>
                <w:highlight w:val="none"/>
                <w:vertAlign w:val="superscript"/>
              </w:rPr>
              <w:t>3</w:t>
            </w:r>
            <w:r>
              <w:rPr>
                <w:rFonts w:hint="default" w:ascii="Times New Roman" w:hAnsi="Times New Roman" w:cs="Times New Roman" w:eastAsiaTheme="minorEastAsia"/>
                <w:b w:val="0"/>
                <w:bCs w:val="0"/>
                <w:i w:val="0"/>
                <w:color w:val="auto"/>
                <w:kern w:val="2"/>
                <w:sz w:val="24"/>
                <w:szCs w:val="24"/>
                <w:lang w:val="en-US" w:eastAsia="zh-CN" w:bidi="ar-SA"/>
              </w:rPr>
              <w:t>，排放浓度为0.0261</w:t>
            </w:r>
            <w:r>
              <w:rPr>
                <w:rFonts w:hint="default" w:ascii="Times New Roman" w:hAnsi="Times New Roman" w:cs="Times New Roman" w:eastAsiaTheme="minorEastAsia"/>
                <w:b w:val="0"/>
                <w:bCs w:val="0"/>
                <w:color w:val="auto"/>
                <w:sz w:val="24"/>
                <w:szCs w:val="24"/>
                <w:highlight w:val="none"/>
              </w:rPr>
              <w:t>mg/m</w:t>
            </w:r>
            <w:r>
              <w:rPr>
                <w:rFonts w:hint="default" w:ascii="Times New Roman" w:hAnsi="Times New Roman" w:cs="Times New Roman" w:eastAsiaTheme="minorEastAsia"/>
                <w:b w:val="0"/>
                <w:bCs w:val="0"/>
                <w:color w:val="auto"/>
                <w:sz w:val="24"/>
                <w:szCs w:val="24"/>
                <w:highlight w:val="none"/>
                <w:vertAlign w:val="superscript"/>
              </w:rPr>
              <w:t>3</w:t>
            </w:r>
            <w:r>
              <w:rPr>
                <w:rFonts w:hint="default" w:ascii="Times New Roman" w:hAnsi="Times New Roman" w:cs="Times New Roman" w:eastAsiaTheme="minorEastAsia"/>
                <w:b w:val="0"/>
                <w:bCs w:val="0"/>
                <w:i w:val="0"/>
                <w:color w:val="auto"/>
                <w:kern w:val="2"/>
                <w:sz w:val="24"/>
                <w:szCs w:val="24"/>
                <w:lang w:val="en-US" w:eastAsia="zh-CN" w:bidi="ar-SA"/>
              </w:rPr>
              <w:t>，</w:t>
            </w:r>
            <w:r>
              <w:rPr>
                <w:rFonts w:hint="default" w:ascii="Times New Roman" w:hAnsi="Times New Roman" w:cs="Times New Roman" w:eastAsiaTheme="minorEastAsia"/>
                <w:b w:val="0"/>
                <w:bCs w:val="0"/>
                <w:color w:val="auto"/>
                <w:sz w:val="24"/>
                <w:szCs w:val="24"/>
                <w:lang w:val="en-US" w:eastAsia="zh-CN"/>
              </w:rPr>
              <w:t>排放速率为</w:t>
            </w:r>
            <w:r>
              <w:rPr>
                <w:rFonts w:hint="default" w:ascii="Times New Roman" w:hAnsi="Times New Roman" w:cs="Times New Roman" w:eastAsiaTheme="minorEastAsia"/>
                <w:b w:val="0"/>
                <w:bCs w:val="0"/>
                <w:color w:val="auto"/>
                <w:spacing w:val="-4"/>
                <w:position w:val="1"/>
                <w:sz w:val="24"/>
                <w:szCs w:val="24"/>
                <w:lang w:val="en-US" w:eastAsia="zh-CN"/>
              </w:rPr>
              <w:t>1.75×10</w:t>
            </w:r>
            <w:r>
              <w:rPr>
                <w:rFonts w:hint="default" w:ascii="Times New Roman" w:hAnsi="Times New Roman" w:cs="Times New Roman" w:eastAsiaTheme="minorEastAsia"/>
                <w:b w:val="0"/>
                <w:bCs w:val="0"/>
                <w:color w:val="auto"/>
                <w:spacing w:val="-4"/>
                <w:position w:val="1"/>
                <w:sz w:val="24"/>
                <w:szCs w:val="24"/>
                <w:vertAlign w:val="superscript"/>
                <w:lang w:val="en-US" w:eastAsia="zh-CN"/>
              </w:rPr>
              <w:t>-4</w:t>
            </w:r>
            <w:r>
              <w:rPr>
                <w:rFonts w:hint="default" w:ascii="Times New Roman" w:hAnsi="Times New Roman" w:cs="Times New Roman" w:eastAsiaTheme="minorEastAsia"/>
                <w:b w:val="0"/>
                <w:bCs w:val="0"/>
                <w:color w:val="auto"/>
                <w:sz w:val="24"/>
                <w:szCs w:val="24"/>
                <w:highlight w:val="none"/>
              </w:rPr>
              <w:t>kg/h</w:t>
            </w:r>
            <w:r>
              <w:rPr>
                <w:rFonts w:hint="default" w:ascii="Times New Roman" w:hAnsi="Times New Roman" w:cs="Times New Roman" w:eastAsiaTheme="minorEastAsia"/>
                <w:b w:val="0"/>
                <w:bCs w:val="0"/>
                <w:color w:val="auto"/>
                <w:sz w:val="24"/>
                <w:szCs w:val="24"/>
                <w:highlight w:val="none"/>
                <w:lang w:eastAsia="zh-CN"/>
              </w:rPr>
              <w:t>，</w:t>
            </w:r>
            <w:r>
              <w:rPr>
                <w:rFonts w:hint="default" w:ascii="Times New Roman" w:hAnsi="Times New Roman" w:cs="Times New Roman" w:eastAsiaTheme="minorEastAsia"/>
                <w:b w:val="0"/>
                <w:bCs w:val="0"/>
                <w:i w:val="0"/>
                <w:color w:val="auto"/>
                <w:kern w:val="2"/>
                <w:sz w:val="24"/>
                <w:szCs w:val="24"/>
                <w:lang w:val="en-US" w:eastAsia="zh-CN" w:bidi="ar-SA"/>
              </w:rPr>
              <w:t>苯乙烯产生量为0.0003t</w:t>
            </w:r>
            <w:r>
              <w:rPr>
                <w:rFonts w:hint="eastAsia" w:ascii="Times New Roman" w:hAnsi="Times New Roman" w:cs="Times New Roman" w:eastAsiaTheme="minorEastAsia"/>
                <w:b w:val="0"/>
                <w:bCs w:val="0"/>
                <w:i w:val="0"/>
                <w:color w:val="auto"/>
                <w:kern w:val="2"/>
                <w:sz w:val="24"/>
                <w:szCs w:val="24"/>
                <w:lang w:val="en-US" w:eastAsia="zh-CN" w:bidi="ar-SA"/>
              </w:rPr>
              <w:t>/a</w:t>
            </w:r>
            <w:r>
              <w:rPr>
                <w:rFonts w:hint="default" w:ascii="Times New Roman" w:hAnsi="Times New Roman" w:cs="Times New Roman" w:eastAsiaTheme="minorEastAsia"/>
                <w:b w:val="0"/>
                <w:bCs w:val="0"/>
                <w:i w:val="0"/>
                <w:color w:val="auto"/>
                <w:kern w:val="2"/>
                <w:sz w:val="24"/>
                <w:szCs w:val="24"/>
                <w:lang w:val="en-US" w:eastAsia="zh-CN" w:bidi="ar-SA"/>
              </w:rPr>
              <w:t>，产生浓度为0.0156</w:t>
            </w:r>
            <w:r>
              <w:rPr>
                <w:rFonts w:hint="default" w:ascii="Times New Roman" w:hAnsi="Times New Roman" w:cs="Times New Roman" w:eastAsiaTheme="minorEastAsia"/>
                <w:b w:val="0"/>
                <w:bCs w:val="0"/>
                <w:color w:val="auto"/>
                <w:sz w:val="24"/>
                <w:szCs w:val="24"/>
                <w:highlight w:val="none"/>
              </w:rPr>
              <w:t>mg/m</w:t>
            </w:r>
            <w:r>
              <w:rPr>
                <w:rFonts w:hint="default" w:ascii="Times New Roman" w:hAnsi="Times New Roman" w:cs="Times New Roman" w:eastAsiaTheme="minorEastAsia"/>
                <w:b w:val="0"/>
                <w:bCs w:val="0"/>
                <w:color w:val="auto"/>
                <w:sz w:val="24"/>
                <w:szCs w:val="24"/>
                <w:highlight w:val="none"/>
                <w:vertAlign w:val="superscript"/>
              </w:rPr>
              <w:t>3</w:t>
            </w:r>
            <w:r>
              <w:rPr>
                <w:rFonts w:hint="default" w:ascii="Times New Roman" w:hAnsi="Times New Roman" w:cs="Times New Roman" w:eastAsiaTheme="minorEastAsia"/>
                <w:b w:val="0"/>
                <w:bCs w:val="0"/>
                <w:i w:val="0"/>
                <w:color w:val="auto"/>
                <w:kern w:val="2"/>
                <w:sz w:val="24"/>
                <w:szCs w:val="24"/>
                <w:lang w:val="en-US" w:eastAsia="zh-CN" w:bidi="ar-SA"/>
              </w:rPr>
              <w:t>，排放浓度为0.0031</w:t>
            </w:r>
            <w:r>
              <w:rPr>
                <w:rFonts w:hint="default" w:ascii="Times New Roman" w:hAnsi="Times New Roman" w:cs="Times New Roman" w:eastAsiaTheme="minorEastAsia"/>
                <w:b w:val="0"/>
                <w:bCs w:val="0"/>
                <w:color w:val="auto"/>
                <w:sz w:val="24"/>
                <w:szCs w:val="24"/>
                <w:highlight w:val="none"/>
              </w:rPr>
              <w:t>mg/m</w:t>
            </w:r>
            <w:r>
              <w:rPr>
                <w:rFonts w:hint="default" w:ascii="Times New Roman" w:hAnsi="Times New Roman" w:cs="Times New Roman" w:eastAsiaTheme="minorEastAsia"/>
                <w:b w:val="0"/>
                <w:bCs w:val="0"/>
                <w:color w:val="auto"/>
                <w:sz w:val="24"/>
                <w:szCs w:val="24"/>
                <w:highlight w:val="none"/>
                <w:vertAlign w:val="superscript"/>
              </w:rPr>
              <w:t>3</w:t>
            </w:r>
            <w:r>
              <w:rPr>
                <w:rFonts w:hint="default" w:ascii="Times New Roman" w:hAnsi="Times New Roman" w:cs="Times New Roman" w:eastAsiaTheme="minorEastAsia"/>
                <w:b w:val="0"/>
                <w:bCs w:val="0"/>
                <w:i w:val="0"/>
                <w:color w:val="auto"/>
                <w:kern w:val="2"/>
                <w:sz w:val="24"/>
                <w:szCs w:val="24"/>
                <w:lang w:val="en-US" w:eastAsia="zh-CN" w:bidi="ar-SA"/>
              </w:rPr>
              <w:t>，排放速率为0.21</w:t>
            </w:r>
            <w:r>
              <w:rPr>
                <w:rFonts w:hint="default" w:ascii="Times New Roman" w:hAnsi="Times New Roman" w:cs="Times New Roman" w:eastAsiaTheme="minorEastAsia"/>
                <w:b w:val="0"/>
                <w:bCs w:val="0"/>
                <w:color w:val="auto"/>
                <w:spacing w:val="-4"/>
                <w:position w:val="1"/>
                <w:sz w:val="24"/>
                <w:szCs w:val="24"/>
                <w:lang w:val="en-US" w:eastAsia="zh-CN"/>
              </w:rPr>
              <w:t>×10</w:t>
            </w:r>
            <w:r>
              <w:rPr>
                <w:rFonts w:hint="default" w:ascii="Times New Roman" w:hAnsi="Times New Roman" w:cs="Times New Roman" w:eastAsiaTheme="minorEastAsia"/>
                <w:b w:val="0"/>
                <w:bCs w:val="0"/>
                <w:color w:val="auto"/>
                <w:spacing w:val="-4"/>
                <w:position w:val="1"/>
                <w:sz w:val="24"/>
                <w:szCs w:val="24"/>
                <w:vertAlign w:val="superscript"/>
                <w:lang w:val="en-US" w:eastAsia="zh-CN"/>
              </w:rPr>
              <w:t>-4</w:t>
            </w:r>
            <w:r>
              <w:rPr>
                <w:rFonts w:hint="default" w:ascii="Times New Roman" w:hAnsi="Times New Roman" w:cs="Times New Roman" w:eastAsiaTheme="minorEastAsia"/>
                <w:b w:val="0"/>
                <w:bCs w:val="0"/>
                <w:color w:val="auto"/>
                <w:sz w:val="24"/>
                <w:szCs w:val="24"/>
                <w:highlight w:val="none"/>
              </w:rPr>
              <w:t>kg/h</w:t>
            </w:r>
            <w:r>
              <w:rPr>
                <w:rFonts w:hint="default" w:ascii="Times New Roman" w:hAnsi="Times New Roman" w:cs="Times New Roman" w:eastAsiaTheme="minorEastAsia"/>
                <w:b w:val="0"/>
                <w:bCs w:val="0"/>
                <w:color w:val="auto"/>
                <w:sz w:val="24"/>
                <w:szCs w:val="24"/>
                <w:highlight w:val="none"/>
                <w:lang w:eastAsia="zh-CN"/>
              </w:rPr>
              <w:t>。</w:t>
            </w:r>
          </w:p>
          <w:p w14:paraId="7D7D754D">
            <w:pPr>
              <w:pStyle w:val="92"/>
              <w:keepNext w:val="0"/>
              <w:keepLines/>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根据《2020 年挥发性有机物治理攻坚方案》提出的要求：采用活性炭吸附治理技术的，应采用碘值不低于800mg/g的活性炭，并按照废气治理设计要求足量添加、及时更换。本环评提出，项目应按照要求采用碘值不低于800mg/g的活性炭，并按照废气治理设计要求对活性炭足量添加、及时更换。</w:t>
            </w:r>
          </w:p>
          <w:p w14:paraId="5EB49E30">
            <w:pPr>
              <w:pStyle w:val="92"/>
              <w:keepNext w:val="0"/>
              <w:keepLines/>
              <w:pageBreakBefore w:val="0"/>
              <w:widowControl w:val="0"/>
              <w:kinsoku/>
              <w:wordWrap/>
              <w:overflowPunct/>
              <w:topLinePunct w:val="0"/>
              <w:autoSpaceDE/>
              <w:autoSpaceDN/>
              <w:bidi w:val="0"/>
              <w:adjustRightInd/>
              <w:snapToGrid/>
              <w:ind w:firstLine="480"/>
              <w:textAlignment w:val="auto"/>
              <w:rPr>
                <w:rFonts w:hint="eastAsia"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lang w:val="en-US" w:eastAsia="zh-CN"/>
              </w:rPr>
              <w:t>本项目年工作300d，每天工作8h，风机风量按</w:t>
            </w:r>
            <w:r>
              <w:rPr>
                <w:rFonts w:hint="eastAsia" w:cs="Times New Roman" w:eastAsiaTheme="minorEastAsia"/>
                <w:color w:val="auto"/>
                <w:sz w:val="24"/>
                <w:szCs w:val="24"/>
                <w:highlight w:val="none"/>
                <w:lang w:val="en-US" w:eastAsia="zh-CN"/>
              </w:rPr>
              <w:t>10</w:t>
            </w:r>
            <w:r>
              <w:rPr>
                <w:rFonts w:hint="default" w:ascii="Times New Roman" w:hAnsi="Times New Roman" w:cs="Times New Roman" w:eastAsiaTheme="minorEastAsia"/>
                <w:color w:val="auto"/>
                <w:sz w:val="24"/>
                <w:szCs w:val="24"/>
                <w:highlight w:val="none"/>
                <w:lang w:val="en-US" w:eastAsia="zh-CN"/>
              </w:rPr>
              <w:t>000m</w:t>
            </w:r>
            <w:r>
              <w:rPr>
                <w:rFonts w:hint="default" w:ascii="Times New Roman" w:hAnsi="Times New Roman" w:cs="Times New Roman" w:eastAsiaTheme="minorEastAsia"/>
                <w:color w:val="auto"/>
                <w:sz w:val="24"/>
                <w:szCs w:val="24"/>
                <w:highlight w:val="none"/>
                <w:vertAlign w:val="superscript"/>
                <w:lang w:val="en-US" w:eastAsia="zh-CN"/>
              </w:rPr>
              <w:t>3</w:t>
            </w:r>
            <w:r>
              <w:rPr>
                <w:rFonts w:hint="default" w:ascii="Times New Roman" w:hAnsi="Times New Roman" w:cs="Times New Roman" w:eastAsiaTheme="minorEastAsia"/>
                <w:color w:val="auto"/>
                <w:sz w:val="24"/>
                <w:szCs w:val="24"/>
                <w:highlight w:val="none"/>
                <w:lang w:val="en-US" w:eastAsia="zh-CN"/>
              </w:rPr>
              <w:t>/h计，活性炭去除效率按</w:t>
            </w:r>
            <w:r>
              <w:rPr>
                <w:rFonts w:hint="default" w:ascii="Times New Roman" w:hAnsi="Times New Roman" w:cs="Times New Roman" w:eastAsiaTheme="minorEastAsia"/>
                <w:color w:val="auto"/>
                <w:sz w:val="24"/>
                <w:szCs w:val="24"/>
                <w:lang w:val="en-US" w:eastAsia="zh-CN"/>
              </w:rPr>
              <w:t>75%计，根据上文可知，</w:t>
            </w:r>
            <w:r>
              <w:rPr>
                <w:rFonts w:hint="default" w:ascii="Times New Roman" w:hAnsi="Times New Roman" w:cs="Times New Roman" w:eastAsiaTheme="minorEastAsia"/>
                <w:color w:val="auto"/>
                <w:sz w:val="24"/>
                <w:szCs w:val="24"/>
                <w:highlight w:val="none"/>
              </w:rPr>
              <w:t>本项目</w:t>
            </w:r>
            <w:r>
              <w:rPr>
                <w:rFonts w:hint="default" w:ascii="Times New Roman" w:hAnsi="Times New Roman"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i w:val="0"/>
                <w:color w:val="auto"/>
                <w:kern w:val="2"/>
                <w:sz w:val="24"/>
                <w:szCs w:val="24"/>
                <w:lang w:val="en-US" w:eastAsia="zh-CN" w:bidi="ar-SA"/>
              </w:rPr>
              <w:t>的产生量为</w:t>
            </w:r>
            <w:r>
              <w:rPr>
                <w:rFonts w:hint="default" w:ascii="Times New Roman" w:hAnsi="Times New Roman" w:cs="Times New Roman" w:eastAsiaTheme="minorEastAsia"/>
                <w:b w:val="0"/>
                <w:bCs/>
                <w:color w:val="auto"/>
                <w:sz w:val="24"/>
                <w:szCs w:val="24"/>
                <w:lang w:val="en-US" w:eastAsia="zh-CN"/>
              </w:rPr>
              <w:t>0.15t/a</w:t>
            </w:r>
            <w:r>
              <w:rPr>
                <w:rFonts w:hint="default" w:ascii="Times New Roman" w:hAnsi="Times New Roman" w:cs="Times New Roman" w:eastAsiaTheme="minorEastAsia"/>
                <w:i w:val="0"/>
                <w:color w:val="auto"/>
                <w:kern w:val="2"/>
                <w:sz w:val="24"/>
                <w:szCs w:val="24"/>
                <w:lang w:val="en-US" w:eastAsia="zh-CN" w:bidi="ar-SA"/>
              </w:rPr>
              <w:t>，</w:t>
            </w:r>
            <w:r>
              <w:rPr>
                <w:rFonts w:hint="default" w:ascii="Times New Roman" w:hAnsi="Times New Roman" w:cs="Times New Roman" w:eastAsiaTheme="minorEastAsia"/>
                <w:color w:val="auto"/>
                <w:sz w:val="24"/>
                <w:szCs w:val="24"/>
                <w:highlight w:val="none"/>
              </w:rPr>
              <w:t>其中有</w:t>
            </w:r>
            <w:r>
              <w:rPr>
                <w:rFonts w:hint="default" w:ascii="Times New Roman" w:hAnsi="Times New Roman" w:cs="Times New Roman" w:eastAsiaTheme="minorEastAsia"/>
                <w:color w:val="auto"/>
                <w:sz w:val="24"/>
                <w:szCs w:val="24"/>
                <w:highlight w:val="none"/>
                <w:lang w:val="en-US" w:eastAsia="zh-CN"/>
              </w:rPr>
              <w:t>80</w:t>
            </w:r>
            <w:r>
              <w:rPr>
                <w:rFonts w:hint="default" w:ascii="Times New Roman" w:hAnsi="Times New Roman" w:cs="Times New Roman" w:eastAsiaTheme="minorEastAsia"/>
                <w:color w:val="auto"/>
                <w:sz w:val="24"/>
                <w:szCs w:val="24"/>
                <w:highlight w:val="none"/>
              </w:rPr>
              <w:t>%的</w:t>
            </w:r>
            <w:r>
              <w:rPr>
                <w:rFonts w:hint="default" w:ascii="Times New Roman" w:hAnsi="Times New Roman" w:cs="Times New Roman" w:eastAsiaTheme="minorEastAsia"/>
                <w:color w:val="auto"/>
                <w:sz w:val="24"/>
                <w:szCs w:val="24"/>
                <w:highlight w:val="none"/>
                <w:lang w:val="en-US" w:eastAsia="zh-CN"/>
              </w:rPr>
              <w:t>有机废气</w:t>
            </w:r>
            <w:r>
              <w:rPr>
                <w:rFonts w:hint="default" w:ascii="Times New Roman" w:hAnsi="Times New Roman" w:cs="Times New Roman" w:eastAsiaTheme="minorEastAsia"/>
                <w:color w:val="auto"/>
                <w:sz w:val="24"/>
                <w:szCs w:val="24"/>
                <w:highlight w:val="none"/>
              </w:rPr>
              <w:t>经过集气罩收集，则</w:t>
            </w:r>
            <w:r>
              <w:rPr>
                <w:rFonts w:hint="default" w:ascii="Times New Roman" w:hAnsi="Times New Roman"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color w:val="auto"/>
                <w:sz w:val="24"/>
                <w:szCs w:val="24"/>
                <w:highlight w:val="none"/>
              </w:rPr>
              <w:t>收集量为</w:t>
            </w:r>
            <w:r>
              <w:rPr>
                <w:rFonts w:hint="default" w:ascii="Times New Roman" w:hAnsi="Times New Roman" w:cs="Times New Roman" w:eastAsiaTheme="minorEastAsia"/>
                <w:color w:val="auto"/>
                <w:sz w:val="24"/>
                <w:szCs w:val="24"/>
                <w:highlight w:val="none"/>
                <w:lang w:val="en-US" w:eastAsia="zh-CN"/>
              </w:rPr>
              <w:t>0.12</w:t>
            </w:r>
            <w:r>
              <w:rPr>
                <w:rFonts w:hint="default" w:ascii="Times New Roman" w:hAnsi="Times New Roman" w:cs="Times New Roman" w:eastAsiaTheme="minorEastAsia"/>
                <w:color w:val="auto"/>
                <w:sz w:val="24"/>
                <w:szCs w:val="24"/>
                <w:highlight w:val="none"/>
              </w:rPr>
              <w:t>t/a，</w:t>
            </w:r>
            <w:r>
              <w:rPr>
                <w:rFonts w:hint="default" w:ascii="Times New Roman" w:hAnsi="Times New Roman" w:cs="Times New Roman" w:eastAsiaTheme="minorEastAsia"/>
                <w:color w:val="auto"/>
                <w:sz w:val="24"/>
                <w:szCs w:val="24"/>
                <w:highlight w:val="none"/>
                <w:lang w:val="en-US" w:eastAsia="zh-CN"/>
              </w:rPr>
              <w:t>0.05</w:t>
            </w:r>
            <w:r>
              <w:rPr>
                <w:rFonts w:hint="default" w:ascii="Times New Roman" w:hAnsi="Times New Roman" w:cs="Times New Roman" w:eastAsiaTheme="minorEastAsia"/>
                <w:color w:val="auto"/>
                <w:sz w:val="24"/>
                <w:szCs w:val="24"/>
                <w:highlight w:val="none"/>
              </w:rPr>
              <w:t>kg/h</w:t>
            </w:r>
            <w:r>
              <w:rPr>
                <w:rFonts w:hint="eastAsia"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val="en-US" w:eastAsia="zh-CN"/>
              </w:rPr>
              <w:t>项目产生的有机废气经1套两级活性炭吸附装置</w:t>
            </w:r>
            <w:r>
              <w:rPr>
                <w:rFonts w:hint="default" w:ascii="Times New Roman" w:hAnsi="Times New Roman" w:cs="Times New Roman" w:eastAsiaTheme="minorEastAsia"/>
                <w:color w:val="auto"/>
                <w:sz w:val="24"/>
                <w:szCs w:val="24"/>
                <w:highlight w:val="none"/>
              </w:rPr>
              <w:t>处理后</w:t>
            </w:r>
            <w:r>
              <w:rPr>
                <w:rFonts w:hint="default" w:ascii="Times New Roman" w:hAnsi="Times New Roman" w:cs="Times New Roman" w:eastAsiaTheme="minorEastAsia"/>
                <w:color w:val="auto"/>
                <w:sz w:val="24"/>
                <w:szCs w:val="24"/>
                <w:highlight w:val="none"/>
                <w:lang w:eastAsia="zh-CN"/>
              </w:rPr>
              <w:t>，</w:t>
            </w:r>
            <w:r>
              <w:rPr>
                <w:rFonts w:hint="default" w:ascii="Times New Roman" w:hAnsi="Times New Roman" w:cs="Times New Roman" w:eastAsiaTheme="minorEastAsia"/>
                <w:color w:val="auto"/>
                <w:sz w:val="24"/>
                <w:szCs w:val="24"/>
                <w:highlight w:val="none"/>
                <w:lang w:val="en-US" w:eastAsia="zh-CN"/>
              </w:rPr>
              <w:t>通过1根15m排气筒（DA001）外排</w:t>
            </w:r>
            <w:r>
              <w:rPr>
                <w:rFonts w:hint="default" w:ascii="Times New Roman" w:hAnsi="Times New Roman" w:cs="Times New Roman" w:eastAsiaTheme="minorEastAsia"/>
                <w:color w:val="auto"/>
                <w:sz w:val="24"/>
                <w:szCs w:val="24"/>
                <w:highlight w:val="none"/>
              </w:rPr>
              <w:t>，则</w:t>
            </w:r>
            <w:r>
              <w:rPr>
                <w:rFonts w:hint="default" w:ascii="Times New Roman" w:hAnsi="Times New Roman" w:cs="Times New Roman" w:eastAsiaTheme="minorEastAsia"/>
                <w:color w:val="auto"/>
                <w:sz w:val="24"/>
                <w:szCs w:val="24"/>
                <w:highlight w:val="none"/>
                <w:lang w:val="en-US" w:eastAsia="zh-CN"/>
              </w:rPr>
              <w:t>本项目</w:t>
            </w:r>
            <w:r>
              <w:rPr>
                <w:rFonts w:hint="default" w:ascii="Times New Roman" w:hAnsi="Times New Roman"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color w:val="auto"/>
                <w:sz w:val="24"/>
                <w:szCs w:val="24"/>
                <w:highlight w:val="none"/>
                <w:lang w:val="en-US" w:eastAsia="zh-CN"/>
              </w:rPr>
              <w:t>排放</w:t>
            </w:r>
            <w:r>
              <w:rPr>
                <w:rFonts w:hint="default" w:ascii="Times New Roman" w:hAnsi="Times New Roman" w:cs="Times New Roman" w:eastAsiaTheme="minorEastAsia"/>
                <w:color w:val="auto"/>
                <w:sz w:val="24"/>
                <w:szCs w:val="24"/>
                <w:highlight w:val="none"/>
              </w:rPr>
              <w:t>量为</w:t>
            </w:r>
            <w:r>
              <w:rPr>
                <w:rFonts w:hint="default" w:ascii="Times New Roman" w:hAnsi="Times New Roman" w:cs="Times New Roman" w:eastAsiaTheme="minorEastAsia"/>
                <w:color w:val="auto"/>
                <w:sz w:val="24"/>
                <w:szCs w:val="24"/>
                <w:highlight w:val="none"/>
                <w:lang w:val="en-US" w:eastAsia="zh-CN"/>
              </w:rPr>
              <w:t>0.03</w:t>
            </w:r>
            <w:r>
              <w:rPr>
                <w:rFonts w:hint="default" w:ascii="Times New Roman" w:hAnsi="Times New Roman" w:cs="Times New Roman" w:eastAsiaTheme="minorEastAsia"/>
                <w:color w:val="auto"/>
                <w:sz w:val="24"/>
                <w:szCs w:val="24"/>
                <w:highlight w:val="none"/>
              </w:rPr>
              <w:t>t/a，</w:t>
            </w:r>
            <w:r>
              <w:rPr>
                <w:rFonts w:hint="default" w:ascii="Times New Roman" w:hAnsi="Times New Roman" w:cs="Times New Roman" w:eastAsiaTheme="minorEastAsia"/>
                <w:color w:val="auto"/>
                <w:sz w:val="24"/>
                <w:szCs w:val="24"/>
                <w:highlight w:val="none"/>
                <w:lang w:val="en-US" w:eastAsia="zh-CN"/>
              </w:rPr>
              <w:t>0.0125</w:t>
            </w:r>
            <w:r>
              <w:rPr>
                <w:rFonts w:hint="default" w:ascii="Times New Roman" w:hAnsi="Times New Roman" w:cs="Times New Roman" w:eastAsiaTheme="minorEastAsia"/>
                <w:color w:val="auto"/>
                <w:sz w:val="24"/>
                <w:szCs w:val="24"/>
                <w:highlight w:val="none"/>
              </w:rPr>
              <w:t>kg/h，</w:t>
            </w:r>
            <w:r>
              <w:rPr>
                <w:rFonts w:hint="default" w:ascii="Times New Roman" w:hAnsi="Times New Roman" w:cs="Times New Roman" w:eastAsiaTheme="minorEastAsia"/>
                <w:color w:val="auto"/>
                <w:sz w:val="24"/>
                <w:szCs w:val="24"/>
                <w:highlight w:val="none"/>
                <w:lang w:val="en-US" w:eastAsia="zh-CN"/>
              </w:rPr>
              <w:t>排放</w:t>
            </w:r>
            <w:r>
              <w:rPr>
                <w:rFonts w:hint="default" w:ascii="Times New Roman" w:hAnsi="Times New Roman" w:cs="Times New Roman" w:eastAsiaTheme="minorEastAsia"/>
                <w:color w:val="auto"/>
                <w:sz w:val="24"/>
                <w:szCs w:val="24"/>
                <w:highlight w:val="none"/>
              </w:rPr>
              <w:t>浓度为</w:t>
            </w:r>
            <w:r>
              <w:rPr>
                <w:rFonts w:hint="eastAsia" w:cs="Times New Roman" w:eastAsiaTheme="minorEastAsia"/>
                <w:color w:val="auto"/>
                <w:sz w:val="24"/>
                <w:szCs w:val="24"/>
                <w:highlight w:val="none"/>
                <w:lang w:val="en-US" w:eastAsia="zh-CN"/>
              </w:rPr>
              <w:t>1.25</w:t>
            </w:r>
            <w:r>
              <w:rPr>
                <w:rFonts w:hint="default" w:ascii="Times New Roman" w:hAnsi="Times New Roman" w:cs="Times New Roman" w:eastAsiaTheme="minorEastAsia"/>
                <w:color w:val="auto"/>
                <w:sz w:val="24"/>
                <w:szCs w:val="24"/>
                <w:highlight w:val="none"/>
              </w:rPr>
              <w:t>mg/m</w:t>
            </w:r>
            <w:r>
              <w:rPr>
                <w:rFonts w:hint="default" w:ascii="Times New Roman" w:hAnsi="Times New Roman" w:cs="Times New Roman" w:eastAsiaTheme="minorEastAsia"/>
                <w:color w:val="auto"/>
                <w:sz w:val="24"/>
                <w:szCs w:val="24"/>
                <w:highlight w:val="none"/>
                <w:vertAlign w:val="superscript"/>
              </w:rPr>
              <w:t>3</w:t>
            </w:r>
            <w:r>
              <w:rPr>
                <w:rFonts w:hint="eastAsia" w:cs="Times New Roman" w:eastAsiaTheme="minorEastAsia"/>
                <w:color w:val="auto"/>
                <w:sz w:val="24"/>
                <w:szCs w:val="24"/>
                <w:highlight w:val="none"/>
                <w:lang w:eastAsia="zh-CN"/>
              </w:rPr>
              <w:t>。</w:t>
            </w:r>
          </w:p>
          <w:p w14:paraId="0A546180">
            <w:pPr>
              <w:keepNext w:val="0"/>
              <w:keepLines/>
              <w:pageBreakBefore w:val="0"/>
              <w:tabs>
                <w:tab w:val="left" w:pos="483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kern w:val="2"/>
                <w:sz w:val="24"/>
                <w:szCs w:val="24"/>
                <w:lang w:val="en-US" w:eastAsia="zh-CN" w:bidi="ar-SA"/>
              </w:rPr>
              <w:t>未被集气罩收集的有机废气（20%）经车间门窗自然通风无组织排放，则本项目无组织</w:t>
            </w:r>
            <w:r>
              <w:rPr>
                <w:rFonts w:hint="default" w:ascii="Times New Roman" w:hAnsi="Times New Roman" w:cs="Times New Roman" w:eastAsiaTheme="minorEastAsia"/>
                <w:b w:val="0"/>
                <w:bCs/>
                <w:color w:val="auto"/>
                <w:sz w:val="24"/>
                <w:szCs w:val="24"/>
                <w:lang w:val="en-US" w:eastAsia="zh-CN"/>
              </w:rPr>
              <w:t>非甲烷总烃</w:t>
            </w:r>
            <w:r>
              <w:rPr>
                <w:rFonts w:hint="default" w:ascii="Times New Roman" w:hAnsi="Times New Roman" w:cs="Times New Roman" w:eastAsiaTheme="minorEastAsia"/>
                <w:color w:val="auto"/>
                <w:sz w:val="24"/>
                <w:szCs w:val="24"/>
                <w:highlight w:val="none"/>
                <w:lang w:val="en-US" w:eastAsia="zh-CN"/>
              </w:rPr>
              <w:t>排放</w:t>
            </w:r>
            <w:r>
              <w:rPr>
                <w:rFonts w:hint="default" w:ascii="Times New Roman" w:hAnsi="Times New Roman" w:cs="Times New Roman" w:eastAsiaTheme="minorEastAsia"/>
                <w:color w:val="auto"/>
                <w:sz w:val="24"/>
                <w:szCs w:val="24"/>
                <w:highlight w:val="none"/>
              </w:rPr>
              <w:t>量为</w:t>
            </w:r>
            <w:r>
              <w:rPr>
                <w:rFonts w:hint="default" w:ascii="Times New Roman" w:hAnsi="Times New Roman" w:cs="Times New Roman" w:eastAsiaTheme="minorEastAsia"/>
                <w:color w:val="auto"/>
                <w:sz w:val="24"/>
                <w:szCs w:val="24"/>
                <w:highlight w:val="none"/>
                <w:lang w:val="en-US" w:eastAsia="zh-CN"/>
              </w:rPr>
              <w:t>0.03</w:t>
            </w:r>
            <w:r>
              <w:rPr>
                <w:rFonts w:hint="default" w:ascii="Times New Roman" w:hAnsi="Times New Roman" w:cs="Times New Roman" w:eastAsiaTheme="minorEastAsia"/>
                <w:color w:val="auto"/>
                <w:sz w:val="24"/>
                <w:szCs w:val="24"/>
                <w:highlight w:val="none"/>
              </w:rPr>
              <w:t>t/a，</w:t>
            </w:r>
            <w:r>
              <w:rPr>
                <w:rFonts w:hint="default" w:ascii="Times New Roman" w:hAnsi="Times New Roman" w:cs="Times New Roman" w:eastAsiaTheme="minorEastAsia"/>
                <w:color w:val="auto"/>
                <w:sz w:val="24"/>
                <w:szCs w:val="24"/>
                <w:highlight w:val="none"/>
                <w:lang w:val="en-US" w:eastAsia="zh-CN"/>
              </w:rPr>
              <w:t>0.0125</w:t>
            </w:r>
            <w:r>
              <w:rPr>
                <w:rFonts w:hint="default" w:ascii="Times New Roman" w:hAnsi="Times New Roman" w:cs="Times New Roman" w:eastAsiaTheme="minorEastAsia"/>
                <w:color w:val="auto"/>
                <w:sz w:val="24"/>
                <w:szCs w:val="24"/>
                <w:highlight w:val="none"/>
              </w:rPr>
              <w:t>kg/h；</w:t>
            </w:r>
            <w:r>
              <w:rPr>
                <w:rFonts w:hint="default" w:ascii="Times New Roman" w:hAnsi="Times New Roman" w:cs="Times New Roman" w:eastAsiaTheme="minorEastAsia"/>
                <w:b w:val="0"/>
                <w:bCs/>
                <w:color w:val="auto"/>
                <w:sz w:val="24"/>
                <w:szCs w:val="24"/>
                <w:lang w:val="en-US" w:eastAsia="zh-CN"/>
              </w:rPr>
              <w:t>甲苯</w:t>
            </w:r>
            <w:r>
              <w:rPr>
                <w:rFonts w:hint="default" w:ascii="Times New Roman" w:hAnsi="Times New Roman" w:cs="Times New Roman" w:eastAsiaTheme="minorEastAsia"/>
                <w:color w:val="auto"/>
                <w:sz w:val="24"/>
                <w:szCs w:val="24"/>
                <w:highlight w:val="none"/>
                <w:lang w:val="en-US" w:eastAsia="zh-CN"/>
              </w:rPr>
              <w:t>排放</w:t>
            </w:r>
            <w:r>
              <w:rPr>
                <w:rFonts w:hint="default" w:ascii="Times New Roman" w:hAnsi="Times New Roman" w:cs="Times New Roman" w:eastAsiaTheme="minorEastAsia"/>
                <w:color w:val="auto"/>
                <w:sz w:val="24"/>
                <w:szCs w:val="24"/>
                <w:highlight w:val="none"/>
              </w:rPr>
              <w:t>量为</w:t>
            </w:r>
            <w:r>
              <w:rPr>
                <w:rFonts w:hint="default" w:ascii="Times New Roman" w:hAnsi="Times New Roman" w:cs="Times New Roman" w:eastAsiaTheme="minorEastAsia"/>
                <w:color w:val="auto"/>
                <w:sz w:val="24"/>
                <w:szCs w:val="24"/>
                <w:highlight w:val="none"/>
                <w:lang w:val="en-US" w:eastAsia="zh-CN"/>
              </w:rPr>
              <w:t>0</w:t>
            </w:r>
            <w:r>
              <w:rPr>
                <w:rFonts w:hint="eastAsia" w:cs="Times New Roman" w:eastAsiaTheme="minorEastAsia"/>
                <w:color w:val="auto"/>
                <w:sz w:val="24"/>
                <w:szCs w:val="24"/>
                <w:highlight w:val="none"/>
                <w:lang w:val="en-US" w:eastAsia="zh-CN"/>
              </w:rPr>
              <w:t>.0008</w:t>
            </w:r>
            <w:r>
              <w:rPr>
                <w:rFonts w:hint="default" w:ascii="Times New Roman" w:hAnsi="Times New Roman" w:cs="Times New Roman" w:eastAsiaTheme="minorEastAsia"/>
                <w:color w:val="auto"/>
                <w:sz w:val="24"/>
                <w:szCs w:val="24"/>
                <w:highlight w:val="none"/>
              </w:rPr>
              <w:t>t/a，</w:t>
            </w:r>
            <w:r>
              <w:rPr>
                <w:rFonts w:hint="default" w:ascii="Times New Roman" w:hAnsi="Times New Roman" w:cs="Times New Roman" w:eastAsiaTheme="minorEastAsia"/>
                <w:color w:val="auto"/>
                <w:sz w:val="24"/>
                <w:szCs w:val="24"/>
                <w:highlight w:val="none"/>
                <w:lang w:val="en-US" w:eastAsia="zh-CN"/>
              </w:rPr>
              <w:t>0.0</w:t>
            </w:r>
            <w:r>
              <w:rPr>
                <w:rFonts w:hint="eastAsia" w:cs="Times New Roman" w:eastAsiaTheme="minorEastAsia"/>
                <w:color w:val="auto"/>
                <w:sz w:val="24"/>
                <w:szCs w:val="24"/>
                <w:highlight w:val="none"/>
                <w:lang w:val="en-US" w:eastAsia="zh-CN"/>
              </w:rPr>
              <w:t>003</w:t>
            </w:r>
            <w:r>
              <w:rPr>
                <w:rFonts w:hint="default" w:ascii="Times New Roman" w:hAnsi="Times New Roman" w:cs="Times New Roman" w:eastAsiaTheme="minorEastAsia"/>
                <w:color w:val="auto"/>
                <w:sz w:val="24"/>
                <w:szCs w:val="24"/>
                <w:highlight w:val="none"/>
              </w:rPr>
              <w:t>kg/h；</w:t>
            </w:r>
            <w:r>
              <w:rPr>
                <w:rFonts w:hint="default" w:ascii="Times New Roman" w:hAnsi="Times New Roman" w:cs="Times New Roman" w:eastAsiaTheme="minorEastAsia"/>
                <w:b w:val="0"/>
                <w:bCs/>
                <w:color w:val="auto"/>
                <w:sz w:val="24"/>
                <w:szCs w:val="24"/>
                <w:lang w:val="en-US" w:eastAsia="zh-CN"/>
              </w:rPr>
              <w:t>乙苯排放</w:t>
            </w:r>
            <w:r>
              <w:rPr>
                <w:rFonts w:hint="default" w:ascii="Times New Roman" w:hAnsi="Times New Roman" w:cs="Times New Roman" w:eastAsiaTheme="minorEastAsia"/>
                <w:color w:val="auto"/>
                <w:sz w:val="24"/>
                <w:szCs w:val="24"/>
                <w:highlight w:val="none"/>
              </w:rPr>
              <w:t>量为</w:t>
            </w:r>
            <w:r>
              <w:rPr>
                <w:rFonts w:hint="default" w:ascii="Times New Roman" w:hAnsi="Times New Roman" w:cs="Times New Roman" w:eastAsiaTheme="minorEastAsia"/>
                <w:color w:val="auto"/>
                <w:sz w:val="24"/>
                <w:szCs w:val="24"/>
                <w:highlight w:val="none"/>
                <w:lang w:val="en-US" w:eastAsia="zh-CN"/>
              </w:rPr>
              <w:t>0.0</w:t>
            </w:r>
            <w:r>
              <w:rPr>
                <w:rFonts w:hint="eastAsia" w:cs="Times New Roman" w:eastAsiaTheme="minorEastAsia"/>
                <w:color w:val="auto"/>
                <w:sz w:val="24"/>
                <w:szCs w:val="24"/>
                <w:highlight w:val="none"/>
                <w:lang w:val="en-US" w:eastAsia="zh-CN"/>
              </w:rPr>
              <w:t>004</w:t>
            </w:r>
            <w:r>
              <w:rPr>
                <w:rFonts w:hint="default" w:ascii="Times New Roman" w:hAnsi="Times New Roman" w:cs="Times New Roman" w:eastAsiaTheme="minorEastAsia"/>
                <w:color w:val="auto"/>
                <w:sz w:val="24"/>
                <w:szCs w:val="24"/>
                <w:highlight w:val="none"/>
              </w:rPr>
              <w:t>t/a，</w:t>
            </w:r>
            <w:r>
              <w:rPr>
                <w:rFonts w:hint="default" w:ascii="Times New Roman" w:hAnsi="Times New Roman" w:cs="Times New Roman" w:eastAsiaTheme="minorEastAsia"/>
                <w:color w:val="auto"/>
                <w:sz w:val="24"/>
                <w:szCs w:val="24"/>
                <w:highlight w:val="none"/>
                <w:lang w:val="en-US" w:eastAsia="zh-CN"/>
              </w:rPr>
              <w:t>0.</w:t>
            </w:r>
            <w:r>
              <w:rPr>
                <w:rFonts w:hint="eastAsia" w:cs="Times New Roman" w:eastAsiaTheme="minorEastAsia"/>
                <w:color w:val="auto"/>
                <w:sz w:val="24"/>
                <w:szCs w:val="24"/>
                <w:highlight w:val="none"/>
                <w:lang w:val="en-US" w:eastAsia="zh-CN"/>
              </w:rPr>
              <w:t>0002</w:t>
            </w:r>
            <w:r>
              <w:rPr>
                <w:rFonts w:hint="default" w:ascii="Times New Roman" w:hAnsi="Times New Roman" w:cs="Times New Roman" w:eastAsiaTheme="minorEastAsia"/>
                <w:color w:val="auto"/>
                <w:sz w:val="24"/>
                <w:szCs w:val="24"/>
                <w:highlight w:val="none"/>
              </w:rPr>
              <w:t>kg/h；</w:t>
            </w:r>
            <w:r>
              <w:rPr>
                <w:rFonts w:hint="default" w:ascii="Times New Roman" w:hAnsi="Times New Roman" w:cs="Times New Roman" w:eastAsiaTheme="minorEastAsia"/>
                <w:b w:val="0"/>
                <w:bCs/>
                <w:color w:val="auto"/>
                <w:sz w:val="24"/>
                <w:szCs w:val="24"/>
                <w:lang w:val="en-US" w:eastAsia="zh-CN"/>
              </w:rPr>
              <w:t>苯乙烯</w:t>
            </w:r>
            <w:r>
              <w:rPr>
                <w:rFonts w:hint="default" w:ascii="Times New Roman" w:hAnsi="Times New Roman" w:cs="Times New Roman" w:eastAsiaTheme="minorEastAsia"/>
                <w:color w:val="auto"/>
                <w:sz w:val="24"/>
                <w:szCs w:val="24"/>
                <w:highlight w:val="none"/>
                <w:lang w:val="en-US" w:eastAsia="zh-CN"/>
              </w:rPr>
              <w:t>排放</w:t>
            </w:r>
            <w:r>
              <w:rPr>
                <w:rFonts w:hint="default" w:ascii="Times New Roman" w:hAnsi="Times New Roman" w:cs="Times New Roman" w:eastAsiaTheme="minorEastAsia"/>
                <w:color w:val="auto"/>
                <w:sz w:val="24"/>
                <w:szCs w:val="24"/>
                <w:highlight w:val="none"/>
              </w:rPr>
              <w:t>量为</w:t>
            </w:r>
            <w:r>
              <w:rPr>
                <w:rFonts w:hint="default" w:ascii="Times New Roman" w:hAnsi="Times New Roman" w:cs="Times New Roman" w:eastAsiaTheme="minorEastAsia"/>
                <w:color w:val="auto"/>
                <w:sz w:val="24"/>
                <w:szCs w:val="24"/>
                <w:highlight w:val="none"/>
                <w:lang w:val="en-US" w:eastAsia="zh-CN"/>
              </w:rPr>
              <w:t>0</w:t>
            </w:r>
            <w:r>
              <w:rPr>
                <w:rFonts w:hint="eastAsia" w:cs="Times New Roman" w:eastAsiaTheme="minorEastAsia"/>
                <w:color w:val="auto"/>
                <w:sz w:val="24"/>
                <w:szCs w:val="24"/>
                <w:highlight w:val="none"/>
                <w:lang w:val="en-US" w:eastAsia="zh-CN"/>
              </w:rPr>
              <w:t>.0001</w:t>
            </w:r>
            <w:r>
              <w:rPr>
                <w:rFonts w:hint="default" w:ascii="Times New Roman" w:hAnsi="Times New Roman" w:cs="Times New Roman" w:eastAsiaTheme="minorEastAsia"/>
                <w:color w:val="auto"/>
                <w:sz w:val="24"/>
                <w:szCs w:val="24"/>
                <w:highlight w:val="none"/>
              </w:rPr>
              <w:t>t/a，</w:t>
            </w:r>
            <w:r>
              <w:rPr>
                <w:rFonts w:hint="default" w:ascii="Times New Roman" w:hAnsi="Times New Roman" w:cs="Times New Roman" w:eastAsiaTheme="minorEastAsia"/>
                <w:color w:val="auto"/>
                <w:sz w:val="24"/>
                <w:szCs w:val="24"/>
                <w:highlight w:val="none"/>
                <w:lang w:val="en-US" w:eastAsia="zh-CN"/>
              </w:rPr>
              <w:t>0.</w:t>
            </w:r>
            <w:r>
              <w:rPr>
                <w:rFonts w:hint="eastAsia" w:cs="Times New Roman" w:eastAsiaTheme="minorEastAsia"/>
                <w:color w:val="auto"/>
                <w:sz w:val="24"/>
                <w:szCs w:val="24"/>
                <w:highlight w:val="none"/>
                <w:lang w:val="en-US" w:eastAsia="zh-CN"/>
              </w:rPr>
              <w:t>00004</w:t>
            </w:r>
            <w:r>
              <w:rPr>
                <w:rFonts w:hint="default" w:ascii="Times New Roman" w:hAnsi="Times New Roman" w:cs="Times New Roman" w:eastAsiaTheme="minorEastAsia"/>
                <w:color w:val="auto"/>
                <w:sz w:val="24"/>
                <w:szCs w:val="24"/>
                <w:highlight w:val="none"/>
              </w:rPr>
              <w:t>kg/h</w:t>
            </w:r>
            <w:r>
              <w:rPr>
                <w:rFonts w:hint="default" w:ascii="Times New Roman" w:hAnsi="Times New Roman" w:cs="Times New Roman" w:eastAsiaTheme="minorEastAsia"/>
                <w:color w:val="auto"/>
                <w:sz w:val="24"/>
                <w:szCs w:val="24"/>
                <w:highlight w:val="none"/>
                <w:lang w:eastAsia="zh-CN"/>
              </w:rPr>
              <w:t>。</w:t>
            </w:r>
          </w:p>
          <w:p w14:paraId="5A1D4976">
            <w:pPr>
              <w:keepNext w:val="0"/>
              <w:keepLines/>
              <w:pageBreakBefore w:val="0"/>
              <w:kinsoku/>
              <w:wordWrap/>
              <w:overflowPunct/>
              <w:topLinePunct w:val="0"/>
              <w:autoSpaceDE/>
              <w:autoSpaceDN/>
              <w:bidi w:val="0"/>
              <w:adjustRightInd/>
              <w:ind w:firstLine="480"/>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（2）</w:t>
            </w:r>
            <w:r>
              <w:rPr>
                <w:rFonts w:hint="eastAsia" w:cs="Times New Roman" w:eastAsiaTheme="minorEastAsia"/>
                <w:b/>
                <w:bCs/>
                <w:color w:val="auto"/>
                <w:sz w:val="24"/>
                <w:szCs w:val="24"/>
                <w:lang w:val="en-US" w:eastAsia="zh-CN"/>
              </w:rPr>
              <w:t>臭气浓度</w:t>
            </w:r>
          </w:p>
          <w:p w14:paraId="749A7A9B">
            <w:pPr>
              <w:pStyle w:val="13"/>
              <w:keepNext w:val="0"/>
              <w:keepLines/>
              <w:pageBreakBefore w:val="0"/>
              <w:kinsoku/>
              <w:wordWrap/>
              <w:overflowPunct/>
              <w:topLinePunct w:val="0"/>
              <w:autoSpaceDE/>
              <w:autoSpaceDN/>
              <w:bidi w:val="0"/>
              <w:adjustRightInd/>
              <w:ind w:firstLine="48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项目在EPS泡沫颗粒生产过程中，会产生一定的特殊异味。</w:t>
            </w:r>
            <w:r>
              <w:rPr>
                <w:rFonts w:hint="default" w:ascii="Times New Roman" w:hAnsi="Times New Roman" w:cs="Times New Roman" w:eastAsiaTheme="minorEastAsia"/>
                <w:color w:val="auto"/>
                <w:sz w:val="24"/>
                <w:szCs w:val="24"/>
              </w:rPr>
              <w:t>本项目使用塑料颗粒均为新料，生产过程中会产生极少量的臭气，</w:t>
            </w:r>
            <w:r>
              <w:rPr>
                <w:rFonts w:hint="eastAsia" w:cs="Times New Roman" w:eastAsiaTheme="minorEastAsia"/>
                <w:color w:val="auto"/>
                <w:sz w:val="24"/>
                <w:szCs w:val="24"/>
                <w:lang w:val="en-US" w:eastAsia="zh-CN"/>
              </w:rPr>
              <w:t>产生的恶臭气体经集气罩收集后，通过活性炭吸附装置处理后，通过1根15m排气筒（DA001）外排，无法有效收集的部分呈无组织排放，通过大气扩散和周边植被吸附后净化后，</w:t>
            </w:r>
            <w:r>
              <w:rPr>
                <w:rFonts w:hint="default" w:ascii="Times New Roman" w:hAnsi="Times New Roman" w:cs="Times New Roman" w:eastAsiaTheme="minorEastAsia"/>
                <w:color w:val="auto"/>
                <w:sz w:val="24"/>
                <w:szCs w:val="24"/>
                <w:lang w:val="en-US" w:eastAsia="zh-CN"/>
              </w:rPr>
              <w:t>对周围环境影响较小。</w:t>
            </w:r>
          </w:p>
          <w:p w14:paraId="52B3652F">
            <w:pPr>
              <w:keepNext w:val="0"/>
              <w:keepLines/>
              <w:pageBreakBefore w:val="0"/>
              <w:kinsoku/>
              <w:wordWrap/>
              <w:overflowPunct/>
              <w:topLinePunct w:val="0"/>
              <w:autoSpaceDE/>
              <w:autoSpaceDN/>
              <w:bidi w:val="0"/>
              <w:adjustRightInd/>
              <w:ind w:firstLine="480"/>
              <w:textAlignment w:val="auto"/>
              <w:rPr>
                <w:rFonts w:hint="default" w:ascii="Times New Roman" w:hAnsi="Times New Roman" w:cs="Times New Roman" w:eastAsiaTheme="minorEastAsia"/>
                <w:b/>
                <w:bCs/>
                <w:color w:val="auto"/>
                <w:sz w:val="24"/>
                <w:szCs w:val="24"/>
                <w:lang w:val="en-US" w:eastAsia="zh-CN"/>
              </w:rPr>
            </w:pPr>
            <w:r>
              <w:rPr>
                <w:rFonts w:hint="eastAsia" w:cs="Times New Roman" w:eastAsiaTheme="minorEastAsia"/>
                <w:b/>
                <w:bCs/>
                <w:color w:val="auto"/>
                <w:sz w:val="24"/>
                <w:szCs w:val="24"/>
                <w:lang w:val="en-US" w:eastAsia="zh-CN"/>
              </w:rPr>
              <w:t>（3）生物质蒸汽发生器</w:t>
            </w:r>
            <w:r>
              <w:rPr>
                <w:rFonts w:hint="default" w:ascii="Times New Roman" w:hAnsi="Times New Roman" w:cs="Times New Roman" w:eastAsiaTheme="minorEastAsia"/>
                <w:b/>
                <w:bCs/>
                <w:color w:val="auto"/>
                <w:sz w:val="24"/>
                <w:szCs w:val="24"/>
                <w:lang w:val="en-US" w:eastAsia="zh-CN"/>
              </w:rPr>
              <w:t>废气</w:t>
            </w:r>
          </w:p>
          <w:p w14:paraId="0EBF09BD">
            <w:pPr>
              <w:pStyle w:val="13"/>
              <w:keepNext w:val="0"/>
              <w:keepLines/>
              <w:pageBreakBefore w:val="0"/>
              <w:kinsoku/>
              <w:wordWrap/>
              <w:overflowPunct/>
              <w:topLinePunct w:val="0"/>
              <w:autoSpaceDE/>
              <w:autoSpaceDN/>
              <w:bidi w:val="0"/>
              <w:adjustRightInd/>
              <w:ind w:firstLine="48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根据工程分析可知，本项目设置1台3t/h的生物质蒸汽发生器为发泡过程提供热量，</w:t>
            </w:r>
            <w:r>
              <w:rPr>
                <w:rFonts w:hint="eastAsia" w:cs="Times New Roman" w:eastAsiaTheme="minorEastAsia"/>
                <w:color w:val="auto"/>
                <w:sz w:val="24"/>
                <w:szCs w:val="24"/>
                <w:lang w:val="en-US" w:eastAsia="zh-CN"/>
              </w:rPr>
              <w:t>生物质蒸汽发生器</w:t>
            </w:r>
            <w:r>
              <w:rPr>
                <w:rFonts w:hint="default" w:ascii="Times New Roman" w:hAnsi="Times New Roman" w:cs="Times New Roman" w:eastAsiaTheme="minorEastAsia"/>
                <w:color w:val="auto"/>
                <w:sz w:val="24"/>
                <w:szCs w:val="24"/>
                <w:lang w:val="en-US" w:eastAsia="zh-CN"/>
              </w:rPr>
              <w:t>使用燃料为生物质成型燃料，年用生物质颗粒燃料为1500t/a，本项目</w:t>
            </w:r>
            <w:r>
              <w:rPr>
                <w:rFonts w:hint="eastAsia" w:cs="Times New Roman" w:eastAsiaTheme="minorEastAsia"/>
                <w:color w:val="auto"/>
                <w:sz w:val="24"/>
                <w:szCs w:val="24"/>
                <w:lang w:val="en-US" w:eastAsia="zh-CN"/>
              </w:rPr>
              <w:t>生物质蒸汽发生器</w:t>
            </w:r>
            <w:r>
              <w:rPr>
                <w:rFonts w:hint="default" w:ascii="Times New Roman" w:hAnsi="Times New Roman" w:cs="Times New Roman" w:eastAsiaTheme="minorEastAsia"/>
                <w:color w:val="auto"/>
                <w:sz w:val="24"/>
                <w:szCs w:val="24"/>
                <w:lang w:val="en-US" w:eastAsia="zh-CN"/>
              </w:rPr>
              <w:t>燃料燃烧废气参照中华人民共和国生态环境部2021年6月11日发布的《排放源统计调查产排污核算方法和系数手册》的公告（公告2021年第24号）中《锅炉产排污量核算系数手册》4430工业锅炉（热力生产和供应行业）产排污系数表-生物质工业锅炉的产排污系数进行计算，产排污系数见表4-</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w:t>
            </w:r>
          </w:p>
          <w:p w14:paraId="60F4BA23">
            <w:pPr>
              <w:pStyle w:val="110"/>
              <w:keepNext w:val="0"/>
              <w:keepLines w:val="0"/>
              <w:pageBreakBefore w:val="0"/>
              <w:widowControl w:val="0"/>
              <w:kinsoku/>
              <w:wordWrap/>
              <w:overflowPunct/>
              <w:topLinePunct w:val="0"/>
              <w:autoSpaceDE/>
              <w:autoSpaceDN/>
              <w:bidi w:val="0"/>
              <w:adjustRightInd/>
              <w:snapToGrid/>
              <w:spacing w:before="0" w:line="240" w:lineRule="auto"/>
              <w:ind w:firstLine="0" w:firstLineChars="0"/>
              <w:textAlignment w:val="auto"/>
              <w:rPr>
                <w:color w:val="auto"/>
              </w:rPr>
            </w:pPr>
            <w:r>
              <w:rPr>
                <w:color w:val="auto"/>
              </w:rPr>
              <w:t>表4-</w:t>
            </w:r>
            <w:r>
              <w:rPr>
                <w:rFonts w:hint="eastAsia"/>
                <w:color w:val="auto"/>
                <w:lang w:val="en-US" w:eastAsia="zh-CN"/>
              </w:rPr>
              <w:t>2</w:t>
            </w:r>
            <w:r>
              <w:rPr>
                <w:color w:val="auto"/>
              </w:rPr>
              <w:t xml:space="preserve">  工业锅炉产排污系数表</w:t>
            </w:r>
            <w:r>
              <w:rPr>
                <w:rFonts w:hint="eastAsia"/>
                <w:color w:val="auto"/>
                <w:lang w:eastAsia="zh-CN"/>
              </w:rPr>
              <w:t>（</w:t>
            </w:r>
            <w:r>
              <w:rPr>
                <w:color w:val="auto"/>
              </w:rPr>
              <w:t>生物质工业锅炉</w:t>
            </w:r>
            <w:r>
              <w:rPr>
                <w:rFonts w:hint="eastAsia"/>
                <w:color w:val="auto"/>
                <w:lang w:eastAsia="zh-CN"/>
              </w:rPr>
              <w:t>）</w:t>
            </w:r>
          </w:p>
          <w:tbl>
            <w:tblPr>
              <w:tblStyle w:val="33"/>
              <w:tblW w:w="4996"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6"/>
              <w:gridCol w:w="678"/>
              <w:gridCol w:w="661"/>
              <w:gridCol w:w="948"/>
              <w:gridCol w:w="1197"/>
              <w:gridCol w:w="975"/>
              <w:gridCol w:w="1652"/>
              <w:gridCol w:w="1049"/>
            </w:tblGrid>
            <w:tr w14:paraId="1C44F61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76" w:type="dxa"/>
                  <w:tcBorders>
                    <w:tl2br w:val="nil"/>
                    <w:tr2bl w:val="nil"/>
                  </w:tcBorders>
                  <w:vAlign w:val="center"/>
                </w:tcPr>
                <w:p w14:paraId="52B84EA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产品名称</w:t>
                  </w:r>
                </w:p>
              </w:tc>
              <w:tc>
                <w:tcPr>
                  <w:tcW w:w="678" w:type="dxa"/>
                  <w:tcBorders>
                    <w:tl2br w:val="nil"/>
                    <w:tr2bl w:val="nil"/>
                  </w:tcBorders>
                  <w:vAlign w:val="center"/>
                </w:tcPr>
                <w:p w14:paraId="01917C8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原料名称</w:t>
                  </w:r>
                </w:p>
              </w:tc>
              <w:tc>
                <w:tcPr>
                  <w:tcW w:w="661" w:type="dxa"/>
                  <w:tcBorders>
                    <w:tl2br w:val="nil"/>
                    <w:tr2bl w:val="nil"/>
                  </w:tcBorders>
                  <w:vAlign w:val="center"/>
                </w:tcPr>
                <w:p w14:paraId="44C3D4E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工艺名称</w:t>
                  </w:r>
                </w:p>
              </w:tc>
              <w:tc>
                <w:tcPr>
                  <w:tcW w:w="948" w:type="dxa"/>
                  <w:tcBorders>
                    <w:tl2br w:val="nil"/>
                    <w:tr2bl w:val="nil"/>
                  </w:tcBorders>
                  <w:vAlign w:val="center"/>
                </w:tcPr>
                <w:p w14:paraId="1DB5A68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污染物指标</w:t>
                  </w:r>
                </w:p>
              </w:tc>
              <w:tc>
                <w:tcPr>
                  <w:tcW w:w="1197" w:type="dxa"/>
                  <w:tcBorders>
                    <w:tl2br w:val="nil"/>
                    <w:tr2bl w:val="nil"/>
                  </w:tcBorders>
                  <w:vAlign w:val="center"/>
                </w:tcPr>
                <w:p w14:paraId="1893AE3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单位</w:t>
                  </w:r>
                </w:p>
              </w:tc>
              <w:tc>
                <w:tcPr>
                  <w:tcW w:w="975" w:type="dxa"/>
                  <w:tcBorders>
                    <w:tl2br w:val="nil"/>
                    <w:tr2bl w:val="nil"/>
                  </w:tcBorders>
                  <w:vAlign w:val="center"/>
                </w:tcPr>
                <w:p w14:paraId="4402A7A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产污系数</w:t>
                  </w:r>
                </w:p>
              </w:tc>
              <w:tc>
                <w:tcPr>
                  <w:tcW w:w="1652" w:type="dxa"/>
                  <w:tcBorders>
                    <w:tl2br w:val="nil"/>
                    <w:tr2bl w:val="nil"/>
                  </w:tcBorders>
                  <w:vAlign w:val="center"/>
                </w:tcPr>
                <w:p w14:paraId="5C8DD0A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末端治理技术名称</w:t>
                  </w:r>
                </w:p>
              </w:tc>
              <w:tc>
                <w:tcPr>
                  <w:tcW w:w="1049" w:type="dxa"/>
                  <w:tcBorders>
                    <w:tl2br w:val="nil"/>
                    <w:tr2bl w:val="nil"/>
                  </w:tcBorders>
                  <w:vAlign w:val="center"/>
                </w:tcPr>
                <w:p w14:paraId="1FE912D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eastAsia" w:ascii="Times New Roman" w:hAnsi="Times New Roman" w:eastAsia="宋体" w:cs="Times New Roman"/>
                      <w:b/>
                      <w:bCs/>
                      <w:color w:val="auto"/>
                      <w:sz w:val="21"/>
                      <w:szCs w:val="21"/>
                      <w:vertAlign w:val="baseline"/>
                      <w:lang w:val="en-US" w:eastAsia="zh-CN"/>
                    </w:rPr>
                    <w:t>去除效率（%）</w:t>
                  </w:r>
                </w:p>
              </w:tc>
            </w:tr>
            <w:tr w14:paraId="068EA9C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676" w:type="dxa"/>
                  <w:vMerge w:val="restart"/>
                  <w:tcBorders>
                    <w:tl2br w:val="nil"/>
                    <w:tr2bl w:val="nil"/>
                  </w:tcBorders>
                  <w:vAlign w:val="center"/>
                </w:tcPr>
                <w:p w14:paraId="15C8573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蒸汽/热水/其他</w:t>
                  </w:r>
                </w:p>
              </w:tc>
              <w:tc>
                <w:tcPr>
                  <w:tcW w:w="678" w:type="dxa"/>
                  <w:vMerge w:val="restart"/>
                  <w:tcBorders>
                    <w:tl2br w:val="nil"/>
                    <w:tr2bl w:val="nil"/>
                  </w:tcBorders>
                  <w:vAlign w:val="center"/>
                </w:tcPr>
                <w:p w14:paraId="3DC832E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生物质燃料</w:t>
                  </w:r>
                </w:p>
              </w:tc>
              <w:tc>
                <w:tcPr>
                  <w:tcW w:w="661" w:type="dxa"/>
                  <w:vMerge w:val="restart"/>
                  <w:tcBorders>
                    <w:tl2br w:val="nil"/>
                    <w:tr2bl w:val="nil"/>
                  </w:tcBorders>
                  <w:vAlign w:val="center"/>
                </w:tcPr>
                <w:p w14:paraId="4770A54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层燃炉</w:t>
                  </w:r>
                </w:p>
              </w:tc>
              <w:tc>
                <w:tcPr>
                  <w:tcW w:w="948" w:type="dxa"/>
                  <w:tcBorders>
                    <w:tl2br w:val="nil"/>
                    <w:tr2bl w:val="nil"/>
                  </w:tcBorders>
                  <w:vAlign w:val="center"/>
                </w:tcPr>
                <w:p w14:paraId="1B11B25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工业废气量</w:t>
                  </w:r>
                </w:p>
              </w:tc>
              <w:tc>
                <w:tcPr>
                  <w:tcW w:w="1197" w:type="dxa"/>
                  <w:tcBorders>
                    <w:tl2br w:val="nil"/>
                    <w:tr2bl w:val="nil"/>
                  </w:tcBorders>
                </w:tcPr>
                <w:p w14:paraId="50F66E6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标立方米/吨-原料</w:t>
                  </w:r>
                </w:p>
              </w:tc>
              <w:tc>
                <w:tcPr>
                  <w:tcW w:w="975" w:type="dxa"/>
                  <w:tcBorders>
                    <w:tl2br w:val="nil"/>
                    <w:tr2bl w:val="nil"/>
                  </w:tcBorders>
                  <w:vAlign w:val="center"/>
                </w:tcPr>
                <w:p w14:paraId="052D0BA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6240</w:t>
                  </w:r>
                </w:p>
              </w:tc>
              <w:tc>
                <w:tcPr>
                  <w:tcW w:w="1652" w:type="dxa"/>
                  <w:tcBorders>
                    <w:tl2br w:val="nil"/>
                    <w:tr2bl w:val="nil"/>
                  </w:tcBorders>
                  <w:vAlign w:val="center"/>
                </w:tcPr>
                <w:p w14:paraId="1E95AFE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直排</w:t>
                  </w:r>
                </w:p>
              </w:tc>
              <w:tc>
                <w:tcPr>
                  <w:tcW w:w="1049" w:type="dxa"/>
                  <w:tcBorders>
                    <w:tl2br w:val="nil"/>
                    <w:tr2bl w:val="nil"/>
                  </w:tcBorders>
                  <w:vAlign w:val="center"/>
                </w:tcPr>
                <w:p w14:paraId="5DD3653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p>
              </w:tc>
            </w:tr>
            <w:tr w14:paraId="46958207">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76" w:type="dxa"/>
                  <w:vMerge w:val="continue"/>
                  <w:tcBorders>
                    <w:tl2br w:val="nil"/>
                    <w:tr2bl w:val="nil"/>
                  </w:tcBorders>
                  <w:vAlign w:val="center"/>
                </w:tcPr>
                <w:p w14:paraId="010B5F7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78" w:type="dxa"/>
                  <w:vMerge w:val="continue"/>
                  <w:tcBorders>
                    <w:tl2br w:val="nil"/>
                    <w:tr2bl w:val="nil"/>
                  </w:tcBorders>
                  <w:vAlign w:val="center"/>
                </w:tcPr>
                <w:p w14:paraId="4882BD7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61" w:type="dxa"/>
                  <w:vMerge w:val="continue"/>
                  <w:tcBorders>
                    <w:tl2br w:val="nil"/>
                    <w:tr2bl w:val="nil"/>
                  </w:tcBorders>
                  <w:vAlign w:val="center"/>
                </w:tcPr>
                <w:p w14:paraId="324C9A9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48" w:type="dxa"/>
                  <w:tcBorders>
                    <w:tl2br w:val="nil"/>
                    <w:tr2bl w:val="nil"/>
                  </w:tcBorders>
                  <w:vAlign w:val="center"/>
                </w:tcPr>
                <w:p w14:paraId="47E61FF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2</w:t>
                  </w:r>
                </w:p>
              </w:tc>
              <w:tc>
                <w:tcPr>
                  <w:tcW w:w="1197" w:type="dxa"/>
                  <w:tcBorders>
                    <w:tl2br w:val="nil"/>
                    <w:tr2bl w:val="nil"/>
                  </w:tcBorders>
                </w:tcPr>
                <w:p w14:paraId="07F5ADF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千克/吨-原料</w:t>
                  </w:r>
                </w:p>
              </w:tc>
              <w:tc>
                <w:tcPr>
                  <w:tcW w:w="975" w:type="dxa"/>
                  <w:tcBorders>
                    <w:tl2br w:val="nil"/>
                    <w:tr2bl w:val="nil"/>
                  </w:tcBorders>
                  <w:vAlign w:val="center"/>
                </w:tcPr>
                <w:p w14:paraId="689D5EB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17S</w:t>
                  </w:r>
                  <w:r>
                    <w:rPr>
                      <w:rFonts w:hint="default" w:ascii="Times New Roman" w:hAnsi="Times New Roman" w:eastAsia="宋体" w:cs="Times New Roman"/>
                      <w:b w:val="0"/>
                      <w:bCs w:val="0"/>
                      <w:color w:val="auto"/>
                      <w:sz w:val="21"/>
                      <w:szCs w:val="21"/>
                      <w:vertAlign w:val="superscript"/>
                      <w:lang w:val="en-US" w:eastAsia="zh-CN"/>
                    </w:rPr>
                    <w:t>①</w:t>
                  </w:r>
                </w:p>
              </w:tc>
              <w:tc>
                <w:tcPr>
                  <w:tcW w:w="1652" w:type="dxa"/>
                  <w:tcBorders>
                    <w:tl2br w:val="nil"/>
                    <w:tr2bl w:val="nil"/>
                  </w:tcBorders>
                  <w:vAlign w:val="center"/>
                </w:tcPr>
                <w:p w14:paraId="4636AF3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直排</w:t>
                  </w:r>
                </w:p>
              </w:tc>
              <w:tc>
                <w:tcPr>
                  <w:tcW w:w="1049" w:type="dxa"/>
                  <w:tcBorders>
                    <w:tl2br w:val="nil"/>
                    <w:tr2bl w:val="nil"/>
                  </w:tcBorders>
                  <w:vAlign w:val="center"/>
                </w:tcPr>
                <w:p w14:paraId="62646B0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p>
              </w:tc>
            </w:tr>
            <w:tr w14:paraId="4B36118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76" w:type="dxa"/>
                  <w:vMerge w:val="continue"/>
                  <w:tcBorders>
                    <w:tl2br w:val="nil"/>
                    <w:tr2bl w:val="nil"/>
                  </w:tcBorders>
                  <w:vAlign w:val="center"/>
                </w:tcPr>
                <w:p w14:paraId="58A67ED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78" w:type="dxa"/>
                  <w:vMerge w:val="continue"/>
                  <w:tcBorders>
                    <w:tl2br w:val="nil"/>
                    <w:tr2bl w:val="nil"/>
                  </w:tcBorders>
                  <w:vAlign w:val="center"/>
                </w:tcPr>
                <w:p w14:paraId="534DE9B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61" w:type="dxa"/>
                  <w:vMerge w:val="continue"/>
                  <w:tcBorders>
                    <w:tl2br w:val="nil"/>
                    <w:tr2bl w:val="nil"/>
                  </w:tcBorders>
                  <w:vAlign w:val="center"/>
                </w:tcPr>
                <w:p w14:paraId="5E88B07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48" w:type="dxa"/>
                  <w:tcBorders>
                    <w:tl2br w:val="nil"/>
                    <w:tr2bl w:val="nil"/>
                  </w:tcBorders>
                  <w:vAlign w:val="center"/>
                </w:tcPr>
                <w:p w14:paraId="7C8790E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颗粒物</w:t>
                  </w:r>
                </w:p>
              </w:tc>
              <w:tc>
                <w:tcPr>
                  <w:tcW w:w="1197" w:type="dxa"/>
                  <w:tcBorders>
                    <w:tl2br w:val="nil"/>
                    <w:tr2bl w:val="nil"/>
                  </w:tcBorders>
                  <w:vAlign w:val="center"/>
                </w:tcPr>
                <w:p w14:paraId="5393928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千克/吨-原料</w:t>
                  </w:r>
                </w:p>
              </w:tc>
              <w:tc>
                <w:tcPr>
                  <w:tcW w:w="975" w:type="dxa"/>
                  <w:tcBorders>
                    <w:tl2br w:val="nil"/>
                    <w:tr2bl w:val="nil"/>
                  </w:tcBorders>
                  <w:vAlign w:val="center"/>
                </w:tcPr>
                <w:p w14:paraId="238074D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37.6</w:t>
                  </w:r>
                </w:p>
              </w:tc>
              <w:tc>
                <w:tcPr>
                  <w:tcW w:w="1652" w:type="dxa"/>
                  <w:tcBorders>
                    <w:tl2br w:val="nil"/>
                    <w:tr2bl w:val="nil"/>
                  </w:tcBorders>
                  <w:vAlign w:val="center"/>
                </w:tcPr>
                <w:p w14:paraId="23EB19D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旋风除尘（处理效率为36%）</w:t>
                  </w:r>
                </w:p>
                <w:p w14:paraId="3832553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袋式除尘</w:t>
                  </w:r>
                  <w:r>
                    <w:rPr>
                      <w:rFonts w:hint="eastAsia" w:cs="Times New Roman"/>
                      <w:b w:val="0"/>
                      <w:bCs w:val="0"/>
                      <w:color w:val="auto"/>
                      <w:sz w:val="21"/>
                      <w:szCs w:val="21"/>
                      <w:vertAlign w:val="baseline"/>
                      <w:lang w:val="en-US" w:eastAsia="zh-CN"/>
                    </w:rPr>
                    <w:t>（处理效率为98.4%）</w:t>
                  </w:r>
                </w:p>
              </w:tc>
              <w:tc>
                <w:tcPr>
                  <w:tcW w:w="1049" w:type="dxa"/>
                  <w:tcBorders>
                    <w:tl2br w:val="nil"/>
                    <w:tr2bl w:val="nil"/>
                  </w:tcBorders>
                  <w:vAlign w:val="center"/>
                </w:tcPr>
                <w:p w14:paraId="5022CF2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99.</w:t>
                  </w:r>
                  <w:r>
                    <w:rPr>
                      <w:rFonts w:hint="eastAsia" w:cs="Times New Roman"/>
                      <w:b w:val="0"/>
                      <w:bCs w:val="0"/>
                      <w:color w:val="auto"/>
                      <w:sz w:val="21"/>
                      <w:szCs w:val="21"/>
                      <w:vertAlign w:val="baseline"/>
                      <w:lang w:val="en-US" w:eastAsia="zh-CN"/>
                    </w:rPr>
                    <w:t>9</w:t>
                  </w:r>
                </w:p>
              </w:tc>
            </w:tr>
            <w:tr w14:paraId="7C2F5116">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76" w:type="dxa"/>
                  <w:vMerge w:val="continue"/>
                  <w:tcBorders>
                    <w:tl2br w:val="nil"/>
                    <w:tr2bl w:val="nil"/>
                  </w:tcBorders>
                  <w:vAlign w:val="center"/>
                </w:tcPr>
                <w:p w14:paraId="0B821B2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78" w:type="dxa"/>
                  <w:vMerge w:val="continue"/>
                  <w:tcBorders>
                    <w:tl2br w:val="nil"/>
                    <w:tr2bl w:val="nil"/>
                  </w:tcBorders>
                  <w:vAlign w:val="center"/>
                </w:tcPr>
                <w:p w14:paraId="7565F4A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661" w:type="dxa"/>
                  <w:vMerge w:val="continue"/>
                  <w:tcBorders>
                    <w:tl2br w:val="nil"/>
                    <w:tr2bl w:val="nil"/>
                  </w:tcBorders>
                  <w:vAlign w:val="center"/>
                </w:tcPr>
                <w:p w14:paraId="3B73D83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948" w:type="dxa"/>
                  <w:tcBorders>
                    <w:tl2br w:val="nil"/>
                    <w:tr2bl w:val="nil"/>
                  </w:tcBorders>
                  <w:vAlign w:val="center"/>
                </w:tcPr>
                <w:p w14:paraId="330E99D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NO</w:t>
                  </w:r>
                  <w:r>
                    <w:rPr>
                      <w:rFonts w:hint="default" w:ascii="Times New Roman" w:hAnsi="Times New Roman" w:eastAsia="宋体" w:cs="Times New Roman"/>
                      <w:b w:val="0"/>
                      <w:bCs w:val="0"/>
                      <w:color w:val="auto"/>
                      <w:sz w:val="21"/>
                      <w:szCs w:val="21"/>
                      <w:vertAlign w:val="subscript"/>
                      <w:lang w:val="en-US" w:eastAsia="zh-CN"/>
                    </w:rPr>
                    <w:t>x</w:t>
                  </w:r>
                </w:p>
              </w:tc>
              <w:tc>
                <w:tcPr>
                  <w:tcW w:w="1197" w:type="dxa"/>
                  <w:tcBorders>
                    <w:tl2br w:val="nil"/>
                    <w:tr2bl w:val="nil"/>
                  </w:tcBorders>
                </w:tcPr>
                <w:p w14:paraId="170B62C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千克/吨-原料</w:t>
                  </w:r>
                </w:p>
              </w:tc>
              <w:tc>
                <w:tcPr>
                  <w:tcW w:w="975" w:type="dxa"/>
                  <w:tcBorders>
                    <w:tl2br w:val="nil"/>
                    <w:tr2bl w:val="nil"/>
                  </w:tcBorders>
                  <w:vAlign w:val="center"/>
                </w:tcPr>
                <w:p w14:paraId="76B8851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1.02</w:t>
                  </w:r>
                </w:p>
              </w:tc>
              <w:tc>
                <w:tcPr>
                  <w:tcW w:w="1652" w:type="dxa"/>
                  <w:tcBorders>
                    <w:tl2br w:val="nil"/>
                    <w:tr2bl w:val="nil"/>
                  </w:tcBorders>
                  <w:vAlign w:val="center"/>
                </w:tcPr>
                <w:p w14:paraId="559295C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直排</w:t>
                  </w:r>
                </w:p>
              </w:tc>
              <w:tc>
                <w:tcPr>
                  <w:tcW w:w="1049" w:type="dxa"/>
                  <w:tcBorders>
                    <w:tl2br w:val="nil"/>
                    <w:tr2bl w:val="nil"/>
                  </w:tcBorders>
                  <w:vAlign w:val="center"/>
                </w:tcPr>
                <w:p w14:paraId="27512FF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w:t>
                  </w:r>
                </w:p>
              </w:tc>
            </w:tr>
            <w:tr w14:paraId="5661CD4B">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836" w:type="dxa"/>
                  <w:gridSpan w:val="8"/>
                  <w:tcBorders>
                    <w:tl2br w:val="nil"/>
                    <w:tr2bl w:val="nil"/>
                  </w:tcBorders>
                  <w:vAlign w:val="center"/>
                </w:tcPr>
                <w:p w14:paraId="0952739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注：①二氧化硫的产污系数是以含硫量（S%）的形式表示的，其中含硫量（S%）是指生物质收到基硫分含量，以质量百分数的形式表示。例如生物质中含硫量（S%）为0.1%，则S=0.1。</w:t>
                  </w:r>
                  <w:r>
                    <w:rPr>
                      <w:rFonts w:hint="eastAsia" w:ascii="Times New Roman" w:hAnsi="Times New Roman" w:eastAsia="宋体" w:cs="Times New Roman"/>
                      <w:b w:val="0"/>
                      <w:bCs w:val="0"/>
                      <w:color w:val="auto"/>
                      <w:sz w:val="21"/>
                      <w:szCs w:val="21"/>
                      <w:vertAlign w:val="baseline"/>
                      <w:lang w:val="en-US" w:eastAsia="zh-CN"/>
                    </w:rPr>
                    <w:t>根据本项目使用生物质燃料成分表，含硫量S=0.03</w:t>
                  </w:r>
                </w:p>
              </w:tc>
            </w:tr>
          </w:tbl>
          <w:p w14:paraId="4A43B0AB">
            <w:pPr>
              <w:pStyle w:val="92"/>
              <w:ind w:firstLine="480"/>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项目</w:t>
            </w:r>
            <w:r>
              <w:rPr>
                <w:rFonts w:hint="eastAsia" w:cs="Times New Roman" w:eastAsiaTheme="minorEastAsia"/>
                <w:color w:val="auto"/>
                <w:kern w:val="2"/>
                <w:sz w:val="24"/>
                <w:szCs w:val="24"/>
                <w:lang w:val="en-US" w:eastAsia="zh-CN" w:bidi="ar-SA"/>
              </w:rPr>
              <w:t>生物质蒸汽发生器</w:t>
            </w:r>
            <w:r>
              <w:rPr>
                <w:rFonts w:hint="default" w:ascii="Times New Roman" w:hAnsi="Times New Roman" w:cs="Times New Roman" w:eastAsiaTheme="minorEastAsia"/>
                <w:color w:val="auto"/>
                <w:kern w:val="2"/>
                <w:sz w:val="24"/>
                <w:szCs w:val="24"/>
                <w:lang w:val="en-US" w:eastAsia="zh-CN" w:bidi="ar-SA"/>
              </w:rPr>
              <w:t>燃烧废气通过管道引至</w:t>
            </w:r>
            <w:r>
              <w:rPr>
                <w:rFonts w:hint="eastAsia" w:cs="Times New Roman" w:eastAsiaTheme="minorEastAsia"/>
                <w:color w:val="auto"/>
                <w:kern w:val="2"/>
                <w:sz w:val="24"/>
                <w:szCs w:val="24"/>
                <w:lang w:val="en-US" w:eastAsia="zh-CN" w:bidi="ar-SA"/>
              </w:rPr>
              <w:t>旋风除尘+布袋除尘</w:t>
            </w:r>
            <w:r>
              <w:rPr>
                <w:rFonts w:hint="default" w:ascii="Times New Roman" w:hAnsi="Times New Roman" w:cs="Times New Roman" w:eastAsiaTheme="minorEastAsia"/>
                <w:color w:val="auto"/>
                <w:kern w:val="2"/>
                <w:sz w:val="24"/>
                <w:szCs w:val="24"/>
                <w:lang w:val="en-US" w:eastAsia="zh-CN" w:bidi="ar-SA"/>
              </w:rPr>
              <w:t>处理后</w:t>
            </w:r>
            <w:r>
              <w:rPr>
                <w:rFonts w:hint="eastAsia" w:ascii="Times New Roman" w:hAnsi="Times New Roman" w:cs="Times New Roman" w:eastAsiaTheme="minorEastAsia"/>
                <w:color w:val="auto"/>
                <w:kern w:val="2"/>
                <w:sz w:val="24"/>
                <w:szCs w:val="24"/>
                <w:lang w:val="en-US" w:eastAsia="zh-CN" w:bidi="ar-SA"/>
              </w:rPr>
              <w:t>，通过</w:t>
            </w:r>
            <w:r>
              <w:rPr>
                <w:rFonts w:hint="default" w:ascii="Times New Roman" w:hAnsi="Times New Roman" w:cs="Times New Roman" w:eastAsiaTheme="minorEastAsia"/>
                <w:color w:val="auto"/>
                <w:kern w:val="2"/>
                <w:sz w:val="24"/>
                <w:szCs w:val="24"/>
                <w:lang w:val="en-US" w:eastAsia="zh-CN" w:bidi="ar-SA"/>
              </w:rPr>
              <w:t>一根</w:t>
            </w:r>
            <w:r>
              <w:rPr>
                <w:rFonts w:hint="eastAsia" w:ascii="Times New Roman" w:hAnsi="Times New Roman" w:cs="Times New Roman" w:eastAsiaTheme="minorEastAsia"/>
                <w:color w:val="auto"/>
                <w:kern w:val="2"/>
                <w:sz w:val="24"/>
                <w:szCs w:val="24"/>
                <w:lang w:val="en-US" w:eastAsia="zh-CN" w:bidi="ar-SA"/>
              </w:rPr>
              <w:t>30</w:t>
            </w:r>
            <w:r>
              <w:rPr>
                <w:rFonts w:hint="default" w:ascii="Times New Roman" w:hAnsi="Times New Roman" w:cs="Times New Roman" w:eastAsiaTheme="minorEastAsia"/>
                <w:color w:val="auto"/>
                <w:kern w:val="2"/>
                <w:sz w:val="24"/>
                <w:szCs w:val="24"/>
                <w:lang w:val="en-US" w:eastAsia="zh-CN" w:bidi="ar-SA"/>
              </w:rPr>
              <w:t>m排气筒（DA00</w:t>
            </w:r>
            <w:r>
              <w:rPr>
                <w:rFonts w:hint="eastAsia" w:ascii="Times New Roman" w:hAnsi="Times New Roman" w:cs="Times New Roman" w:eastAsiaTheme="minorEastAsia"/>
                <w:color w:val="auto"/>
                <w:kern w:val="2"/>
                <w:sz w:val="24"/>
                <w:szCs w:val="24"/>
                <w:lang w:val="en-US" w:eastAsia="zh-CN" w:bidi="ar-SA"/>
              </w:rPr>
              <w:t>2</w:t>
            </w:r>
            <w:r>
              <w:rPr>
                <w:rFonts w:hint="default" w:ascii="Times New Roman" w:hAnsi="Times New Roman" w:cs="Times New Roman" w:eastAsiaTheme="minorEastAsia"/>
                <w:color w:val="auto"/>
                <w:kern w:val="2"/>
                <w:sz w:val="24"/>
                <w:szCs w:val="24"/>
                <w:lang w:val="en-US" w:eastAsia="zh-CN" w:bidi="ar-SA"/>
              </w:rPr>
              <w:t>）排放</w:t>
            </w:r>
            <w:r>
              <w:rPr>
                <w:rFonts w:hint="eastAsia" w:cs="Times New Roman" w:eastAsiaTheme="minorEastAsia"/>
                <w:color w:val="auto"/>
                <w:kern w:val="2"/>
                <w:sz w:val="24"/>
                <w:szCs w:val="24"/>
                <w:lang w:val="en-US" w:eastAsia="zh-CN" w:bidi="ar-SA"/>
              </w:rPr>
              <w:t>，生物质蒸汽发生器</w:t>
            </w:r>
            <w:r>
              <w:rPr>
                <w:rFonts w:hint="default" w:ascii="Times New Roman" w:hAnsi="Times New Roman" w:cs="Times New Roman" w:eastAsiaTheme="minorEastAsia"/>
                <w:color w:val="auto"/>
                <w:kern w:val="2"/>
                <w:sz w:val="24"/>
                <w:szCs w:val="24"/>
                <w:lang w:val="en-US" w:eastAsia="zh-CN" w:bidi="ar-SA"/>
              </w:rPr>
              <w:t>燃烧后各污染物的源强见表4-</w:t>
            </w:r>
            <w:r>
              <w:rPr>
                <w:rFonts w:hint="eastAsia" w:cs="Times New Roman" w:eastAsiaTheme="minorEastAsia"/>
                <w:color w:val="auto"/>
                <w:kern w:val="2"/>
                <w:sz w:val="24"/>
                <w:szCs w:val="24"/>
                <w:lang w:val="en-US" w:eastAsia="zh-CN" w:bidi="ar-SA"/>
              </w:rPr>
              <w:t>3</w:t>
            </w:r>
            <w:r>
              <w:rPr>
                <w:rFonts w:hint="default" w:ascii="Times New Roman" w:hAnsi="Times New Roman" w:cs="Times New Roman" w:eastAsiaTheme="minorEastAsia"/>
                <w:color w:val="auto"/>
                <w:kern w:val="2"/>
                <w:sz w:val="24"/>
                <w:szCs w:val="24"/>
                <w:lang w:val="en-US" w:eastAsia="zh-CN" w:bidi="ar-SA"/>
              </w:rPr>
              <w:t>。</w:t>
            </w:r>
          </w:p>
          <w:p w14:paraId="22C761AB">
            <w:pPr>
              <w:pStyle w:val="110"/>
              <w:keepNext w:val="0"/>
              <w:keepLines w:val="0"/>
              <w:pageBreakBefore w:val="0"/>
              <w:widowControl w:val="0"/>
              <w:kinsoku/>
              <w:wordWrap/>
              <w:overflowPunct/>
              <w:topLinePunct w:val="0"/>
              <w:autoSpaceDE/>
              <w:autoSpaceDN/>
              <w:bidi w:val="0"/>
              <w:adjustRightInd/>
              <w:snapToGrid/>
              <w:spacing w:before="0" w:line="240" w:lineRule="auto"/>
              <w:ind w:firstLine="0" w:firstLineChars="0"/>
              <w:textAlignment w:val="auto"/>
              <w:rPr>
                <w:color w:val="auto"/>
              </w:rPr>
            </w:pPr>
          </w:p>
          <w:p w14:paraId="4C21E427">
            <w:pPr>
              <w:pStyle w:val="110"/>
              <w:keepNext w:val="0"/>
              <w:keepLines w:val="0"/>
              <w:pageBreakBefore w:val="0"/>
              <w:widowControl w:val="0"/>
              <w:kinsoku/>
              <w:wordWrap/>
              <w:overflowPunct/>
              <w:topLinePunct w:val="0"/>
              <w:autoSpaceDE/>
              <w:autoSpaceDN/>
              <w:bidi w:val="0"/>
              <w:adjustRightInd/>
              <w:snapToGrid/>
              <w:spacing w:before="0" w:line="240" w:lineRule="auto"/>
              <w:ind w:firstLine="0" w:firstLineChars="0"/>
              <w:textAlignment w:val="auto"/>
              <w:rPr>
                <w:color w:val="auto"/>
              </w:rPr>
            </w:pPr>
            <w:r>
              <w:rPr>
                <w:color w:val="auto"/>
              </w:rPr>
              <w:t>表4-</w:t>
            </w:r>
            <w:r>
              <w:rPr>
                <w:rFonts w:hint="eastAsia"/>
                <w:color w:val="auto"/>
                <w:lang w:val="en-US" w:eastAsia="zh-CN"/>
              </w:rPr>
              <w:t>3</w:t>
            </w:r>
            <w:r>
              <w:rPr>
                <w:color w:val="auto"/>
              </w:rPr>
              <w:t xml:space="preserve">  </w:t>
            </w:r>
            <w:r>
              <w:rPr>
                <w:rFonts w:hint="eastAsia"/>
                <w:color w:val="auto"/>
                <w:lang w:eastAsia="zh-CN"/>
              </w:rPr>
              <w:t>生物质蒸汽发生器</w:t>
            </w:r>
            <w:r>
              <w:rPr>
                <w:color w:val="auto"/>
              </w:rPr>
              <w:t>燃料燃烧废气产排一览表</w:t>
            </w:r>
          </w:p>
          <w:tbl>
            <w:tblPr>
              <w:tblStyle w:val="33"/>
              <w:tblW w:w="4997"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07"/>
              <w:gridCol w:w="883"/>
              <w:gridCol w:w="838"/>
              <w:gridCol w:w="915"/>
              <w:gridCol w:w="1035"/>
              <w:gridCol w:w="797"/>
              <w:gridCol w:w="925"/>
              <w:gridCol w:w="1045"/>
            </w:tblGrid>
            <w:tr w14:paraId="739ED3C0">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93" w:type="dxa"/>
                  <w:vMerge w:val="restart"/>
                  <w:tcBorders>
                    <w:tl2br w:val="nil"/>
                    <w:tr2bl w:val="nil"/>
                  </w:tcBorders>
                  <w:vAlign w:val="center"/>
                </w:tcPr>
                <w:p w14:paraId="214DABF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产生源</w:t>
                  </w:r>
                </w:p>
              </w:tc>
              <w:tc>
                <w:tcPr>
                  <w:tcW w:w="707" w:type="dxa"/>
                  <w:vMerge w:val="restart"/>
                  <w:tcBorders>
                    <w:tl2br w:val="nil"/>
                    <w:tr2bl w:val="nil"/>
                  </w:tcBorders>
                  <w:vAlign w:val="center"/>
                </w:tcPr>
                <w:p w14:paraId="36461C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生物质用量</w:t>
                  </w:r>
                </w:p>
              </w:tc>
              <w:tc>
                <w:tcPr>
                  <w:tcW w:w="883" w:type="dxa"/>
                  <w:vMerge w:val="restart"/>
                  <w:tcBorders>
                    <w:tl2br w:val="nil"/>
                    <w:tr2bl w:val="nil"/>
                  </w:tcBorders>
                  <w:vAlign w:val="center"/>
                </w:tcPr>
                <w:p w14:paraId="14DDC08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污染物名称</w:t>
                  </w:r>
                </w:p>
              </w:tc>
              <w:tc>
                <w:tcPr>
                  <w:tcW w:w="2788" w:type="dxa"/>
                  <w:gridSpan w:val="3"/>
                  <w:tcBorders>
                    <w:tl2br w:val="nil"/>
                    <w:tr2bl w:val="nil"/>
                  </w:tcBorders>
                  <w:vAlign w:val="center"/>
                </w:tcPr>
                <w:p w14:paraId="19068D4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产生情况</w:t>
                  </w:r>
                </w:p>
              </w:tc>
              <w:tc>
                <w:tcPr>
                  <w:tcW w:w="2767" w:type="dxa"/>
                  <w:gridSpan w:val="3"/>
                  <w:tcBorders>
                    <w:tl2br w:val="nil"/>
                    <w:tr2bl w:val="nil"/>
                  </w:tcBorders>
                  <w:vAlign w:val="center"/>
                </w:tcPr>
                <w:p w14:paraId="2E17253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排放情况</w:t>
                  </w:r>
                </w:p>
              </w:tc>
            </w:tr>
            <w:tr w14:paraId="010A7444">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93" w:type="dxa"/>
                  <w:vMerge w:val="continue"/>
                  <w:tcBorders>
                    <w:tl2br w:val="nil"/>
                    <w:tr2bl w:val="nil"/>
                  </w:tcBorders>
                  <w:vAlign w:val="center"/>
                </w:tcPr>
                <w:p w14:paraId="7C4CA4E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707" w:type="dxa"/>
                  <w:vMerge w:val="continue"/>
                  <w:tcBorders>
                    <w:tl2br w:val="nil"/>
                    <w:tr2bl w:val="nil"/>
                  </w:tcBorders>
                  <w:vAlign w:val="center"/>
                </w:tcPr>
                <w:p w14:paraId="254BD7F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883" w:type="dxa"/>
                  <w:vMerge w:val="continue"/>
                  <w:tcBorders>
                    <w:tl2br w:val="nil"/>
                    <w:tr2bl w:val="nil"/>
                  </w:tcBorders>
                  <w:vAlign w:val="center"/>
                </w:tcPr>
                <w:p w14:paraId="4D7443D3">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838" w:type="dxa"/>
                  <w:tcBorders>
                    <w:tl2br w:val="nil"/>
                    <w:tr2bl w:val="nil"/>
                  </w:tcBorders>
                  <w:vAlign w:val="center"/>
                </w:tcPr>
                <w:p w14:paraId="64C229F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产生量t/a</w:t>
                  </w:r>
                </w:p>
              </w:tc>
              <w:tc>
                <w:tcPr>
                  <w:tcW w:w="915" w:type="dxa"/>
                  <w:tcBorders>
                    <w:tl2br w:val="nil"/>
                    <w:tr2bl w:val="nil"/>
                  </w:tcBorders>
                  <w:vAlign w:val="center"/>
                </w:tcPr>
                <w:p w14:paraId="4DF868B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产生速率kg/h</w:t>
                  </w:r>
                </w:p>
              </w:tc>
              <w:tc>
                <w:tcPr>
                  <w:tcW w:w="1035" w:type="dxa"/>
                  <w:tcBorders>
                    <w:tl2br w:val="nil"/>
                    <w:tr2bl w:val="nil"/>
                  </w:tcBorders>
                  <w:vAlign w:val="center"/>
                </w:tcPr>
                <w:p w14:paraId="1D25DB8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产生浓度mg/m</w:t>
                  </w:r>
                  <w:r>
                    <w:rPr>
                      <w:rFonts w:hint="default" w:ascii="Times New Roman" w:hAnsi="Times New Roman" w:cs="Times New Roman" w:eastAsiaTheme="minorEastAsia"/>
                      <w:b/>
                      <w:bCs/>
                      <w:color w:val="auto"/>
                      <w:sz w:val="21"/>
                      <w:szCs w:val="21"/>
                      <w:vertAlign w:val="superscript"/>
                    </w:rPr>
                    <w:t>3</w:t>
                  </w:r>
                </w:p>
              </w:tc>
              <w:tc>
                <w:tcPr>
                  <w:tcW w:w="797" w:type="dxa"/>
                  <w:tcBorders>
                    <w:tl2br w:val="nil"/>
                    <w:tr2bl w:val="nil"/>
                  </w:tcBorders>
                  <w:vAlign w:val="center"/>
                </w:tcPr>
                <w:p w14:paraId="0E4A260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排放量t/a</w:t>
                  </w:r>
                </w:p>
              </w:tc>
              <w:tc>
                <w:tcPr>
                  <w:tcW w:w="925" w:type="dxa"/>
                  <w:tcBorders>
                    <w:tl2br w:val="nil"/>
                    <w:tr2bl w:val="nil"/>
                  </w:tcBorders>
                  <w:vAlign w:val="center"/>
                </w:tcPr>
                <w:p w14:paraId="1052542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排放速率kg/h</w:t>
                  </w:r>
                </w:p>
              </w:tc>
              <w:tc>
                <w:tcPr>
                  <w:tcW w:w="1045" w:type="dxa"/>
                  <w:tcBorders>
                    <w:tl2br w:val="nil"/>
                    <w:tr2bl w:val="nil"/>
                  </w:tcBorders>
                  <w:vAlign w:val="center"/>
                </w:tcPr>
                <w:p w14:paraId="1FD456EF">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排放浓度mg/m</w:t>
                  </w:r>
                  <w:r>
                    <w:rPr>
                      <w:rFonts w:hint="default" w:ascii="Times New Roman" w:hAnsi="Times New Roman" w:cs="Times New Roman" w:eastAsiaTheme="minorEastAsia"/>
                      <w:b/>
                      <w:bCs/>
                      <w:color w:val="auto"/>
                      <w:sz w:val="21"/>
                      <w:szCs w:val="21"/>
                      <w:vertAlign w:val="superscript"/>
                    </w:rPr>
                    <w:t>3</w:t>
                  </w:r>
                </w:p>
              </w:tc>
            </w:tr>
            <w:tr w14:paraId="1CC79565">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93" w:type="dxa"/>
                  <w:vMerge w:val="restart"/>
                  <w:tcBorders>
                    <w:tl2br w:val="nil"/>
                    <w:tr2bl w:val="nil"/>
                  </w:tcBorders>
                  <w:vAlign w:val="center"/>
                </w:tcPr>
                <w:p w14:paraId="0CDBF354">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台</w:t>
                  </w:r>
                  <w:r>
                    <w:rPr>
                      <w:rFonts w:hint="default" w:ascii="Times New Roman" w:hAnsi="Times New Roman" w:cs="Times New Roman" w:eastAsiaTheme="minorEastAsia"/>
                      <w:color w:val="auto"/>
                      <w:sz w:val="21"/>
                      <w:szCs w:val="21"/>
                      <w:lang w:val="en-US" w:eastAsia="zh-CN"/>
                    </w:rPr>
                    <w:t>3</w:t>
                  </w:r>
                  <w:r>
                    <w:rPr>
                      <w:rFonts w:hint="default" w:ascii="Times New Roman" w:hAnsi="Times New Roman" w:cs="Times New Roman" w:eastAsiaTheme="minorEastAsia"/>
                      <w:color w:val="auto"/>
                      <w:sz w:val="21"/>
                      <w:szCs w:val="21"/>
                    </w:rPr>
                    <w:t>t/h</w:t>
                  </w:r>
                  <w:r>
                    <w:rPr>
                      <w:rFonts w:hint="eastAsia" w:cs="Times New Roman" w:eastAsiaTheme="minorEastAsia"/>
                      <w:color w:val="auto"/>
                      <w:sz w:val="21"/>
                      <w:szCs w:val="21"/>
                      <w:lang w:eastAsia="zh-CN"/>
                    </w:rPr>
                    <w:t>生物质蒸汽发生器</w:t>
                  </w:r>
                  <w:r>
                    <w:rPr>
                      <w:rFonts w:hint="default" w:ascii="Times New Roman" w:hAnsi="Times New Roman" w:cs="Times New Roman" w:eastAsiaTheme="minorEastAsia"/>
                      <w:color w:val="auto"/>
                      <w:sz w:val="21"/>
                      <w:szCs w:val="21"/>
                    </w:rPr>
                    <w:t>燃料燃烧废气</w:t>
                  </w:r>
                </w:p>
              </w:tc>
              <w:tc>
                <w:tcPr>
                  <w:tcW w:w="707" w:type="dxa"/>
                  <w:vMerge w:val="restart"/>
                  <w:tcBorders>
                    <w:tl2br w:val="nil"/>
                    <w:tr2bl w:val="nil"/>
                  </w:tcBorders>
                  <w:vAlign w:val="center"/>
                </w:tcPr>
                <w:p w14:paraId="25CA4BF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1500</w:t>
                  </w:r>
                  <w:r>
                    <w:rPr>
                      <w:rFonts w:hint="default" w:ascii="Times New Roman" w:hAnsi="Times New Roman" w:cs="Times New Roman" w:eastAsiaTheme="minorEastAsia"/>
                      <w:color w:val="auto"/>
                      <w:sz w:val="21"/>
                      <w:szCs w:val="21"/>
                    </w:rPr>
                    <w:t>t/a</w:t>
                  </w:r>
                </w:p>
              </w:tc>
              <w:tc>
                <w:tcPr>
                  <w:tcW w:w="883" w:type="dxa"/>
                  <w:tcBorders>
                    <w:tl2br w:val="nil"/>
                    <w:tr2bl w:val="nil"/>
                  </w:tcBorders>
                  <w:vAlign w:val="center"/>
                </w:tcPr>
                <w:p w14:paraId="302151E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废气量</w:t>
                  </w:r>
                </w:p>
              </w:tc>
              <w:tc>
                <w:tcPr>
                  <w:tcW w:w="5555" w:type="dxa"/>
                  <w:gridSpan w:val="6"/>
                  <w:tcBorders>
                    <w:tl2br w:val="nil"/>
                    <w:tr2bl w:val="nil"/>
                  </w:tcBorders>
                  <w:vAlign w:val="center"/>
                </w:tcPr>
                <w:p w14:paraId="10D1634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936</w:t>
                  </w:r>
                  <w:r>
                    <w:rPr>
                      <w:rFonts w:hint="default" w:ascii="Times New Roman" w:hAnsi="Times New Roman" w:cs="Times New Roman" w:eastAsiaTheme="minorEastAsia"/>
                      <w:color w:val="auto"/>
                      <w:sz w:val="21"/>
                      <w:szCs w:val="21"/>
                    </w:rPr>
                    <w:t>万m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/a</w:t>
                  </w:r>
                </w:p>
              </w:tc>
            </w:tr>
            <w:tr w14:paraId="5E9F80C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vMerge w:val="continue"/>
                  <w:tcBorders>
                    <w:tl2br w:val="nil"/>
                    <w:tr2bl w:val="nil"/>
                  </w:tcBorders>
                  <w:vAlign w:val="center"/>
                </w:tcPr>
                <w:p w14:paraId="41E19B1A">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707" w:type="dxa"/>
                  <w:vMerge w:val="continue"/>
                  <w:tcBorders>
                    <w:tl2br w:val="nil"/>
                    <w:tr2bl w:val="nil"/>
                  </w:tcBorders>
                  <w:vAlign w:val="center"/>
                </w:tcPr>
                <w:p w14:paraId="55D266DB">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883" w:type="dxa"/>
                  <w:tcBorders>
                    <w:tl2br w:val="nil"/>
                    <w:tr2bl w:val="nil"/>
                  </w:tcBorders>
                  <w:vAlign w:val="center"/>
                </w:tcPr>
                <w:p w14:paraId="2F1C6A08">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颗粒物</w:t>
                  </w:r>
                </w:p>
              </w:tc>
              <w:tc>
                <w:tcPr>
                  <w:tcW w:w="838" w:type="dxa"/>
                  <w:tcBorders>
                    <w:tl2br w:val="nil"/>
                    <w:tr2bl w:val="nil"/>
                  </w:tcBorders>
                  <w:vAlign w:val="center"/>
                </w:tcPr>
                <w:p w14:paraId="0DFA43D2">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56.4</w:t>
                  </w:r>
                </w:p>
              </w:tc>
              <w:tc>
                <w:tcPr>
                  <w:tcW w:w="915" w:type="dxa"/>
                  <w:tcBorders>
                    <w:tl2br w:val="nil"/>
                    <w:tr2bl w:val="nil"/>
                  </w:tcBorders>
                  <w:vAlign w:val="center"/>
                </w:tcPr>
                <w:p w14:paraId="583D5A56">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23.5</w:t>
                  </w:r>
                </w:p>
              </w:tc>
              <w:tc>
                <w:tcPr>
                  <w:tcW w:w="1035" w:type="dxa"/>
                  <w:tcBorders>
                    <w:tl2br w:val="nil"/>
                    <w:tr2bl w:val="nil"/>
                  </w:tcBorders>
                  <w:vAlign w:val="center"/>
                </w:tcPr>
                <w:p w14:paraId="3423AC87">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6025</w:t>
                  </w:r>
                </w:p>
              </w:tc>
              <w:tc>
                <w:tcPr>
                  <w:tcW w:w="797" w:type="dxa"/>
                  <w:tcBorders>
                    <w:tl2br w:val="nil"/>
                    <w:tr2bl w:val="nil"/>
                  </w:tcBorders>
                  <w:vAlign w:val="center"/>
                </w:tcPr>
                <w:p w14:paraId="11474845">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0.0564</w:t>
                  </w:r>
                </w:p>
              </w:tc>
              <w:tc>
                <w:tcPr>
                  <w:tcW w:w="925" w:type="dxa"/>
                  <w:tcBorders>
                    <w:tl2br w:val="nil"/>
                    <w:tr2bl w:val="nil"/>
                  </w:tcBorders>
                  <w:vAlign w:val="center"/>
                </w:tcPr>
                <w:p w14:paraId="2C6C6086">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0.0235</w:t>
                  </w:r>
                </w:p>
              </w:tc>
              <w:tc>
                <w:tcPr>
                  <w:tcW w:w="1045" w:type="dxa"/>
                  <w:tcBorders>
                    <w:tl2br w:val="nil"/>
                    <w:tr2bl w:val="nil"/>
                  </w:tcBorders>
                  <w:vAlign w:val="center"/>
                </w:tcPr>
                <w:p w14:paraId="252D7190">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6.03</w:t>
                  </w:r>
                </w:p>
              </w:tc>
            </w:tr>
            <w:tr w14:paraId="0484AA4C">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93" w:type="dxa"/>
                  <w:vMerge w:val="continue"/>
                  <w:tcBorders>
                    <w:tl2br w:val="nil"/>
                    <w:tr2bl w:val="nil"/>
                  </w:tcBorders>
                  <w:vAlign w:val="center"/>
                </w:tcPr>
                <w:p w14:paraId="3603B995">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707" w:type="dxa"/>
                  <w:vMerge w:val="continue"/>
                  <w:tcBorders>
                    <w:tl2br w:val="nil"/>
                    <w:tr2bl w:val="nil"/>
                  </w:tcBorders>
                  <w:vAlign w:val="center"/>
                </w:tcPr>
                <w:p w14:paraId="6A0BC1BC">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883" w:type="dxa"/>
                  <w:tcBorders>
                    <w:tl2br w:val="nil"/>
                    <w:tr2bl w:val="nil"/>
                  </w:tcBorders>
                  <w:vAlign w:val="center"/>
                </w:tcPr>
                <w:p w14:paraId="4041DFB6">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SO</w:t>
                  </w:r>
                  <w:r>
                    <w:rPr>
                      <w:rFonts w:hint="default" w:ascii="Times New Roman" w:hAnsi="Times New Roman" w:cs="Times New Roman" w:eastAsiaTheme="minorEastAsia"/>
                      <w:color w:val="auto"/>
                      <w:sz w:val="21"/>
                      <w:szCs w:val="21"/>
                      <w:vertAlign w:val="subscript"/>
                    </w:rPr>
                    <w:t>2</w:t>
                  </w:r>
                </w:p>
              </w:tc>
              <w:tc>
                <w:tcPr>
                  <w:tcW w:w="838" w:type="dxa"/>
                  <w:tcBorders>
                    <w:tl2br w:val="nil"/>
                    <w:tr2bl w:val="nil"/>
                  </w:tcBorders>
                  <w:vAlign w:val="center"/>
                </w:tcPr>
                <w:p w14:paraId="62E3B4B8">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0.77</w:t>
                  </w:r>
                </w:p>
              </w:tc>
              <w:tc>
                <w:tcPr>
                  <w:tcW w:w="915" w:type="dxa"/>
                  <w:tcBorders>
                    <w:tl2br w:val="nil"/>
                    <w:tr2bl w:val="nil"/>
                  </w:tcBorders>
                  <w:vAlign w:val="center"/>
                </w:tcPr>
                <w:p w14:paraId="7396C0BB">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0.32</w:t>
                  </w:r>
                </w:p>
              </w:tc>
              <w:tc>
                <w:tcPr>
                  <w:tcW w:w="1035" w:type="dxa"/>
                  <w:tcBorders>
                    <w:tl2br w:val="nil"/>
                    <w:tr2bl w:val="nil"/>
                  </w:tcBorders>
                  <w:vAlign w:val="center"/>
                </w:tcPr>
                <w:p w14:paraId="3A8F842A">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82.26</w:t>
                  </w:r>
                </w:p>
              </w:tc>
              <w:tc>
                <w:tcPr>
                  <w:tcW w:w="797" w:type="dxa"/>
                  <w:tcBorders>
                    <w:tl2br w:val="nil"/>
                    <w:tr2bl w:val="nil"/>
                  </w:tcBorders>
                  <w:shd w:val="clear" w:color="auto" w:fill="auto"/>
                  <w:vAlign w:val="center"/>
                </w:tcPr>
                <w:p w14:paraId="2A87AE5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0.77</w:t>
                  </w:r>
                </w:p>
              </w:tc>
              <w:tc>
                <w:tcPr>
                  <w:tcW w:w="925" w:type="dxa"/>
                  <w:tcBorders>
                    <w:tl2br w:val="nil"/>
                    <w:tr2bl w:val="nil"/>
                  </w:tcBorders>
                  <w:shd w:val="clear" w:color="auto" w:fill="auto"/>
                  <w:vAlign w:val="center"/>
                </w:tcPr>
                <w:p w14:paraId="366C910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0.32</w:t>
                  </w:r>
                </w:p>
              </w:tc>
              <w:tc>
                <w:tcPr>
                  <w:tcW w:w="1045" w:type="dxa"/>
                  <w:tcBorders>
                    <w:tl2br w:val="nil"/>
                    <w:tr2bl w:val="nil"/>
                  </w:tcBorders>
                  <w:shd w:val="clear" w:color="auto" w:fill="auto"/>
                  <w:vAlign w:val="center"/>
                </w:tcPr>
                <w:p w14:paraId="63C371AB">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82.26</w:t>
                  </w:r>
                </w:p>
              </w:tc>
            </w:tr>
            <w:tr w14:paraId="569853CE">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693" w:type="dxa"/>
                  <w:vMerge w:val="continue"/>
                  <w:tcBorders>
                    <w:tl2br w:val="nil"/>
                    <w:tr2bl w:val="nil"/>
                  </w:tcBorders>
                  <w:vAlign w:val="center"/>
                </w:tcPr>
                <w:p w14:paraId="5B1C7B0D">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707" w:type="dxa"/>
                  <w:vMerge w:val="continue"/>
                  <w:tcBorders>
                    <w:tl2br w:val="nil"/>
                    <w:tr2bl w:val="nil"/>
                  </w:tcBorders>
                  <w:vAlign w:val="center"/>
                </w:tcPr>
                <w:p w14:paraId="4B69298E">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883" w:type="dxa"/>
                  <w:tcBorders>
                    <w:tl2br w:val="nil"/>
                    <w:tr2bl w:val="nil"/>
                  </w:tcBorders>
                  <w:vAlign w:val="center"/>
                </w:tcPr>
                <w:p w14:paraId="7040D9C1">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NO</w:t>
                  </w:r>
                  <w:r>
                    <w:rPr>
                      <w:rFonts w:hint="default" w:ascii="Times New Roman" w:hAnsi="Times New Roman" w:cs="Times New Roman" w:eastAsiaTheme="minorEastAsia"/>
                      <w:bCs/>
                      <w:color w:val="auto"/>
                      <w:sz w:val="21"/>
                      <w:szCs w:val="21"/>
                      <w:vertAlign w:val="subscript"/>
                    </w:rPr>
                    <w:t>X</w:t>
                  </w:r>
                </w:p>
              </w:tc>
              <w:tc>
                <w:tcPr>
                  <w:tcW w:w="838" w:type="dxa"/>
                  <w:tcBorders>
                    <w:tl2br w:val="nil"/>
                    <w:tr2bl w:val="nil"/>
                  </w:tcBorders>
                  <w:vAlign w:val="center"/>
                </w:tcPr>
                <w:p w14:paraId="67926A01">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1.53</w:t>
                  </w:r>
                </w:p>
              </w:tc>
              <w:tc>
                <w:tcPr>
                  <w:tcW w:w="915" w:type="dxa"/>
                  <w:tcBorders>
                    <w:tl2br w:val="nil"/>
                    <w:tr2bl w:val="nil"/>
                  </w:tcBorders>
                  <w:vAlign w:val="center"/>
                </w:tcPr>
                <w:p w14:paraId="4FD394C5">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0.64</w:t>
                  </w:r>
                </w:p>
              </w:tc>
              <w:tc>
                <w:tcPr>
                  <w:tcW w:w="1035" w:type="dxa"/>
                  <w:tcBorders>
                    <w:tl2br w:val="nil"/>
                    <w:tr2bl w:val="nil"/>
                  </w:tcBorders>
                  <w:vAlign w:val="center"/>
                </w:tcPr>
                <w:p w14:paraId="4356F166">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163.46</w:t>
                  </w:r>
                </w:p>
              </w:tc>
              <w:tc>
                <w:tcPr>
                  <w:tcW w:w="797" w:type="dxa"/>
                  <w:tcBorders>
                    <w:tl2br w:val="nil"/>
                    <w:tr2bl w:val="nil"/>
                  </w:tcBorders>
                  <w:shd w:val="clear" w:color="auto" w:fill="auto"/>
                  <w:vAlign w:val="center"/>
                </w:tcPr>
                <w:p w14:paraId="46F00959">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1.53</w:t>
                  </w:r>
                </w:p>
              </w:tc>
              <w:tc>
                <w:tcPr>
                  <w:tcW w:w="925" w:type="dxa"/>
                  <w:tcBorders>
                    <w:tl2br w:val="nil"/>
                    <w:tr2bl w:val="nil"/>
                  </w:tcBorders>
                  <w:shd w:val="clear" w:color="auto" w:fill="auto"/>
                  <w:vAlign w:val="center"/>
                </w:tcPr>
                <w:p w14:paraId="3B752BC2">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0.64</w:t>
                  </w:r>
                </w:p>
              </w:tc>
              <w:tc>
                <w:tcPr>
                  <w:tcW w:w="1045" w:type="dxa"/>
                  <w:tcBorders>
                    <w:tl2br w:val="nil"/>
                    <w:tr2bl w:val="nil"/>
                  </w:tcBorders>
                  <w:shd w:val="clear" w:color="auto" w:fill="auto"/>
                  <w:vAlign w:val="center"/>
                </w:tcPr>
                <w:p w14:paraId="4FE59B0A">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163.46</w:t>
                  </w:r>
                </w:p>
              </w:tc>
            </w:tr>
          </w:tbl>
          <w:p w14:paraId="0A786C15">
            <w:pPr>
              <w:pStyle w:val="13"/>
              <w:keepNext w:val="0"/>
              <w:keepLines/>
              <w:pageBreakBefore w:val="0"/>
              <w:numPr>
                <w:ilvl w:val="0"/>
                <w:numId w:val="6"/>
              </w:numPr>
              <w:kinsoku/>
              <w:overflowPunct/>
              <w:bidi w:val="0"/>
              <w:adjustRightInd/>
              <w:ind w:firstLine="480"/>
              <w:rPr>
                <w:rFonts w:hint="default" w:cs="Times New Roman"/>
                <w:color w:val="auto"/>
                <w:kern w:val="2"/>
                <w:sz w:val="24"/>
                <w:szCs w:val="24"/>
                <w:lang w:val="en-US" w:eastAsia="zh-CN"/>
              </w:rPr>
            </w:pPr>
            <w:r>
              <w:rPr>
                <w:rFonts w:hint="eastAsia" w:cs="Times New Roman"/>
                <w:color w:val="auto"/>
                <w:kern w:val="2"/>
                <w:sz w:val="24"/>
                <w:szCs w:val="24"/>
                <w:lang w:val="en-US" w:eastAsia="zh-CN"/>
              </w:rPr>
              <w:t>投料颗粒物</w:t>
            </w:r>
          </w:p>
          <w:p w14:paraId="1BAA3B5E">
            <w:pPr>
              <w:pStyle w:val="13"/>
              <w:keepNext w:val="0"/>
              <w:keepLines/>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项目投料过程产生少量的粉尘废气，以颗粒物表征。根据同行业生产经验，投料工序粉尘产生量按成品量的0.5%计算</w:t>
            </w:r>
            <w:r>
              <w:rPr>
                <w:rFonts w:hint="eastAsia" w:cs="Times New Roman" w:eastAsiaTheme="minorEastAsia"/>
                <w:color w:val="auto"/>
                <w:kern w:val="2"/>
                <w:sz w:val="24"/>
                <w:szCs w:val="24"/>
                <w:lang w:val="en-US" w:eastAsia="zh-CN"/>
              </w:rPr>
              <w:t>，</w:t>
            </w:r>
            <w:r>
              <w:rPr>
                <w:rFonts w:hint="default" w:ascii="Times New Roman" w:hAnsi="Times New Roman" w:cs="Times New Roman" w:eastAsiaTheme="minorEastAsia"/>
                <w:color w:val="auto"/>
                <w:kern w:val="2"/>
                <w:sz w:val="24"/>
                <w:szCs w:val="24"/>
                <w:lang w:val="en-US" w:eastAsia="zh-CN"/>
              </w:rPr>
              <w:t>本项目年产100吨塑料颗粒，则投料工段产生的粉尘为0.5t/a，0.2kg/h</w:t>
            </w:r>
            <w:r>
              <w:rPr>
                <w:rFonts w:hint="eastAsia" w:ascii="Times New Roman" w:hAnsi="Times New Roman" w:cs="Times New Roman" w:eastAsiaTheme="minorEastAsia"/>
                <w:color w:val="auto"/>
                <w:kern w:val="2"/>
                <w:sz w:val="24"/>
                <w:szCs w:val="24"/>
                <w:lang w:val="en-US" w:eastAsia="zh-CN"/>
              </w:rPr>
              <w:t>，呈无组织排放</w:t>
            </w:r>
            <w:r>
              <w:rPr>
                <w:rFonts w:hint="eastAsia" w:cs="Times New Roman" w:eastAsiaTheme="minorEastAsia"/>
                <w:color w:val="auto"/>
                <w:kern w:val="2"/>
                <w:sz w:val="24"/>
                <w:szCs w:val="24"/>
                <w:lang w:val="en-US" w:eastAsia="zh-CN"/>
              </w:rPr>
              <w:t>。</w:t>
            </w:r>
          </w:p>
          <w:p w14:paraId="3923403D">
            <w:pPr>
              <w:pStyle w:val="13"/>
              <w:keepNext w:val="0"/>
              <w:keepLines/>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eastAsiaTheme="minorEastAsia"/>
                <w:color w:val="auto"/>
                <w:kern w:val="2"/>
                <w:sz w:val="24"/>
                <w:szCs w:val="24"/>
                <w:lang w:val="en-US" w:eastAsia="zh-CN"/>
              </w:rPr>
            </w:pPr>
            <w:r>
              <w:rPr>
                <w:rFonts w:hint="default" w:ascii="Times New Roman" w:hAnsi="Times New Roman" w:cs="Times New Roman" w:eastAsiaTheme="minorEastAsia"/>
                <w:color w:val="auto"/>
                <w:kern w:val="2"/>
                <w:sz w:val="24"/>
                <w:szCs w:val="24"/>
                <w:lang w:val="en-US" w:eastAsia="zh-CN"/>
              </w:rPr>
              <w:t>根据GB31572-2015《合成树脂工业污染物排放标准》（含2024年修改单）的要求</w:t>
            </w:r>
            <w:r>
              <w:rPr>
                <w:rFonts w:hint="eastAsia" w:ascii="Times New Roman" w:hAnsi="Times New Roman" w:cs="Times New Roman" w:eastAsiaTheme="minorEastAsia"/>
                <w:color w:val="auto"/>
                <w:kern w:val="2"/>
                <w:sz w:val="24"/>
                <w:szCs w:val="24"/>
                <w:lang w:val="en-US" w:eastAsia="zh-CN"/>
              </w:rPr>
              <w:t>，本项目拟在投料工段布设</w:t>
            </w:r>
            <w:r>
              <w:rPr>
                <w:rFonts w:hint="default" w:ascii="Times New Roman" w:hAnsi="Times New Roman" w:cs="Times New Roman" w:eastAsiaTheme="minorEastAsia"/>
                <w:color w:val="auto"/>
                <w:kern w:val="2"/>
                <w:sz w:val="24"/>
                <w:szCs w:val="24"/>
                <w:lang w:val="en-US" w:eastAsia="zh-CN"/>
              </w:rPr>
              <w:t>密闭</w:t>
            </w:r>
            <w:r>
              <w:rPr>
                <w:rFonts w:hint="eastAsia" w:ascii="Times New Roman" w:hAnsi="Times New Roman" w:cs="Times New Roman" w:eastAsiaTheme="minorEastAsia"/>
                <w:color w:val="auto"/>
                <w:kern w:val="2"/>
                <w:sz w:val="24"/>
                <w:szCs w:val="24"/>
                <w:lang w:val="en-US" w:eastAsia="zh-CN"/>
              </w:rPr>
              <w:t>的</w:t>
            </w:r>
            <w:r>
              <w:rPr>
                <w:rFonts w:hint="default" w:ascii="Times New Roman" w:hAnsi="Times New Roman" w:cs="Times New Roman" w:eastAsiaTheme="minorEastAsia"/>
                <w:color w:val="auto"/>
                <w:kern w:val="2"/>
                <w:sz w:val="24"/>
                <w:szCs w:val="24"/>
                <w:lang w:val="en-US" w:eastAsia="zh-CN"/>
              </w:rPr>
              <w:t>投料措施</w:t>
            </w:r>
            <w:r>
              <w:rPr>
                <w:rFonts w:hint="eastAsia" w:ascii="Times New Roman" w:hAnsi="Times New Roman" w:cs="Times New Roman" w:eastAsiaTheme="minorEastAsia"/>
                <w:color w:val="auto"/>
                <w:kern w:val="2"/>
                <w:sz w:val="24"/>
                <w:szCs w:val="24"/>
                <w:lang w:val="en-US" w:eastAsia="zh-CN"/>
              </w:rPr>
              <w:t>，尽量减少无组织颗粒物的逸散，同时，本项目整个生产工段布设于封闭的车间内。根据《排放源统计调查产排污核算方法和系数手册》（生态环境部公告2021年第24号，2021年6月9日实施）中《固体物料堆存颗粒物产排污核算系数手册》的附录4附录5，密闭围挡的控制效率为60%，密闭式车间的控制效率为99%，则本项目围挡+密闭式车间的控制效率为99.6%，本次评价考虑实际情况下，项目密闭围挡+密闭车间的密闭效果可能无法达到99.6%的控制效率，本次评价按60%计，则，投料工段无组织排放量为0.2</w:t>
            </w:r>
            <w:r>
              <w:rPr>
                <w:rFonts w:hint="default" w:ascii="Times New Roman" w:hAnsi="Times New Roman" w:cs="Times New Roman" w:eastAsiaTheme="minorEastAsia"/>
                <w:color w:val="auto"/>
                <w:kern w:val="2"/>
                <w:sz w:val="24"/>
                <w:szCs w:val="24"/>
                <w:lang w:val="en-US" w:eastAsia="zh-CN"/>
              </w:rPr>
              <w:t>t/a</w:t>
            </w:r>
            <w:r>
              <w:rPr>
                <w:rFonts w:hint="eastAsia" w:ascii="Times New Roman" w:hAnsi="Times New Roman" w:cs="Times New Roman" w:eastAsiaTheme="minorEastAsia"/>
                <w:color w:val="auto"/>
                <w:kern w:val="2"/>
                <w:sz w:val="24"/>
                <w:szCs w:val="24"/>
                <w:lang w:val="en-US" w:eastAsia="zh-CN"/>
              </w:rPr>
              <w:t>，0.08</w:t>
            </w:r>
            <w:r>
              <w:rPr>
                <w:rFonts w:hint="default" w:ascii="Times New Roman" w:hAnsi="Times New Roman" w:cs="Times New Roman" w:eastAsiaTheme="minorEastAsia"/>
                <w:color w:val="auto"/>
                <w:kern w:val="2"/>
                <w:sz w:val="24"/>
                <w:szCs w:val="24"/>
                <w:lang w:val="en-US" w:eastAsia="zh-CN"/>
              </w:rPr>
              <w:t>kg/h</w:t>
            </w:r>
            <w:r>
              <w:rPr>
                <w:rFonts w:hint="eastAsia" w:ascii="Times New Roman" w:hAnsi="Times New Roman" w:cs="Times New Roman" w:eastAsiaTheme="minorEastAsia"/>
                <w:color w:val="auto"/>
                <w:kern w:val="2"/>
                <w:sz w:val="24"/>
                <w:szCs w:val="24"/>
                <w:lang w:val="en-US" w:eastAsia="zh-CN"/>
              </w:rPr>
              <w:t>，通过大气扩散和周边绿色植被的吸附后，对外环境影响较小。</w:t>
            </w:r>
          </w:p>
          <w:p w14:paraId="1F5C46C9">
            <w:pPr>
              <w:pStyle w:val="13"/>
              <w:keepNext w:val="0"/>
              <w:keepLines/>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cs="Times New Roman" w:eastAsiaTheme="minorEastAsia"/>
                <w:color w:val="auto"/>
                <w:kern w:val="2"/>
                <w:sz w:val="24"/>
                <w:szCs w:val="24"/>
                <w:lang w:val="en-US" w:eastAsia="zh-CN"/>
              </w:rPr>
            </w:pPr>
            <w:r>
              <w:rPr>
                <w:rFonts w:hint="eastAsia" w:cs="Times New Roman" w:eastAsiaTheme="minorEastAsia"/>
                <w:color w:val="auto"/>
                <w:kern w:val="2"/>
                <w:sz w:val="24"/>
                <w:szCs w:val="24"/>
                <w:lang w:val="en-US" w:eastAsia="zh-CN"/>
              </w:rPr>
              <w:t>厨房油烟</w:t>
            </w:r>
          </w:p>
          <w:p w14:paraId="1D4AC320">
            <w:pPr>
              <w:pStyle w:val="89"/>
              <w:ind w:firstLine="480"/>
              <w:jc w:val="both"/>
              <w:rPr>
                <w:rFonts w:hint="eastAsia" w:ascii="Times New Roman" w:hAnsi="Times New Roman" w:eastAsia="宋体" w:cs="Times New Roman"/>
                <w:color w:val="auto"/>
                <w:lang w:eastAsia="zh-CN"/>
              </w:rPr>
            </w:pPr>
            <w:r>
              <w:rPr>
                <w:rFonts w:hint="eastAsia"/>
                <w:color w:val="auto"/>
                <w:sz w:val="24"/>
              </w:rPr>
              <w:t>项目</w:t>
            </w:r>
            <w:r>
              <w:rPr>
                <w:rFonts w:hint="eastAsia"/>
                <w:color w:val="auto"/>
                <w:sz w:val="24"/>
                <w:lang w:val="en-US" w:eastAsia="zh-CN"/>
              </w:rPr>
              <w:t>劳动定员为5</w:t>
            </w:r>
            <w:r>
              <w:rPr>
                <w:rFonts w:hint="eastAsia"/>
                <w:color w:val="auto"/>
                <w:sz w:val="24"/>
              </w:rPr>
              <w:t>人，年工作时间为3</w:t>
            </w:r>
            <w:r>
              <w:rPr>
                <w:rFonts w:hint="eastAsia"/>
                <w:color w:val="auto"/>
                <w:sz w:val="24"/>
                <w:lang w:val="en-US" w:eastAsia="zh-CN"/>
              </w:rPr>
              <w:t>0</w:t>
            </w:r>
            <w:r>
              <w:rPr>
                <w:rFonts w:hint="eastAsia"/>
                <w:color w:val="auto"/>
                <w:sz w:val="24"/>
              </w:rPr>
              <w:t>0天（每天烹饪4h），项目食堂采用电作为燃料，属清洁能源；根据《中国居民平衡膳食宝塔》，每人每天食用油不超过25g或30g，本次环评按照30g计，则本项目耗油量为0.</w:t>
            </w:r>
            <w:r>
              <w:rPr>
                <w:rFonts w:hint="eastAsia"/>
                <w:color w:val="auto"/>
                <w:sz w:val="24"/>
                <w:lang w:val="en-US" w:eastAsia="zh-CN"/>
              </w:rPr>
              <w:t>15</w:t>
            </w:r>
            <w:r>
              <w:rPr>
                <w:rFonts w:hint="eastAsia"/>
                <w:color w:val="auto"/>
                <w:sz w:val="24"/>
              </w:rPr>
              <w:t>kg/d、0.0</w:t>
            </w:r>
            <w:r>
              <w:rPr>
                <w:rFonts w:hint="eastAsia"/>
                <w:color w:val="auto"/>
                <w:sz w:val="24"/>
                <w:lang w:val="en-US" w:eastAsia="zh-CN"/>
              </w:rPr>
              <w:t>45</w:t>
            </w:r>
            <w:r>
              <w:rPr>
                <w:rFonts w:hint="eastAsia"/>
                <w:color w:val="auto"/>
                <w:sz w:val="24"/>
              </w:rPr>
              <w:t>t/a。餐饮油烟挥发系数为2.83%，则项目食堂油烟排放量为0.00</w:t>
            </w:r>
            <w:r>
              <w:rPr>
                <w:rFonts w:hint="eastAsia"/>
                <w:color w:val="auto"/>
                <w:sz w:val="24"/>
                <w:lang w:val="en-US" w:eastAsia="zh-CN"/>
              </w:rPr>
              <w:t>13</w:t>
            </w:r>
            <w:r>
              <w:rPr>
                <w:rFonts w:hint="eastAsia"/>
                <w:color w:val="auto"/>
                <w:sz w:val="24"/>
              </w:rPr>
              <w:t>t/a、0.00</w:t>
            </w:r>
            <w:r>
              <w:rPr>
                <w:rFonts w:hint="eastAsia"/>
                <w:color w:val="auto"/>
                <w:sz w:val="24"/>
                <w:lang w:val="en-US" w:eastAsia="zh-CN"/>
              </w:rPr>
              <w:t>43</w:t>
            </w:r>
            <w:r>
              <w:rPr>
                <w:rFonts w:hint="eastAsia"/>
                <w:color w:val="auto"/>
                <w:sz w:val="24"/>
              </w:rPr>
              <w:t>kg/h，设置1台抽油烟机收集后高于屋顶排放。</w:t>
            </w:r>
            <w:r>
              <w:rPr>
                <w:rFonts w:hint="default" w:ascii="Times New Roman" w:hAnsi="Times New Roman" w:cs="Times New Roman"/>
                <w:color w:val="auto"/>
                <w:szCs w:val="24"/>
              </w:rPr>
              <w:t>本次评价</w:t>
            </w:r>
            <w:r>
              <w:rPr>
                <w:rFonts w:hint="default" w:ascii="Times New Roman" w:hAnsi="Times New Roman" w:cs="Times New Roman"/>
                <w:color w:val="auto"/>
              </w:rPr>
              <w:t>要求食堂安装排风量3000m</w:t>
            </w:r>
            <w:r>
              <w:rPr>
                <w:rFonts w:hint="default" w:ascii="Times New Roman" w:hAnsi="Times New Roman" w:cs="Times New Roman"/>
                <w:color w:val="auto"/>
                <w:vertAlign w:val="superscript"/>
              </w:rPr>
              <w:t>3</w:t>
            </w:r>
            <w:r>
              <w:rPr>
                <w:rFonts w:hint="default" w:ascii="Times New Roman" w:hAnsi="Times New Roman" w:cs="Times New Roman"/>
                <w:color w:val="auto"/>
              </w:rPr>
              <w:t>/h的油烟净化装置，油烟净化器的净化效率为65%，则排放的油烟量</w:t>
            </w:r>
            <w:r>
              <w:rPr>
                <w:rFonts w:hint="eastAsia" w:cs="Times New Roman"/>
                <w:color w:val="auto"/>
                <w:lang w:val="en-US" w:eastAsia="zh-CN"/>
              </w:rPr>
              <w:t>0.5</w:t>
            </w:r>
            <w:r>
              <w:rPr>
                <w:rFonts w:hint="default" w:ascii="Times New Roman" w:hAnsi="Times New Roman" w:cs="Times New Roman"/>
                <w:color w:val="auto"/>
              </w:rPr>
              <w:t>kg/a，</w:t>
            </w:r>
            <w:r>
              <w:rPr>
                <w:rFonts w:hint="eastAsia" w:cs="Times New Roman"/>
                <w:color w:val="auto"/>
                <w:lang w:val="en-US" w:eastAsia="zh-CN"/>
              </w:rPr>
              <w:t>0.0017</w:t>
            </w:r>
            <w:r>
              <w:rPr>
                <w:rFonts w:hint="eastAsia"/>
                <w:color w:val="auto"/>
                <w:sz w:val="24"/>
              </w:rPr>
              <w:t>kg/h</w:t>
            </w:r>
            <w:r>
              <w:rPr>
                <w:rFonts w:hint="eastAsia"/>
                <w:color w:val="auto"/>
                <w:sz w:val="24"/>
                <w:lang w:eastAsia="zh-CN"/>
              </w:rPr>
              <w:t>，</w:t>
            </w:r>
            <w:r>
              <w:rPr>
                <w:rFonts w:hint="default" w:ascii="Times New Roman" w:hAnsi="Times New Roman" w:cs="Times New Roman"/>
                <w:color w:val="auto"/>
              </w:rPr>
              <w:t>排放浓度为0.</w:t>
            </w:r>
            <w:r>
              <w:rPr>
                <w:rFonts w:hint="eastAsia" w:cs="Times New Roman"/>
                <w:color w:val="auto"/>
                <w:lang w:val="en-US" w:eastAsia="zh-CN"/>
              </w:rPr>
              <w:t>57</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eastAsia" w:ascii="Times New Roman" w:hAnsi="Times New Roman" w:cs="Times New Roman"/>
                <w:color w:val="auto"/>
                <w:lang w:eastAsia="zh-CN"/>
              </w:rPr>
              <w:t>。</w:t>
            </w:r>
          </w:p>
          <w:p w14:paraId="7908495A">
            <w:pPr>
              <w:pStyle w:val="13"/>
              <w:keepNext w:val="0"/>
              <w:keepLines/>
              <w:pageBreakBefore w:val="0"/>
              <w:kinsoku/>
              <w:overflowPunct/>
              <w:bidi w:val="0"/>
              <w:adjustRightInd/>
              <w:ind w:firstLine="480"/>
              <w:rPr>
                <w:rFonts w:hint="default" w:ascii="Times New Roman" w:hAnsi="Times New Roman" w:eastAsia="宋体" w:cs="Times New Roman"/>
                <w:color w:val="auto"/>
                <w:kern w:val="2"/>
                <w:sz w:val="24"/>
                <w:szCs w:val="24"/>
                <w:lang w:val="en-US" w:eastAsia="zh-CN"/>
              </w:rPr>
            </w:pPr>
            <w:r>
              <w:rPr>
                <w:rFonts w:hint="eastAsia" w:ascii="Times New Roman" w:hAnsi="Times New Roman" w:eastAsia="宋体" w:cs="Times New Roman"/>
                <w:color w:val="auto"/>
                <w:kern w:val="2"/>
                <w:sz w:val="24"/>
                <w:szCs w:val="24"/>
                <w:lang w:val="en-US" w:eastAsia="zh-CN"/>
              </w:rPr>
              <w:t>综上所述，本项目废气产排措施、排放情况一览表详见</w:t>
            </w:r>
            <w:r>
              <w:rPr>
                <w:rFonts w:hint="default" w:ascii="Times New Roman" w:hAnsi="Times New Roman" w:eastAsia="宋体" w:cs="Times New Roman"/>
                <w:color w:val="auto"/>
                <w:kern w:val="2"/>
                <w:sz w:val="24"/>
                <w:szCs w:val="24"/>
                <w:lang w:val="en-US" w:eastAsia="zh-CN"/>
              </w:rPr>
              <w:t>下表4-</w:t>
            </w:r>
            <w:r>
              <w:rPr>
                <w:rFonts w:hint="eastAsia" w:cs="Times New Roman"/>
                <w:color w:val="auto"/>
                <w:kern w:val="2"/>
                <w:sz w:val="24"/>
                <w:szCs w:val="24"/>
                <w:lang w:val="en-US" w:eastAsia="zh-CN"/>
              </w:rPr>
              <w:t>4</w:t>
            </w:r>
            <w:r>
              <w:rPr>
                <w:rFonts w:hint="default" w:ascii="Times New Roman" w:hAnsi="Times New Roman" w:eastAsia="宋体" w:cs="Times New Roman"/>
                <w:color w:val="auto"/>
                <w:kern w:val="2"/>
                <w:sz w:val="24"/>
                <w:szCs w:val="24"/>
                <w:lang w:val="en-US" w:eastAsia="zh-CN"/>
              </w:rPr>
              <w:t>。</w:t>
            </w:r>
          </w:p>
          <w:p w14:paraId="550544DF">
            <w:pPr>
              <w:pStyle w:val="110"/>
              <w:keepNext w:val="0"/>
              <w:keepLines w:val="0"/>
              <w:pageBreakBefore w:val="0"/>
              <w:widowControl w:val="0"/>
              <w:kinsoku/>
              <w:wordWrap/>
              <w:overflowPunct/>
              <w:topLinePunct w:val="0"/>
              <w:autoSpaceDE/>
              <w:autoSpaceDN/>
              <w:bidi w:val="0"/>
              <w:adjustRightInd/>
              <w:snapToGrid/>
              <w:spacing w:before="0" w:line="240" w:lineRule="auto"/>
              <w:ind w:firstLine="0" w:firstLineChars="0"/>
              <w:textAlignment w:val="auto"/>
              <w:rPr>
                <w:rFonts w:hint="default"/>
                <w:color w:val="auto"/>
                <w:lang w:val="en-US" w:eastAsia="zh-CN"/>
              </w:rPr>
            </w:pPr>
            <w:r>
              <w:rPr>
                <w:rFonts w:hint="default"/>
                <w:color w:val="auto"/>
                <w:lang w:val="en-US" w:eastAsia="zh-CN"/>
              </w:rPr>
              <w:t>表4-</w:t>
            </w:r>
            <w:r>
              <w:rPr>
                <w:rFonts w:hint="eastAsia"/>
                <w:color w:val="auto"/>
                <w:lang w:val="en-US" w:eastAsia="zh-CN"/>
              </w:rPr>
              <w:t>4</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项目废气产排情况一览表</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600"/>
              <w:gridCol w:w="726"/>
              <w:gridCol w:w="473"/>
              <w:gridCol w:w="639"/>
              <w:gridCol w:w="903"/>
              <w:gridCol w:w="641"/>
              <w:gridCol w:w="663"/>
              <w:gridCol w:w="676"/>
              <w:gridCol w:w="705"/>
              <w:gridCol w:w="675"/>
              <w:gridCol w:w="662"/>
            </w:tblGrid>
            <w:tr w14:paraId="40289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98" w:type="pct"/>
                  <w:vMerge w:val="restart"/>
                  <w:noWrap w:val="0"/>
                  <w:vAlign w:val="center"/>
                </w:tcPr>
                <w:p w14:paraId="3033BB4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产排污环节</w:t>
                  </w:r>
                </w:p>
              </w:tc>
              <w:tc>
                <w:tcPr>
                  <w:tcW w:w="383" w:type="pct"/>
                  <w:vMerge w:val="restart"/>
                  <w:noWrap w:val="0"/>
                  <w:vAlign w:val="center"/>
                </w:tcPr>
                <w:p w14:paraId="28668D7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排放口</w:t>
                  </w:r>
                </w:p>
              </w:tc>
              <w:tc>
                <w:tcPr>
                  <w:tcW w:w="463" w:type="pct"/>
                  <w:vMerge w:val="restart"/>
                  <w:noWrap w:val="0"/>
                  <w:vAlign w:val="center"/>
                </w:tcPr>
                <w:p w14:paraId="6FA1309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污染物种类</w:t>
                  </w:r>
                </w:p>
              </w:tc>
              <w:tc>
                <w:tcPr>
                  <w:tcW w:w="302" w:type="pct"/>
                  <w:vMerge w:val="restart"/>
                  <w:noWrap w:val="0"/>
                  <w:vAlign w:val="center"/>
                </w:tcPr>
                <w:p w14:paraId="0CB0BD1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产生量总t/a</w:t>
                  </w:r>
                </w:p>
              </w:tc>
              <w:tc>
                <w:tcPr>
                  <w:tcW w:w="408" w:type="pct"/>
                  <w:vMerge w:val="restart"/>
                  <w:noWrap w:val="0"/>
                  <w:vAlign w:val="center"/>
                </w:tcPr>
                <w:p w14:paraId="2E71392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vertAlign w:val="baseline"/>
                      <w:lang w:val="en-US" w:eastAsia="zh-CN"/>
                    </w:rPr>
                    <w:t>排放形式</w:t>
                  </w:r>
                </w:p>
                <w:p w14:paraId="7B1A32E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1409" w:type="pct"/>
                  <w:gridSpan w:val="3"/>
                  <w:noWrap w:val="0"/>
                  <w:vAlign w:val="center"/>
                </w:tcPr>
                <w:p w14:paraId="28A136A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治理措施</w:t>
                  </w:r>
                </w:p>
              </w:tc>
              <w:tc>
                <w:tcPr>
                  <w:tcW w:w="431" w:type="pct"/>
                  <w:vMerge w:val="restart"/>
                  <w:noWrap w:val="0"/>
                  <w:vAlign w:val="center"/>
                </w:tcPr>
                <w:p w14:paraId="73C899F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vertAlign w:val="baseline"/>
                      <w:lang w:val="en-US" w:eastAsia="zh-CN"/>
                    </w:rPr>
                    <w:t>产生量t/a</w:t>
                  </w:r>
                </w:p>
              </w:tc>
              <w:tc>
                <w:tcPr>
                  <w:tcW w:w="1303" w:type="pct"/>
                  <w:gridSpan w:val="3"/>
                  <w:noWrap w:val="0"/>
                  <w:vAlign w:val="center"/>
                </w:tcPr>
                <w:p w14:paraId="106905C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排放情况</w:t>
                  </w:r>
                </w:p>
              </w:tc>
            </w:tr>
            <w:tr w14:paraId="7311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98" w:type="pct"/>
                  <w:vMerge w:val="continue"/>
                  <w:noWrap w:val="0"/>
                  <w:vAlign w:val="center"/>
                </w:tcPr>
                <w:p w14:paraId="7F065EA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p>
              </w:tc>
              <w:tc>
                <w:tcPr>
                  <w:tcW w:w="383" w:type="pct"/>
                  <w:vMerge w:val="continue"/>
                  <w:noWrap w:val="0"/>
                  <w:vAlign w:val="center"/>
                </w:tcPr>
                <w:p w14:paraId="61B98CE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63" w:type="pct"/>
                  <w:vMerge w:val="continue"/>
                  <w:noWrap w:val="0"/>
                  <w:vAlign w:val="center"/>
                </w:tcPr>
                <w:p w14:paraId="4FD9281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302" w:type="pct"/>
                  <w:vMerge w:val="continue"/>
                  <w:noWrap w:val="0"/>
                  <w:vAlign w:val="center"/>
                </w:tcPr>
                <w:p w14:paraId="4D1B016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08" w:type="pct"/>
                  <w:vMerge w:val="continue"/>
                  <w:noWrap w:val="0"/>
                  <w:vAlign w:val="center"/>
                </w:tcPr>
                <w:p w14:paraId="0AD6F92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576" w:type="pct"/>
                  <w:noWrap w:val="0"/>
                  <w:vAlign w:val="center"/>
                </w:tcPr>
                <w:p w14:paraId="3290E39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处理工艺</w:t>
                  </w:r>
                </w:p>
              </w:tc>
              <w:tc>
                <w:tcPr>
                  <w:tcW w:w="409" w:type="pct"/>
                  <w:noWrap w:val="0"/>
                  <w:vAlign w:val="center"/>
                </w:tcPr>
                <w:p w14:paraId="4C7A675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收集效率%</w:t>
                  </w:r>
                </w:p>
              </w:tc>
              <w:tc>
                <w:tcPr>
                  <w:tcW w:w="423" w:type="pct"/>
                  <w:noWrap w:val="0"/>
                  <w:vAlign w:val="center"/>
                </w:tcPr>
                <w:p w14:paraId="6757DAB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去除</w:t>
                  </w:r>
                  <w:r>
                    <w:rPr>
                      <w:rFonts w:hint="default" w:ascii="Times New Roman" w:hAnsi="Times New Roman" w:eastAsia="宋体" w:cs="Times New Roman"/>
                      <w:b/>
                      <w:bCs/>
                      <w:color w:val="auto"/>
                      <w:sz w:val="21"/>
                      <w:szCs w:val="21"/>
                    </w:rPr>
                    <w:t>效率%</w:t>
                  </w:r>
                </w:p>
              </w:tc>
              <w:tc>
                <w:tcPr>
                  <w:tcW w:w="431" w:type="pct"/>
                  <w:vMerge w:val="continue"/>
                  <w:noWrap w:val="0"/>
                  <w:vAlign w:val="center"/>
                </w:tcPr>
                <w:p w14:paraId="013CB10F">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450" w:type="pct"/>
                  <w:noWrap w:val="0"/>
                  <w:vAlign w:val="center"/>
                </w:tcPr>
                <w:p w14:paraId="6432026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排放量t/a</w:t>
                  </w:r>
                </w:p>
              </w:tc>
              <w:tc>
                <w:tcPr>
                  <w:tcW w:w="431" w:type="pct"/>
                  <w:noWrap w:val="0"/>
                  <w:vAlign w:val="center"/>
                </w:tcPr>
                <w:p w14:paraId="70A4282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w:t>
                  </w:r>
                </w:p>
                <w:p w14:paraId="2033A97B">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kg/h</w:t>
                  </w:r>
                </w:p>
              </w:tc>
              <w:tc>
                <w:tcPr>
                  <w:tcW w:w="422" w:type="pct"/>
                  <w:noWrap w:val="0"/>
                  <w:vAlign w:val="center"/>
                </w:tcPr>
                <w:p w14:paraId="2D948CF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r>
            <w:tr w14:paraId="29A35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98" w:type="pct"/>
                  <w:vMerge w:val="restart"/>
                  <w:noWrap w:val="0"/>
                  <w:vAlign w:val="center"/>
                </w:tcPr>
                <w:p w14:paraId="327DA9D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发泡</w:t>
                  </w:r>
                  <w:r>
                    <w:rPr>
                      <w:rFonts w:hint="default" w:ascii="Times New Roman" w:hAnsi="Times New Roman" w:eastAsia="宋体" w:cs="Times New Roman"/>
                      <w:color w:val="auto"/>
                      <w:sz w:val="21"/>
                      <w:szCs w:val="21"/>
                      <w:vertAlign w:val="baseline"/>
                      <w:lang w:val="en-US" w:eastAsia="zh-CN"/>
                    </w:rPr>
                    <w:t>工段</w:t>
                  </w:r>
                </w:p>
              </w:tc>
              <w:tc>
                <w:tcPr>
                  <w:tcW w:w="383" w:type="pct"/>
                  <w:noWrap w:val="0"/>
                  <w:vAlign w:val="center"/>
                </w:tcPr>
                <w:p w14:paraId="48B5EE4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DA001</w:t>
                  </w:r>
                </w:p>
              </w:tc>
              <w:tc>
                <w:tcPr>
                  <w:tcW w:w="463" w:type="pct"/>
                  <w:vMerge w:val="restart"/>
                  <w:noWrap w:val="0"/>
                  <w:vAlign w:val="center"/>
                </w:tcPr>
                <w:p w14:paraId="69A9B6B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非甲烷总烃</w:t>
                  </w:r>
                </w:p>
              </w:tc>
              <w:tc>
                <w:tcPr>
                  <w:tcW w:w="302" w:type="pct"/>
                  <w:vMerge w:val="restart"/>
                  <w:noWrap w:val="0"/>
                  <w:vAlign w:val="center"/>
                </w:tcPr>
                <w:p w14:paraId="134AA61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0.15</w:t>
                  </w:r>
                </w:p>
              </w:tc>
              <w:tc>
                <w:tcPr>
                  <w:tcW w:w="408" w:type="pct"/>
                  <w:noWrap w:val="0"/>
                  <w:vAlign w:val="center"/>
                </w:tcPr>
                <w:p w14:paraId="0794E05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w:t>
                  </w:r>
                </w:p>
              </w:tc>
              <w:tc>
                <w:tcPr>
                  <w:tcW w:w="576" w:type="pct"/>
                  <w:noWrap w:val="0"/>
                  <w:vAlign w:val="center"/>
                </w:tcPr>
                <w:p w14:paraId="00D4DB7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集气罩+</w:t>
                  </w:r>
                  <w:r>
                    <w:rPr>
                      <w:rFonts w:hint="eastAsia" w:cs="Times New Roman"/>
                      <w:color w:val="auto"/>
                      <w:sz w:val="21"/>
                      <w:szCs w:val="21"/>
                      <w:vertAlign w:val="baseline"/>
                      <w:lang w:val="en-US" w:eastAsia="zh-CN"/>
                    </w:rPr>
                    <w:t>活性炭</w:t>
                  </w:r>
                  <w:r>
                    <w:rPr>
                      <w:rFonts w:hint="default" w:ascii="Times New Roman" w:hAnsi="Times New Roman" w:eastAsia="宋体" w:cs="Times New Roman"/>
                      <w:color w:val="auto"/>
                      <w:sz w:val="21"/>
                      <w:szCs w:val="21"/>
                      <w:vertAlign w:val="baseline"/>
                      <w:lang w:val="en-US" w:eastAsia="zh-CN"/>
                    </w:rPr>
                    <w:t>吸附</w:t>
                  </w:r>
                </w:p>
              </w:tc>
              <w:tc>
                <w:tcPr>
                  <w:tcW w:w="409" w:type="pct"/>
                  <w:noWrap w:val="0"/>
                  <w:vAlign w:val="center"/>
                </w:tcPr>
                <w:p w14:paraId="34FFD9E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423" w:type="pct"/>
                  <w:noWrap w:val="0"/>
                  <w:vAlign w:val="center"/>
                </w:tcPr>
                <w:p w14:paraId="6C803D0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p>
              </w:tc>
              <w:tc>
                <w:tcPr>
                  <w:tcW w:w="431" w:type="pct"/>
                  <w:noWrap w:val="0"/>
                  <w:vAlign w:val="center"/>
                </w:tcPr>
                <w:p w14:paraId="74A637A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0.12</w:t>
                  </w:r>
                </w:p>
              </w:tc>
              <w:tc>
                <w:tcPr>
                  <w:tcW w:w="450" w:type="pct"/>
                  <w:noWrap w:val="0"/>
                  <w:vAlign w:val="center"/>
                </w:tcPr>
                <w:p w14:paraId="77DF165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0.03</w:t>
                  </w:r>
                </w:p>
              </w:tc>
              <w:tc>
                <w:tcPr>
                  <w:tcW w:w="431" w:type="pct"/>
                  <w:noWrap w:val="0"/>
                  <w:vAlign w:val="center"/>
                </w:tcPr>
                <w:p w14:paraId="6663444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0.0125</w:t>
                  </w:r>
                </w:p>
              </w:tc>
              <w:tc>
                <w:tcPr>
                  <w:tcW w:w="422" w:type="pct"/>
                  <w:noWrap w:val="0"/>
                  <w:vAlign w:val="center"/>
                </w:tcPr>
                <w:p w14:paraId="561A16B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1.25</w:t>
                  </w:r>
                </w:p>
              </w:tc>
            </w:tr>
            <w:tr w14:paraId="2090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98" w:type="pct"/>
                  <w:vMerge w:val="continue"/>
                  <w:noWrap w:val="0"/>
                  <w:vAlign w:val="center"/>
                </w:tcPr>
                <w:p w14:paraId="351722C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83" w:type="pct"/>
                  <w:noWrap w:val="0"/>
                  <w:vAlign w:val="center"/>
                </w:tcPr>
                <w:p w14:paraId="6547CBB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63" w:type="pct"/>
                  <w:vMerge w:val="continue"/>
                  <w:noWrap w:val="0"/>
                  <w:vAlign w:val="center"/>
                </w:tcPr>
                <w:p w14:paraId="3908B28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02" w:type="pct"/>
                  <w:vMerge w:val="continue"/>
                  <w:noWrap w:val="0"/>
                  <w:vAlign w:val="center"/>
                </w:tcPr>
                <w:p w14:paraId="7FCC4EA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8" w:type="pct"/>
                  <w:noWrap w:val="0"/>
                  <w:vAlign w:val="center"/>
                </w:tcPr>
                <w:p w14:paraId="244F241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w:t>
                  </w:r>
                </w:p>
              </w:tc>
              <w:tc>
                <w:tcPr>
                  <w:tcW w:w="576" w:type="pct"/>
                  <w:noWrap w:val="0"/>
                  <w:vAlign w:val="center"/>
                </w:tcPr>
                <w:p w14:paraId="7714F9F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车间门窗自然通风</w:t>
                  </w:r>
                </w:p>
              </w:tc>
              <w:tc>
                <w:tcPr>
                  <w:tcW w:w="409" w:type="pct"/>
                  <w:noWrap w:val="0"/>
                  <w:vAlign w:val="center"/>
                </w:tcPr>
                <w:p w14:paraId="54A8951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23" w:type="pct"/>
                  <w:noWrap w:val="0"/>
                  <w:vAlign w:val="center"/>
                </w:tcPr>
                <w:p w14:paraId="4C6FB16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1" w:type="pct"/>
                  <w:noWrap w:val="0"/>
                  <w:vAlign w:val="center"/>
                </w:tcPr>
                <w:p w14:paraId="3E6546A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0.03</w:t>
                  </w:r>
                </w:p>
              </w:tc>
              <w:tc>
                <w:tcPr>
                  <w:tcW w:w="450" w:type="pct"/>
                  <w:noWrap w:val="0"/>
                  <w:vAlign w:val="center"/>
                </w:tcPr>
                <w:p w14:paraId="24CF048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0.03</w:t>
                  </w:r>
                </w:p>
              </w:tc>
              <w:tc>
                <w:tcPr>
                  <w:tcW w:w="431" w:type="pct"/>
                  <w:noWrap w:val="0"/>
                  <w:vAlign w:val="center"/>
                </w:tcPr>
                <w:p w14:paraId="13D00E5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0.0125</w:t>
                  </w:r>
                </w:p>
              </w:tc>
              <w:tc>
                <w:tcPr>
                  <w:tcW w:w="422" w:type="pct"/>
                  <w:noWrap w:val="0"/>
                  <w:vAlign w:val="center"/>
                </w:tcPr>
                <w:p w14:paraId="0197AAC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1A9E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Merge w:val="continue"/>
                  <w:noWrap w:val="0"/>
                  <w:vAlign w:val="center"/>
                </w:tcPr>
                <w:p w14:paraId="1B9AB9A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83" w:type="pct"/>
                  <w:noWrap w:val="0"/>
                  <w:vAlign w:val="center"/>
                </w:tcPr>
                <w:p w14:paraId="451FA19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DA001</w:t>
                  </w:r>
                </w:p>
              </w:tc>
              <w:tc>
                <w:tcPr>
                  <w:tcW w:w="463" w:type="pct"/>
                  <w:noWrap w:val="0"/>
                  <w:vAlign w:val="center"/>
                </w:tcPr>
                <w:p w14:paraId="7210325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臭气浓度</w:t>
                  </w:r>
                </w:p>
              </w:tc>
              <w:tc>
                <w:tcPr>
                  <w:tcW w:w="302" w:type="pct"/>
                  <w:noWrap w:val="0"/>
                  <w:vAlign w:val="center"/>
                </w:tcPr>
                <w:p w14:paraId="241902A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08" w:type="pct"/>
                  <w:noWrap w:val="0"/>
                  <w:vAlign w:val="center"/>
                </w:tcPr>
                <w:p w14:paraId="23E6A9D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有组织</w:t>
                  </w:r>
                </w:p>
              </w:tc>
              <w:tc>
                <w:tcPr>
                  <w:tcW w:w="576" w:type="pct"/>
                  <w:noWrap w:val="0"/>
                  <w:vAlign w:val="center"/>
                </w:tcPr>
                <w:p w14:paraId="704C707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自然稀释扩散</w:t>
                  </w:r>
                </w:p>
              </w:tc>
              <w:tc>
                <w:tcPr>
                  <w:tcW w:w="409" w:type="pct"/>
                  <w:noWrap w:val="0"/>
                  <w:vAlign w:val="center"/>
                </w:tcPr>
                <w:p w14:paraId="09E0625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80</w:t>
                  </w:r>
                </w:p>
              </w:tc>
              <w:tc>
                <w:tcPr>
                  <w:tcW w:w="423" w:type="pct"/>
                  <w:noWrap w:val="0"/>
                  <w:vAlign w:val="center"/>
                </w:tcPr>
                <w:p w14:paraId="7CD03B7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p>
              </w:tc>
              <w:tc>
                <w:tcPr>
                  <w:tcW w:w="431" w:type="pct"/>
                  <w:noWrap w:val="0"/>
                  <w:vAlign w:val="center"/>
                </w:tcPr>
                <w:p w14:paraId="5317C24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50" w:type="pct"/>
                  <w:noWrap w:val="0"/>
                  <w:vAlign w:val="center"/>
                </w:tcPr>
                <w:p w14:paraId="00E388D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1" w:type="pct"/>
                  <w:noWrap w:val="0"/>
                  <w:vAlign w:val="center"/>
                </w:tcPr>
                <w:p w14:paraId="02D3EC8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22" w:type="pct"/>
                  <w:noWrap w:val="0"/>
                  <w:vAlign w:val="center"/>
                </w:tcPr>
                <w:p w14:paraId="7326613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14:paraId="24DC7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98" w:type="pct"/>
                  <w:vMerge w:val="continue"/>
                  <w:noWrap w:val="0"/>
                  <w:vAlign w:val="center"/>
                </w:tcPr>
                <w:p w14:paraId="0C19251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83" w:type="pct"/>
                  <w:noWrap w:val="0"/>
                  <w:vAlign w:val="center"/>
                </w:tcPr>
                <w:p w14:paraId="176837B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63" w:type="pct"/>
                  <w:shd w:val="clear" w:color="auto" w:fill="auto"/>
                  <w:noWrap w:val="0"/>
                  <w:vAlign w:val="center"/>
                </w:tcPr>
                <w:p w14:paraId="6BE46D6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颗粒物</w:t>
                  </w:r>
                </w:p>
              </w:tc>
              <w:tc>
                <w:tcPr>
                  <w:tcW w:w="302" w:type="pct"/>
                  <w:shd w:val="clear" w:color="auto" w:fill="auto"/>
                  <w:noWrap w:val="0"/>
                  <w:vAlign w:val="center"/>
                </w:tcPr>
                <w:p w14:paraId="32EE536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0.5</w:t>
                  </w:r>
                </w:p>
              </w:tc>
              <w:tc>
                <w:tcPr>
                  <w:tcW w:w="408" w:type="pct"/>
                  <w:shd w:val="clear" w:color="auto" w:fill="auto"/>
                  <w:noWrap w:val="0"/>
                  <w:vAlign w:val="center"/>
                </w:tcPr>
                <w:p w14:paraId="0EF3AD6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无组织</w:t>
                  </w:r>
                </w:p>
              </w:tc>
              <w:tc>
                <w:tcPr>
                  <w:tcW w:w="576" w:type="pct"/>
                  <w:shd w:val="clear" w:color="auto" w:fill="auto"/>
                  <w:noWrap w:val="0"/>
                  <w:vAlign w:val="center"/>
                </w:tcPr>
                <w:p w14:paraId="42858E9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sz w:val="21"/>
                      <w:szCs w:val="21"/>
                      <w:lang w:val="en-US" w:eastAsia="zh-CN"/>
                    </w:rPr>
                    <w:t>密闭围挡、密闭车间</w:t>
                  </w:r>
                </w:p>
              </w:tc>
              <w:tc>
                <w:tcPr>
                  <w:tcW w:w="409" w:type="pct"/>
                  <w:shd w:val="clear" w:color="auto" w:fill="auto"/>
                  <w:noWrap w:val="0"/>
                  <w:vAlign w:val="center"/>
                </w:tcPr>
                <w:p w14:paraId="442F165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w:t>
                  </w:r>
                </w:p>
              </w:tc>
              <w:tc>
                <w:tcPr>
                  <w:tcW w:w="423" w:type="pct"/>
                  <w:shd w:val="clear" w:color="auto" w:fill="auto"/>
                  <w:noWrap w:val="0"/>
                  <w:vAlign w:val="center"/>
                </w:tcPr>
                <w:p w14:paraId="2F5A7B4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60</w:t>
                  </w:r>
                </w:p>
              </w:tc>
              <w:tc>
                <w:tcPr>
                  <w:tcW w:w="431" w:type="pct"/>
                  <w:shd w:val="clear" w:color="auto" w:fill="auto"/>
                  <w:noWrap w:val="0"/>
                  <w:vAlign w:val="center"/>
                </w:tcPr>
                <w:p w14:paraId="537A698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0.5</w:t>
                  </w:r>
                </w:p>
              </w:tc>
              <w:tc>
                <w:tcPr>
                  <w:tcW w:w="450" w:type="pct"/>
                  <w:shd w:val="clear" w:color="auto" w:fill="auto"/>
                  <w:noWrap w:val="0"/>
                  <w:vAlign w:val="center"/>
                </w:tcPr>
                <w:p w14:paraId="255F8EF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0.2</w:t>
                  </w:r>
                </w:p>
              </w:tc>
              <w:tc>
                <w:tcPr>
                  <w:tcW w:w="431" w:type="pct"/>
                  <w:shd w:val="clear" w:color="auto" w:fill="auto"/>
                  <w:noWrap w:val="0"/>
                  <w:vAlign w:val="center"/>
                </w:tcPr>
                <w:p w14:paraId="0B1A0C8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0.08</w:t>
                  </w:r>
                </w:p>
              </w:tc>
              <w:tc>
                <w:tcPr>
                  <w:tcW w:w="422" w:type="pct"/>
                  <w:shd w:val="clear" w:color="auto" w:fill="auto"/>
                  <w:noWrap w:val="0"/>
                  <w:vAlign w:val="center"/>
                </w:tcPr>
                <w:p w14:paraId="7BF600C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w:t>
                  </w:r>
                </w:p>
              </w:tc>
            </w:tr>
            <w:tr w14:paraId="79C4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98" w:type="pct"/>
                  <w:vMerge w:val="continue"/>
                  <w:noWrap w:val="0"/>
                  <w:vAlign w:val="center"/>
                </w:tcPr>
                <w:p w14:paraId="7352A01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83" w:type="pct"/>
                  <w:vMerge w:val="restart"/>
                  <w:noWrap w:val="0"/>
                  <w:vAlign w:val="center"/>
                </w:tcPr>
                <w:p w14:paraId="391AA13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DA001</w:t>
                  </w:r>
                </w:p>
              </w:tc>
              <w:tc>
                <w:tcPr>
                  <w:tcW w:w="463" w:type="pct"/>
                  <w:vMerge w:val="restart"/>
                  <w:noWrap w:val="0"/>
                  <w:vAlign w:val="center"/>
                </w:tcPr>
                <w:p w14:paraId="5C814DE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i w:val="0"/>
                      <w:color w:val="auto"/>
                      <w:kern w:val="2"/>
                      <w:sz w:val="24"/>
                      <w:szCs w:val="24"/>
                      <w:lang w:val="en-US" w:eastAsia="zh-CN" w:bidi="ar-SA"/>
                    </w:rPr>
                    <w:t>甲苯</w:t>
                  </w:r>
                </w:p>
              </w:tc>
              <w:tc>
                <w:tcPr>
                  <w:tcW w:w="302" w:type="pct"/>
                  <w:vMerge w:val="restart"/>
                  <w:noWrap w:val="0"/>
                  <w:vAlign w:val="center"/>
                </w:tcPr>
                <w:p w14:paraId="7BE8280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0.0042</w:t>
                  </w:r>
                </w:p>
              </w:tc>
              <w:tc>
                <w:tcPr>
                  <w:tcW w:w="408" w:type="pct"/>
                  <w:shd w:val="clear" w:color="auto" w:fill="auto"/>
                  <w:noWrap w:val="0"/>
                  <w:vAlign w:val="center"/>
                </w:tcPr>
                <w:p w14:paraId="650F034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有组织</w:t>
                  </w:r>
                </w:p>
              </w:tc>
              <w:tc>
                <w:tcPr>
                  <w:tcW w:w="576" w:type="pct"/>
                  <w:noWrap w:val="0"/>
                  <w:vAlign w:val="center"/>
                </w:tcPr>
                <w:p w14:paraId="59F40B8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集气罩+</w:t>
                  </w:r>
                  <w:r>
                    <w:rPr>
                      <w:rFonts w:hint="eastAsia" w:cs="Times New Roman"/>
                      <w:color w:val="auto"/>
                      <w:sz w:val="21"/>
                      <w:szCs w:val="21"/>
                      <w:vertAlign w:val="baseline"/>
                      <w:lang w:val="en-US" w:eastAsia="zh-CN"/>
                    </w:rPr>
                    <w:t>活性炭</w:t>
                  </w:r>
                  <w:r>
                    <w:rPr>
                      <w:rFonts w:hint="default" w:ascii="Times New Roman" w:hAnsi="Times New Roman" w:eastAsia="宋体" w:cs="Times New Roman"/>
                      <w:color w:val="auto"/>
                      <w:sz w:val="21"/>
                      <w:szCs w:val="21"/>
                      <w:vertAlign w:val="baseline"/>
                      <w:lang w:val="en-US" w:eastAsia="zh-CN"/>
                    </w:rPr>
                    <w:t>吸附</w:t>
                  </w:r>
                </w:p>
              </w:tc>
              <w:tc>
                <w:tcPr>
                  <w:tcW w:w="409" w:type="pct"/>
                  <w:noWrap w:val="0"/>
                  <w:vAlign w:val="center"/>
                </w:tcPr>
                <w:p w14:paraId="2E18FC2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423" w:type="pct"/>
                  <w:noWrap w:val="0"/>
                  <w:vAlign w:val="center"/>
                </w:tcPr>
                <w:p w14:paraId="73724B3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p>
              </w:tc>
              <w:tc>
                <w:tcPr>
                  <w:tcW w:w="431" w:type="pct"/>
                  <w:noWrap w:val="0"/>
                  <w:vAlign w:val="center"/>
                </w:tcPr>
                <w:p w14:paraId="1F9465B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0.0034</w:t>
                  </w:r>
                </w:p>
              </w:tc>
              <w:tc>
                <w:tcPr>
                  <w:tcW w:w="450" w:type="pct"/>
                  <w:noWrap w:val="0"/>
                  <w:vAlign w:val="center"/>
                </w:tcPr>
                <w:p w14:paraId="0F1E2BB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0.0009</w:t>
                  </w:r>
                </w:p>
              </w:tc>
              <w:tc>
                <w:tcPr>
                  <w:tcW w:w="431" w:type="pct"/>
                  <w:noWrap w:val="0"/>
                  <w:vAlign w:val="center"/>
                </w:tcPr>
                <w:p w14:paraId="248546C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0.00035</w:t>
                  </w:r>
                </w:p>
              </w:tc>
              <w:tc>
                <w:tcPr>
                  <w:tcW w:w="422" w:type="pct"/>
                  <w:noWrap w:val="0"/>
                  <w:vAlign w:val="center"/>
                </w:tcPr>
                <w:p w14:paraId="7ACCFF9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0.0521</w:t>
                  </w:r>
                </w:p>
              </w:tc>
            </w:tr>
            <w:tr w14:paraId="0252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98" w:type="pct"/>
                  <w:vMerge w:val="continue"/>
                  <w:noWrap w:val="0"/>
                  <w:vAlign w:val="center"/>
                </w:tcPr>
                <w:p w14:paraId="69F7BD6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83" w:type="pct"/>
                  <w:vMerge w:val="continue"/>
                  <w:noWrap w:val="0"/>
                  <w:vAlign w:val="center"/>
                </w:tcPr>
                <w:p w14:paraId="64DFA90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63" w:type="pct"/>
                  <w:vMerge w:val="continue"/>
                  <w:noWrap w:val="0"/>
                  <w:vAlign w:val="center"/>
                </w:tcPr>
                <w:p w14:paraId="4994C0A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02" w:type="pct"/>
                  <w:vMerge w:val="continue"/>
                  <w:noWrap w:val="0"/>
                  <w:vAlign w:val="center"/>
                </w:tcPr>
                <w:p w14:paraId="12270CD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8" w:type="pct"/>
                  <w:shd w:val="clear" w:color="auto" w:fill="auto"/>
                  <w:noWrap w:val="0"/>
                  <w:vAlign w:val="center"/>
                </w:tcPr>
                <w:p w14:paraId="5568D10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无组织</w:t>
                  </w:r>
                </w:p>
              </w:tc>
              <w:tc>
                <w:tcPr>
                  <w:tcW w:w="576" w:type="pct"/>
                  <w:noWrap w:val="0"/>
                  <w:vAlign w:val="center"/>
                </w:tcPr>
                <w:p w14:paraId="17EB829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车间门窗自然通风</w:t>
                  </w:r>
                </w:p>
              </w:tc>
              <w:tc>
                <w:tcPr>
                  <w:tcW w:w="409" w:type="pct"/>
                  <w:noWrap w:val="0"/>
                  <w:vAlign w:val="center"/>
                </w:tcPr>
                <w:p w14:paraId="31A837C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23" w:type="pct"/>
                  <w:noWrap w:val="0"/>
                  <w:vAlign w:val="center"/>
                </w:tcPr>
                <w:p w14:paraId="4763437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1" w:type="pct"/>
                  <w:noWrap w:val="0"/>
                  <w:vAlign w:val="center"/>
                </w:tcPr>
                <w:p w14:paraId="13063AB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0.0008</w:t>
                  </w:r>
                </w:p>
              </w:tc>
              <w:tc>
                <w:tcPr>
                  <w:tcW w:w="450" w:type="pct"/>
                  <w:noWrap w:val="0"/>
                  <w:vAlign w:val="center"/>
                </w:tcPr>
                <w:p w14:paraId="47472ED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0.0008</w:t>
                  </w:r>
                </w:p>
              </w:tc>
              <w:tc>
                <w:tcPr>
                  <w:tcW w:w="431" w:type="pct"/>
                  <w:noWrap w:val="0"/>
                  <w:vAlign w:val="center"/>
                </w:tcPr>
                <w:p w14:paraId="58E52F0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0.0003</w:t>
                  </w:r>
                </w:p>
              </w:tc>
              <w:tc>
                <w:tcPr>
                  <w:tcW w:w="422" w:type="pct"/>
                  <w:noWrap w:val="0"/>
                  <w:vAlign w:val="center"/>
                </w:tcPr>
                <w:p w14:paraId="4AF417A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5E123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298" w:type="pct"/>
                  <w:vMerge w:val="continue"/>
                  <w:noWrap w:val="0"/>
                  <w:vAlign w:val="center"/>
                </w:tcPr>
                <w:p w14:paraId="00D7144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83" w:type="pct"/>
                  <w:vMerge w:val="restart"/>
                  <w:noWrap w:val="0"/>
                  <w:vAlign w:val="center"/>
                </w:tcPr>
                <w:p w14:paraId="1FD9A15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DA001</w:t>
                  </w:r>
                </w:p>
              </w:tc>
              <w:tc>
                <w:tcPr>
                  <w:tcW w:w="463" w:type="pct"/>
                  <w:vMerge w:val="restart"/>
                  <w:noWrap w:val="0"/>
                  <w:vAlign w:val="center"/>
                </w:tcPr>
                <w:p w14:paraId="6A2A433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乙苯</w:t>
                  </w:r>
                </w:p>
              </w:tc>
              <w:tc>
                <w:tcPr>
                  <w:tcW w:w="302" w:type="pct"/>
                  <w:vMerge w:val="restart"/>
                  <w:noWrap w:val="0"/>
                  <w:vAlign w:val="center"/>
                </w:tcPr>
                <w:p w14:paraId="6770AF9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0.0021</w:t>
                  </w:r>
                </w:p>
              </w:tc>
              <w:tc>
                <w:tcPr>
                  <w:tcW w:w="408" w:type="pct"/>
                  <w:shd w:val="clear" w:color="auto" w:fill="auto"/>
                  <w:noWrap w:val="0"/>
                  <w:vAlign w:val="center"/>
                </w:tcPr>
                <w:p w14:paraId="690BE48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有组织</w:t>
                  </w:r>
                </w:p>
              </w:tc>
              <w:tc>
                <w:tcPr>
                  <w:tcW w:w="576" w:type="pct"/>
                  <w:noWrap w:val="0"/>
                  <w:vAlign w:val="center"/>
                </w:tcPr>
                <w:p w14:paraId="7A10737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集气罩+</w:t>
                  </w:r>
                  <w:r>
                    <w:rPr>
                      <w:rFonts w:hint="eastAsia" w:cs="Times New Roman"/>
                      <w:color w:val="auto"/>
                      <w:sz w:val="21"/>
                      <w:szCs w:val="21"/>
                      <w:vertAlign w:val="baseline"/>
                      <w:lang w:val="en-US" w:eastAsia="zh-CN"/>
                    </w:rPr>
                    <w:t>活性炭</w:t>
                  </w:r>
                  <w:r>
                    <w:rPr>
                      <w:rFonts w:hint="default" w:ascii="Times New Roman" w:hAnsi="Times New Roman" w:eastAsia="宋体" w:cs="Times New Roman"/>
                      <w:color w:val="auto"/>
                      <w:sz w:val="21"/>
                      <w:szCs w:val="21"/>
                      <w:vertAlign w:val="baseline"/>
                      <w:lang w:val="en-US" w:eastAsia="zh-CN"/>
                    </w:rPr>
                    <w:t>吸附</w:t>
                  </w:r>
                </w:p>
              </w:tc>
              <w:tc>
                <w:tcPr>
                  <w:tcW w:w="409" w:type="pct"/>
                  <w:noWrap w:val="0"/>
                  <w:vAlign w:val="center"/>
                </w:tcPr>
                <w:p w14:paraId="3D559E9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423" w:type="pct"/>
                  <w:noWrap w:val="0"/>
                  <w:vAlign w:val="center"/>
                </w:tcPr>
                <w:p w14:paraId="56EA5CF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p>
              </w:tc>
              <w:tc>
                <w:tcPr>
                  <w:tcW w:w="431" w:type="pct"/>
                  <w:noWrap w:val="0"/>
                  <w:vAlign w:val="center"/>
                </w:tcPr>
                <w:p w14:paraId="04B826A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0.0017</w:t>
                  </w:r>
                </w:p>
              </w:tc>
              <w:tc>
                <w:tcPr>
                  <w:tcW w:w="450" w:type="pct"/>
                  <w:noWrap w:val="0"/>
                  <w:vAlign w:val="center"/>
                </w:tcPr>
                <w:p w14:paraId="2D39AED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0.0004</w:t>
                  </w:r>
                </w:p>
              </w:tc>
              <w:tc>
                <w:tcPr>
                  <w:tcW w:w="431" w:type="pct"/>
                  <w:noWrap w:val="0"/>
                  <w:vAlign w:val="center"/>
                </w:tcPr>
                <w:p w14:paraId="5F7485D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0.000175</w:t>
                  </w:r>
                </w:p>
              </w:tc>
              <w:tc>
                <w:tcPr>
                  <w:tcW w:w="422" w:type="pct"/>
                  <w:noWrap w:val="0"/>
                  <w:vAlign w:val="center"/>
                </w:tcPr>
                <w:p w14:paraId="6F6DD8D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0.0261</w:t>
                  </w:r>
                </w:p>
              </w:tc>
            </w:tr>
            <w:tr w14:paraId="1B0B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98" w:type="pct"/>
                  <w:vMerge w:val="continue"/>
                  <w:noWrap w:val="0"/>
                  <w:vAlign w:val="center"/>
                </w:tcPr>
                <w:p w14:paraId="183752D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83" w:type="pct"/>
                  <w:vMerge w:val="continue"/>
                  <w:noWrap w:val="0"/>
                  <w:vAlign w:val="center"/>
                </w:tcPr>
                <w:p w14:paraId="6D07CF9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63" w:type="pct"/>
                  <w:vMerge w:val="continue"/>
                  <w:noWrap w:val="0"/>
                  <w:vAlign w:val="center"/>
                </w:tcPr>
                <w:p w14:paraId="1E6E6B9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02" w:type="pct"/>
                  <w:vMerge w:val="continue"/>
                  <w:noWrap w:val="0"/>
                  <w:vAlign w:val="center"/>
                </w:tcPr>
                <w:p w14:paraId="5184052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8" w:type="pct"/>
                  <w:shd w:val="clear" w:color="auto" w:fill="auto"/>
                  <w:noWrap w:val="0"/>
                  <w:vAlign w:val="center"/>
                </w:tcPr>
                <w:p w14:paraId="1B377C8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无组织</w:t>
                  </w:r>
                </w:p>
              </w:tc>
              <w:tc>
                <w:tcPr>
                  <w:tcW w:w="576" w:type="pct"/>
                  <w:noWrap w:val="0"/>
                  <w:vAlign w:val="center"/>
                </w:tcPr>
                <w:p w14:paraId="7D793C5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车间门窗自然通风</w:t>
                  </w:r>
                </w:p>
              </w:tc>
              <w:tc>
                <w:tcPr>
                  <w:tcW w:w="409" w:type="pct"/>
                  <w:noWrap w:val="0"/>
                  <w:vAlign w:val="center"/>
                </w:tcPr>
                <w:p w14:paraId="6593471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23" w:type="pct"/>
                  <w:noWrap w:val="0"/>
                  <w:vAlign w:val="center"/>
                </w:tcPr>
                <w:p w14:paraId="3924272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1" w:type="pct"/>
                  <w:noWrap w:val="0"/>
                  <w:vAlign w:val="center"/>
                </w:tcPr>
                <w:p w14:paraId="6ACB532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0.0004</w:t>
                  </w:r>
                </w:p>
              </w:tc>
              <w:tc>
                <w:tcPr>
                  <w:tcW w:w="450" w:type="pct"/>
                  <w:noWrap w:val="0"/>
                  <w:vAlign w:val="center"/>
                </w:tcPr>
                <w:p w14:paraId="46A2D11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0.0004</w:t>
                  </w:r>
                </w:p>
              </w:tc>
              <w:tc>
                <w:tcPr>
                  <w:tcW w:w="431" w:type="pct"/>
                  <w:noWrap w:val="0"/>
                  <w:vAlign w:val="center"/>
                </w:tcPr>
                <w:p w14:paraId="66FC85F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0.0002</w:t>
                  </w:r>
                </w:p>
              </w:tc>
              <w:tc>
                <w:tcPr>
                  <w:tcW w:w="422" w:type="pct"/>
                  <w:noWrap w:val="0"/>
                  <w:vAlign w:val="center"/>
                </w:tcPr>
                <w:p w14:paraId="50C635C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2AA1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98" w:type="pct"/>
                  <w:vMerge w:val="continue"/>
                  <w:noWrap w:val="0"/>
                  <w:vAlign w:val="center"/>
                </w:tcPr>
                <w:p w14:paraId="760A718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83" w:type="pct"/>
                  <w:vMerge w:val="restart"/>
                  <w:noWrap w:val="0"/>
                  <w:vAlign w:val="center"/>
                </w:tcPr>
                <w:p w14:paraId="3DF3C68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DA001</w:t>
                  </w:r>
                </w:p>
              </w:tc>
              <w:tc>
                <w:tcPr>
                  <w:tcW w:w="463" w:type="pct"/>
                  <w:vMerge w:val="restart"/>
                  <w:noWrap w:val="0"/>
                  <w:vAlign w:val="center"/>
                </w:tcPr>
                <w:p w14:paraId="5619AEC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苯乙烯</w:t>
                  </w:r>
                </w:p>
              </w:tc>
              <w:tc>
                <w:tcPr>
                  <w:tcW w:w="302" w:type="pct"/>
                  <w:vMerge w:val="restart"/>
                  <w:noWrap w:val="0"/>
                  <w:vAlign w:val="center"/>
                </w:tcPr>
                <w:p w14:paraId="11EF122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0.0003</w:t>
                  </w:r>
                </w:p>
              </w:tc>
              <w:tc>
                <w:tcPr>
                  <w:tcW w:w="408" w:type="pct"/>
                  <w:shd w:val="clear" w:color="auto" w:fill="auto"/>
                  <w:noWrap w:val="0"/>
                  <w:vAlign w:val="center"/>
                </w:tcPr>
                <w:p w14:paraId="622DAB4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有组织</w:t>
                  </w:r>
                </w:p>
              </w:tc>
              <w:tc>
                <w:tcPr>
                  <w:tcW w:w="576" w:type="pct"/>
                  <w:noWrap w:val="0"/>
                  <w:vAlign w:val="center"/>
                </w:tcPr>
                <w:p w14:paraId="5957A76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集气罩+</w:t>
                  </w:r>
                  <w:r>
                    <w:rPr>
                      <w:rFonts w:hint="eastAsia" w:cs="Times New Roman"/>
                      <w:color w:val="auto"/>
                      <w:sz w:val="21"/>
                      <w:szCs w:val="21"/>
                      <w:vertAlign w:val="baseline"/>
                      <w:lang w:val="en-US" w:eastAsia="zh-CN"/>
                    </w:rPr>
                    <w:t>活性炭</w:t>
                  </w:r>
                  <w:r>
                    <w:rPr>
                      <w:rFonts w:hint="default" w:ascii="Times New Roman" w:hAnsi="Times New Roman" w:eastAsia="宋体" w:cs="Times New Roman"/>
                      <w:color w:val="auto"/>
                      <w:sz w:val="21"/>
                      <w:szCs w:val="21"/>
                      <w:vertAlign w:val="baseline"/>
                      <w:lang w:val="en-US" w:eastAsia="zh-CN"/>
                    </w:rPr>
                    <w:t>吸附</w:t>
                  </w:r>
                </w:p>
              </w:tc>
              <w:tc>
                <w:tcPr>
                  <w:tcW w:w="409" w:type="pct"/>
                  <w:noWrap w:val="0"/>
                  <w:vAlign w:val="center"/>
                </w:tcPr>
                <w:p w14:paraId="58FC287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80</w:t>
                  </w:r>
                </w:p>
              </w:tc>
              <w:tc>
                <w:tcPr>
                  <w:tcW w:w="423" w:type="pct"/>
                  <w:noWrap w:val="0"/>
                  <w:vAlign w:val="center"/>
                </w:tcPr>
                <w:p w14:paraId="099A83E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75</w:t>
                  </w:r>
                </w:p>
              </w:tc>
              <w:tc>
                <w:tcPr>
                  <w:tcW w:w="431" w:type="pct"/>
                  <w:noWrap w:val="0"/>
                  <w:vAlign w:val="center"/>
                </w:tcPr>
                <w:p w14:paraId="60DE9E7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0.0002</w:t>
                  </w:r>
                </w:p>
              </w:tc>
              <w:tc>
                <w:tcPr>
                  <w:tcW w:w="450" w:type="pct"/>
                  <w:noWrap w:val="0"/>
                  <w:vAlign w:val="center"/>
                </w:tcPr>
                <w:p w14:paraId="1C0C5B5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0.0001</w:t>
                  </w:r>
                </w:p>
              </w:tc>
              <w:tc>
                <w:tcPr>
                  <w:tcW w:w="431" w:type="pct"/>
                  <w:noWrap w:val="0"/>
                  <w:vAlign w:val="center"/>
                </w:tcPr>
                <w:p w14:paraId="0C061BE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0.000021</w:t>
                  </w:r>
                </w:p>
              </w:tc>
              <w:tc>
                <w:tcPr>
                  <w:tcW w:w="422" w:type="pct"/>
                  <w:noWrap w:val="0"/>
                  <w:vAlign w:val="center"/>
                </w:tcPr>
                <w:p w14:paraId="7F288CA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0.0031</w:t>
                  </w:r>
                </w:p>
              </w:tc>
            </w:tr>
            <w:tr w14:paraId="20CC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98" w:type="pct"/>
                  <w:vMerge w:val="continue"/>
                  <w:noWrap w:val="0"/>
                  <w:vAlign w:val="center"/>
                </w:tcPr>
                <w:p w14:paraId="5127AFD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83" w:type="pct"/>
                  <w:vMerge w:val="continue"/>
                  <w:noWrap w:val="0"/>
                  <w:vAlign w:val="center"/>
                </w:tcPr>
                <w:p w14:paraId="465CCBB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63" w:type="pct"/>
                  <w:vMerge w:val="continue"/>
                  <w:noWrap w:val="0"/>
                  <w:vAlign w:val="center"/>
                </w:tcPr>
                <w:p w14:paraId="69069C6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302" w:type="pct"/>
                  <w:vMerge w:val="continue"/>
                  <w:noWrap w:val="0"/>
                  <w:vAlign w:val="center"/>
                </w:tcPr>
                <w:p w14:paraId="136BD75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08" w:type="pct"/>
                  <w:shd w:val="clear" w:color="auto" w:fill="auto"/>
                  <w:noWrap w:val="0"/>
                  <w:vAlign w:val="center"/>
                </w:tcPr>
                <w:p w14:paraId="7DA77F7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无组织</w:t>
                  </w:r>
                </w:p>
              </w:tc>
              <w:tc>
                <w:tcPr>
                  <w:tcW w:w="576" w:type="pct"/>
                  <w:noWrap w:val="0"/>
                  <w:vAlign w:val="center"/>
                </w:tcPr>
                <w:p w14:paraId="0677E8B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车间门窗自然通风</w:t>
                  </w:r>
                </w:p>
              </w:tc>
              <w:tc>
                <w:tcPr>
                  <w:tcW w:w="409" w:type="pct"/>
                  <w:noWrap w:val="0"/>
                  <w:vAlign w:val="center"/>
                </w:tcPr>
                <w:p w14:paraId="63D120A8">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23" w:type="pct"/>
                  <w:noWrap w:val="0"/>
                  <w:vAlign w:val="center"/>
                </w:tcPr>
                <w:p w14:paraId="181398B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c>
                <w:tcPr>
                  <w:tcW w:w="431" w:type="pct"/>
                  <w:noWrap w:val="0"/>
                  <w:vAlign w:val="center"/>
                </w:tcPr>
                <w:p w14:paraId="1EBB3E2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0.0001</w:t>
                  </w:r>
                </w:p>
              </w:tc>
              <w:tc>
                <w:tcPr>
                  <w:tcW w:w="450" w:type="pct"/>
                  <w:noWrap w:val="0"/>
                  <w:vAlign w:val="center"/>
                </w:tcPr>
                <w:p w14:paraId="150F122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0.0001</w:t>
                  </w:r>
                </w:p>
              </w:tc>
              <w:tc>
                <w:tcPr>
                  <w:tcW w:w="431" w:type="pct"/>
                  <w:noWrap w:val="0"/>
                  <w:vAlign w:val="center"/>
                </w:tcPr>
                <w:p w14:paraId="50F17FA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0.00004</w:t>
                  </w:r>
                </w:p>
              </w:tc>
              <w:tc>
                <w:tcPr>
                  <w:tcW w:w="422" w:type="pct"/>
                  <w:noWrap w:val="0"/>
                  <w:vAlign w:val="center"/>
                </w:tcPr>
                <w:p w14:paraId="752249D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r>
            <w:tr w14:paraId="5A4DC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trPr>
              <w:tc>
                <w:tcPr>
                  <w:tcW w:w="298" w:type="pct"/>
                  <w:vMerge w:val="restart"/>
                  <w:noWrap w:val="0"/>
                  <w:vAlign w:val="center"/>
                </w:tcPr>
                <w:p w14:paraId="20F68E8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生物质蒸汽发生器燃烧</w:t>
                  </w:r>
                  <w:r>
                    <w:rPr>
                      <w:rFonts w:hint="default" w:ascii="Times New Roman" w:hAnsi="Times New Roman" w:eastAsia="宋体" w:cs="Times New Roman"/>
                      <w:color w:val="auto"/>
                      <w:sz w:val="21"/>
                      <w:szCs w:val="21"/>
                      <w:vertAlign w:val="baseline"/>
                      <w:lang w:val="en-US" w:eastAsia="zh-CN"/>
                    </w:rPr>
                    <w:t>工段</w:t>
                  </w:r>
                </w:p>
              </w:tc>
              <w:tc>
                <w:tcPr>
                  <w:tcW w:w="383" w:type="pct"/>
                  <w:vMerge w:val="restart"/>
                  <w:noWrap w:val="0"/>
                  <w:vAlign w:val="center"/>
                </w:tcPr>
                <w:p w14:paraId="41E018A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DA002</w:t>
                  </w:r>
                </w:p>
              </w:tc>
              <w:tc>
                <w:tcPr>
                  <w:tcW w:w="463" w:type="pct"/>
                  <w:noWrap w:val="0"/>
                  <w:vAlign w:val="center"/>
                </w:tcPr>
                <w:p w14:paraId="3DE8E30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颗粒物</w:t>
                  </w:r>
                </w:p>
              </w:tc>
              <w:tc>
                <w:tcPr>
                  <w:tcW w:w="302" w:type="pct"/>
                  <w:noWrap w:val="0"/>
                  <w:vAlign w:val="center"/>
                </w:tcPr>
                <w:p w14:paraId="5A9094E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56.4</w:t>
                  </w:r>
                </w:p>
              </w:tc>
              <w:tc>
                <w:tcPr>
                  <w:tcW w:w="408" w:type="pct"/>
                  <w:noWrap w:val="0"/>
                  <w:vAlign w:val="center"/>
                </w:tcPr>
                <w:p w14:paraId="60A639F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kern w:val="0"/>
                      <w:sz w:val="21"/>
                      <w:szCs w:val="21"/>
                      <w:vertAlign w:val="baseline"/>
                      <w:lang w:val="en-US" w:eastAsia="zh-CN" w:bidi="ar-SA"/>
                    </w:rPr>
                    <w:t>有组织</w:t>
                  </w:r>
                </w:p>
              </w:tc>
              <w:tc>
                <w:tcPr>
                  <w:tcW w:w="576" w:type="pct"/>
                  <w:noWrap w:val="0"/>
                  <w:vAlign w:val="center"/>
                </w:tcPr>
                <w:p w14:paraId="6EFBF87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密闭管道+旋风除尘+布袋除尘</w:t>
                  </w:r>
                </w:p>
              </w:tc>
              <w:tc>
                <w:tcPr>
                  <w:tcW w:w="409" w:type="pct"/>
                  <w:noWrap w:val="0"/>
                  <w:vAlign w:val="center"/>
                </w:tcPr>
                <w:p w14:paraId="63B2FD3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100</w:t>
                  </w:r>
                </w:p>
              </w:tc>
              <w:tc>
                <w:tcPr>
                  <w:tcW w:w="423" w:type="pct"/>
                  <w:noWrap w:val="0"/>
                  <w:vAlign w:val="center"/>
                </w:tcPr>
                <w:p w14:paraId="2BA6251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99.9</w:t>
                  </w:r>
                </w:p>
              </w:tc>
              <w:tc>
                <w:tcPr>
                  <w:tcW w:w="431" w:type="pct"/>
                  <w:noWrap w:val="0"/>
                  <w:vAlign w:val="center"/>
                </w:tcPr>
                <w:p w14:paraId="46BE4A9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eastAsiaTheme="minorEastAsia"/>
                      <w:color w:val="auto"/>
                      <w:sz w:val="21"/>
                      <w:szCs w:val="21"/>
                      <w:lang w:val="en-US" w:eastAsia="zh-CN"/>
                    </w:rPr>
                    <w:t>56.4</w:t>
                  </w:r>
                </w:p>
              </w:tc>
              <w:tc>
                <w:tcPr>
                  <w:tcW w:w="450" w:type="pct"/>
                  <w:noWrap w:val="0"/>
                  <w:vAlign w:val="center"/>
                </w:tcPr>
                <w:p w14:paraId="7A51679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0.0564</w:t>
                  </w:r>
                </w:p>
              </w:tc>
              <w:tc>
                <w:tcPr>
                  <w:tcW w:w="431" w:type="pct"/>
                  <w:shd w:val="clear" w:color="auto" w:fill="auto"/>
                  <w:noWrap w:val="0"/>
                  <w:vAlign w:val="center"/>
                </w:tcPr>
                <w:p w14:paraId="3F07B354">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0.0235</w:t>
                  </w:r>
                </w:p>
              </w:tc>
              <w:tc>
                <w:tcPr>
                  <w:tcW w:w="422" w:type="pct"/>
                  <w:shd w:val="clear" w:color="auto" w:fill="auto"/>
                  <w:noWrap w:val="0"/>
                  <w:vAlign w:val="center"/>
                </w:tcPr>
                <w:p w14:paraId="795AB2FA">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cs="Times New Roman" w:eastAsiaTheme="minorEastAsia"/>
                      <w:color w:val="auto"/>
                      <w:sz w:val="21"/>
                      <w:szCs w:val="21"/>
                      <w:lang w:val="en-US" w:eastAsia="zh-CN"/>
                    </w:rPr>
                    <w:t>6.03</w:t>
                  </w:r>
                </w:p>
              </w:tc>
            </w:tr>
            <w:tr w14:paraId="7872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298" w:type="pct"/>
                  <w:vMerge w:val="continue"/>
                  <w:noWrap w:val="0"/>
                  <w:vAlign w:val="center"/>
                </w:tcPr>
                <w:p w14:paraId="3D5EA73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cs="Times New Roman"/>
                      <w:color w:val="auto"/>
                      <w:sz w:val="21"/>
                      <w:szCs w:val="21"/>
                      <w:vertAlign w:val="baseline"/>
                      <w:lang w:val="en-US" w:eastAsia="zh-CN"/>
                    </w:rPr>
                  </w:pPr>
                </w:p>
              </w:tc>
              <w:tc>
                <w:tcPr>
                  <w:tcW w:w="383" w:type="pct"/>
                  <w:vMerge w:val="continue"/>
                  <w:noWrap w:val="0"/>
                  <w:vAlign w:val="center"/>
                </w:tcPr>
                <w:p w14:paraId="6BE8DFB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63" w:type="pct"/>
                  <w:noWrap w:val="0"/>
                  <w:vAlign w:val="center"/>
                </w:tcPr>
                <w:p w14:paraId="08715CE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二氧化硫</w:t>
                  </w:r>
                </w:p>
              </w:tc>
              <w:tc>
                <w:tcPr>
                  <w:tcW w:w="302" w:type="pct"/>
                  <w:noWrap w:val="0"/>
                  <w:vAlign w:val="center"/>
                </w:tcPr>
                <w:p w14:paraId="5C07D32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0.77</w:t>
                  </w:r>
                </w:p>
              </w:tc>
              <w:tc>
                <w:tcPr>
                  <w:tcW w:w="408" w:type="pct"/>
                  <w:noWrap w:val="0"/>
                  <w:vAlign w:val="center"/>
                </w:tcPr>
                <w:p w14:paraId="69BC6307">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0"/>
                      <w:sz w:val="21"/>
                      <w:szCs w:val="21"/>
                      <w:vertAlign w:val="baseline"/>
                      <w:lang w:val="en-US" w:eastAsia="zh-CN" w:bidi="ar-SA"/>
                    </w:rPr>
                    <w:t>有组织</w:t>
                  </w:r>
                </w:p>
              </w:tc>
              <w:tc>
                <w:tcPr>
                  <w:tcW w:w="576" w:type="pct"/>
                  <w:noWrap w:val="0"/>
                  <w:vAlign w:val="center"/>
                </w:tcPr>
                <w:p w14:paraId="08CEFA4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09" w:type="pct"/>
                  <w:noWrap w:val="0"/>
                  <w:vAlign w:val="center"/>
                </w:tcPr>
                <w:p w14:paraId="7387E45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100</w:t>
                  </w:r>
                </w:p>
              </w:tc>
              <w:tc>
                <w:tcPr>
                  <w:tcW w:w="423" w:type="pct"/>
                  <w:noWrap w:val="0"/>
                  <w:vAlign w:val="center"/>
                </w:tcPr>
                <w:p w14:paraId="0B19DB4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31" w:type="pct"/>
                  <w:noWrap w:val="0"/>
                  <w:vAlign w:val="center"/>
                </w:tcPr>
                <w:p w14:paraId="3BC9E96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0.77</w:t>
                  </w:r>
                </w:p>
              </w:tc>
              <w:tc>
                <w:tcPr>
                  <w:tcW w:w="450" w:type="pct"/>
                  <w:noWrap w:val="0"/>
                  <w:vAlign w:val="center"/>
                </w:tcPr>
                <w:p w14:paraId="7FE39D0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0.77</w:t>
                  </w:r>
                </w:p>
              </w:tc>
              <w:tc>
                <w:tcPr>
                  <w:tcW w:w="431" w:type="pct"/>
                  <w:noWrap w:val="0"/>
                  <w:vAlign w:val="center"/>
                </w:tcPr>
                <w:p w14:paraId="3571388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0.32</w:t>
                  </w:r>
                </w:p>
              </w:tc>
              <w:tc>
                <w:tcPr>
                  <w:tcW w:w="422" w:type="pct"/>
                  <w:noWrap w:val="0"/>
                  <w:vAlign w:val="center"/>
                </w:tcPr>
                <w:p w14:paraId="34694F2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82.26</w:t>
                  </w:r>
                </w:p>
              </w:tc>
            </w:tr>
            <w:tr w14:paraId="4AAE6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98" w:type="pct"/>
                  <w:vMerge w:val="continue"/>
                  <w:noWrap w:val="0"/>
                  <w:vAlign w:val="center"/>
                </w:tcPr>
                <w:p w14:paraId="720BD272">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cs="Times New Roman"/>
                      <w:color w:val="auto"/>
                      <w:sz w:val="21"/>
                      <w:szCs w:val="21"/>
                      <w:vertAlign w:val="baseline"/>
                      <w:lang w:val="en-US" w:eastAsia="zh-CN"/>
                    </w:rPr>
                  </w:pPr>
                </w:p>
              </w:tc>
              <w:tc>
                <w:tcPr>
                  <w:tcW w:w="383" w:type="pct"/>
                  <w:vMerge w:val="continue"/>
                  <w:noWrap w:val="0"/>
                  <w:vAlign w:val="center"/>
                </w:tcPr>
                <w:p w14:paraId="52B3771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63" w:type="pct"/>
                  <w:noWrap w:val="0"/>
                  <w:vAlign w:val="center"/>
                </w:tcPr>
                <w:p w14:paraId="6630EFD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氮氧化物</w:t>
                  </w:r>
                </w:p>
              </w:tc>
              <w:tc>
                <w:tcPr>
                  <w:tcW w:w="302" w:type="pct"/>
                  <w:noWrap w:val="0"/>
                  <w:vAlign w:val="center"/>
                </w:tcPr>
                <w:p w14:paraId="32807BB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1.53</w:t>
                  </w:r>
                </w:p>
              </w:tc>
              <w:tc>
                <w:tcPr>
                  <w:tcW w:w="408" w:type="pct"/>
                  <w:noWrap w:val="0"/>
                  <w:vAlign w:val="center"/>
                </w:tcPr>
                <w:p w14:paraId="7DB1969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有组织</w:t>
                  </w:r>
                </w:p>
              </w:tc>
              <w:tc>
                <w:tcPr>
                  <w:tcW w:w="576" w:type="pct"/>
                  <w:noWrap w:val="0"/>
                  <w:vAlign w:val="center"/>
                </w:tcPr>
                <w:p w14:paraId="7477B4E4">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09" w:type="pct"/>
                  <w:noWrap w:val="0"/>
                  <w:vAlign w:val="center"/>
                </w:tcPr>
                <w:p w14:paraId="5DE54EC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100</w:t>
                  </w:r>
                </w:p>
              </w:tc>
              <w:tc>
                <w:tcPr>
                  <w:tcW w:w="423" w:type="pct"/>
                  <w:noWrap w:val="0"/>
                  <w:vAlign w:val="center"/>
                </w:tcPr>
                <w:p w14:paraId="00ED7AA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31" w:type="pct"/>
                  <w:noWrap w:val="0"/>
                  <w:vAlign w:val="center"/>
                </w:tcPr>
                <w:p w14:paraId="7D97C93B">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1.53</w:t>
                  </w:r>
                </w:p>
              </w:tc>
              <w:tc>
                <w:tcPr>
                  <w:tcW w:w="450" w:type="pct"/>
                  <w:noWrap w:val="0"/>
                  <w:vAlign w:val="center"/>
                </w:tcPr>
                <w:p w14:paraId="3E13A93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1.53</w:t>
                  </w:r>
                </w:p>
              </w:tc>
              <w:tc>
                <w:tcPr>
                  <w:tcW w:w="431" w:type="pct"/>
                  <w:noWrap w:val="0"/>
                  <w:vAlign w:val="center"/>
                </w:tcPr>
                <w:p w14:paraId="7D81FAE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0.64</w:t>
                  </w:r>
                </w:p>
              </w:tc>
              <w:tc>
                <w:tcPr>
                  <w:tcW w:w="422" w:type="pct"/>
                  <w:noWrap w:val="0"/>
                  <w:vAlign w:val="center"/>
                </w:tcPr>
                <w:p w14:paraId="4FBF6391">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163.46</w:t>
                  </w:r>
                </w:p>
              </w:tc>
            </w:tr>
            <w:tr w14:paraId="784D5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98" w:type="pct"/>
                  <w:noWrap w:val="0"/>
                  <w:vAlign w:val="center"/>
                </w:tcPr>
                <w:p w14:paraId="6374289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厨房油烟</w:t>
                  </w:r>
                </w:p>
              </w:tc>
              <w:tc>
                <w:tcPr>
                  <w:tcW w:w="383" w:type="pct"/>
                  <w:noWrap w:val="0"/>
                  <w:vAlign w:val="center"/>
                </w:tcPr>
                <w:p w14:paraId="5FEE3AF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463" w:type="pct"/>
                  <w:noWrap w:val="0"/>
                  <w:vAlign w:val="center"/>
                </w:tcPr>
                <w:p w14:paraId="04104DF0">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油烟</w:t>
                  </w:r>
                </w:p>
              </w:tc>
              <w:tc>
                <w:tcPr>
                  <w:tcW w:w="302" w:type="pct"/>
                  <w:noWrap w:val="0"/>
                  <w:vAlign w:val="center"/>
                </w:tcPr>
                <w:p w14:paraId="66C6F69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0.0013</w:t>
                  </w:r>
                </w:p>
              </w:tc>
              <w:tc>
                <w:tcPr>
                  <w:tcW w:w="408" w:type="pct"/>
                  <w:noWrap w:val="0"/>
                  <w:vAlign w:val="center"/>
                </w:tcPr>
                <w:p w14:paraId="32A8FFFE">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无组织</w:t>
                  </w:r>
                </w:p>
              </w:tc>
              <w:tc>
                <w:tcPr>
                  <w:tcW w:w="576" w:type="pct"/>
                  <w:noWrap w:val="0"/>
                  <w:vAlign w:val="center"/>
                </w:tcPr>
                <w:p w14:paraId="48C1934F">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油烟净化设施</w:t>
                  </w:r>
                </w:p>
              </w:tc>
              <w:tc>
                <w:tcPr>
                  <w:tcW w:w="409" w:type="pct"/>
                  <w:noWrap w:val="0"/>
                  <w:vAlign w:val="center"/>
                </w:tcPr>
                <w:p w14:paraId="2670800C">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100</w:t>
                  </w:r>
                </w:p>
              </w:tc>
              <w:tc>
                <w:tcPr>
                  <w:tcW w:w="423" w:type="pct"/>
                  <w:noWrap w:val="0"/>
                  <w:vAlign w:val="center"/>
                </w:tcPr>
                <w:p w14:paraId="25CF89B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65</w:t>
                  </w:r>
                </w:p>
              </w:tc>
              <w:tc>
                <w:tcPr>
                  <w:tcW w:w="431" w:type="pct"/>
                  <w:noWrap w:val="0"/>
                  <w:vAlign w:val="center"/>
                </w:tcPr>
                <w:p w14:paraId="63FF5D6D">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0.0013</w:t>
                  </w:r>
                </w:p>
              </w:tc>
              <w:tc>
                <w:tcPr>
                  <w:tcW w:w="450" w:type="pct"/>
                  <w:noWrap w:val="0"/>
                  <w:vAlign w:val="center"/>
                </w:tcPr>
                <w:p w14:paraId="54CE6DD6">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0.0005</w:t>
                  </w:r>
                </w:p>
              </w:tc>
              <w:tc>
                <w:tcPr>
                  <w:tcW w:w="431" w:type="pct"/>
                  <w:noWrap w:val="0"/>
                  <w:vAlign w:val="center"/>
                </w:tcPr>
                <w:p w14:paraId="59680263">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0.0017</w:t>
                  </w:r>
                </w:p>
              </w:tc>
              <w:tc>
                <w:tcPr>
                  <w:tcW w:w="422" w:type="pct"/>
                  <w:noWrap w:val="0"/>
                  <w:vAlign w:val="center"/>
                </w:tcPr>
                <w:p w14:paraId="374E75CA">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0.57</w:t>
                  </w:r>
                </w:p>
              </w:tc>
            </w:tr>
          </w:tbl>
          <w:p w14:paraId="136238CD">
            <w:pPr>
              <w:pStyle w:val="22"/>
              <w:keepNext w:val="0"/>
              <w:keepLines/>
              <w:pageBreakBefore w:val="0"/>
              <w:widowControl w:val="0"/>
              <w:kinsoku/>
              <w:wordWrap/>
              <w:overflowPunct/>
              <w:topLinePunct w:val="0"/>
              <w:autoSpaceDE w:val="0"/>
              <w:autoSpaceDN w:val="0"/>
              <w:bidi w:val="0"/>
              <w:adjustRightInd/>
              <w:snapToGrid w:val="0"/>
              <w:spacing w:before="157" w:beforeLines="50" w:line="360" w:lineRule="auto"/>
              <w:ind w:firstLine="480" w:firstLineChars="200"/>
              <w:jc w:val="left"/>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综上表可知，本项目废气污染物总量详见下表4-5。</w:t>
            </w:r>
          </w:p>
          <w:p w14:paraId="559EE717">
            <w:pPr>
              <w:pStyle w:val="110"/>
              <w:keepNext w:val="0"/>
              <w:keepLines w:val="0"/>
              <w:pageBreakBefore w:val="0"/>
              <w:widowControl w:val="0"/>
              <w:kinsoku/>
              <w:wordWrap/>
              <w:overflowPunct/>
              <w:topLinePunct w:val="0"/>
              <w:autoSpaceDE/>
              <w:autoSpaceDN/>
              <w:bidi w:val="0"/>
              <w:adjustRightInd/>
              <w:snapToGrid/>
              <w:spacing w:before="0" w:line="240" w:lineRule="auto"/>
              <w:ind w:firstLine="0" w:firstLineChars="0"/>
              <w:textAlignment w:val="auto"/>
              <w:rPr>
                <w:rFonts w:hint="default" w:ascii="Times New Roman" w:hAnsi="Times New Roman" w:eastAsia="宋体"/>
                <w:color w:val="auto"/>
                <w:lang w:val="en-US" w:eastAsia="zh-CN"/>
              </w:rPr>
            </w:pPr>
            <w:r>
              <w:rPr>
                <w:rFonts w:hint="eastAsia" w:ascii="Times New Roman" w:hAnsi="Times New Roman" w:eastAsia="宋体"/>
                <w:color w:val="auto"/>
                <w:lang w:val="en-US" w:eastAsia="zh-CN"/>
              </w:rPr>
              <w:t>表4-5 项目污染物总量排放一览表</w:t>
            </w:r>
          </w:p>
          <w:tbl>
            <w:tblPr>
              <w:tblStyle w:val="34"/>
              <w:tblW w:w="7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1320"/>
              <w:gridCol w:w="1050"/>
              <w:gridCol w:w="1830"/>
              <w:gridCol w:w="2984"/>
            </w:tblGrid>
            <w:tr w14:paraId="1DC9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14:paraId="149481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eastAsia" w:ascii="Times New Roman" w:hAnsi="Times New Roman" w:cs="Times New Roman" w:eastAsiaTheme="minorEastAsia"/>
                      <w:b/>
                      <w:bCs w:val="0"/>
                      <w:color w:val="auto"/>
                      <w:kern w:val="0"/>
                      <w:sz w:val="21"/>
                      <w:szCs w:val="21"/>
                      <w:highlight w:val="none"/>
                      <w:lang w:val="en-US" w:eastAsia="zh-CN"/>
                    </w:rPr>
                    <w:t>序号</w:t>
                  </w:r>
                </w:p>
              </w:tc>
              <w:tc>
                <w:tcPr>
                  <w:tcW w:w="2370" w:type="dxa"/>
                  <w:gridSpan w:val="2"/>
                  <w:vAlign w:val="center"/>
                </w:tcPr>
                <w:p w14:paraId="700D7C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eastAsia" w:ascii="Times New Roman" w:hAnsi="Times New Roman" w:cs="Times New Roman" w:eastAsiaTheme="minorEastAsia"/>
                      <w:b/>
                      <w:bCs w:val="0"/>
                      <w:color w:val="auto"/>
                      <w:kern w:val="0"/>
                      <w:sz w:val="21"/>
                      <w:szCs w:val="21"/>
                      <w:highlight w:val="none"/>
                      <w:lang w:val="en-US" w:eastAsia="zh-CN"/>
                    </w:rPr>
                    <w:t>项目</w:t>
                  </w:r>
                </w:p>
              </w:tc>
              <w:tc>
                <w:tcPr>
                  <w:tcW w:w="1830" w:type="dxa"/>
                  <w:vAlign w:val="center"/>
                </w:tcPr>
                <w:p w14:paraId="497D6C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eastAsia" w:ascii="Times New Roman" w:hAnsi="Times New Roman" w:cs="Times New Roman" w:eastAsiaTheme="minorEastAsia"/>
                      <w:b/>
                      <w:bCs w:val="0"/>
                      <w:color w:val="auto"/>
                      <w:kern w:val="0"/>
                      <w:sz w:val="21"/>
                      <w:szCs w:val="21"/>
                      <w:highlight w:val="none"/>
                      <w:lang w:val="en-US" w:eastAsia="zh-CN"/>
                    </w:rPr>
                    <w:t>总量（t/a）</w:t>
                  </w:r>
                </w:p>
              </w:tc>
              <w:tc>
                <w:tcPr>
                  <w:tcW w:w="2984" w:type="dxa"/>
                  <w:vAlign w:val="center"/>
                </w:tcPr>
                <w:p w14:paraId="477D0AB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eastAsia" w:cs="Times New Roman" w:eastAsiaTheme="minorEastAsia"/>
                      <w:b/>
                      <w:bCs w:val="0"/>
                      <w:color w:val="auto"/>
                      <w:kern w:val="0"/>
                      <w:sz w:val="21"/>
                      <w:szCs w:val="21"/>
                      <w:highlight w:val="none"/>
                      <w:lang w:val="en-US" w:eastAsia="zh-CN"/>
                    </w:rPr>
                    <w:t>有组织、无组织合计总量</w:t>
                  </w:r>
                  <w:r>
                    <w:rPr>
                      <w:rFonts w:hint="eastAsia" w:ascii="Times New Roman" w:hAnsi="Times New Roman" w:cs="Times New Roman" w:eastAsiaTheme="minorEastAsia"/>
                      <w:b/>
                      <w:bCs w:val="0"/>
                      <w:color w:val="auto"/>
                      <w:kern w:val="0"/>
                      <w:sz w:val="21"/>
                      <w:szCs w:val="21"/>
                      <w:highlight w:val="none"/>
                      <w:lang w:val="en-US" w:eastAsia="zh-CN"/>
                    </w:rPr>
                    <w:t>（t/a）</w:t>
                  </w:r>
                </w:p>
              </w:tc>
            </w:tr>
            <w:tr w14:paraId="0EEF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restart"/>
                  <w:vAlign w:val="center"/>
                </w:tcPr>
                <w:p w14:paraId="4E9DAA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1</w:t>
                  </w:r>
                </w:p>
              </w:tc>
              <w:tc>
                <w:tcPr>
                  <w:tcW w:w="1320" w:type="dxa"/>
                  <w:vMerge w:val="restart"/>
                  <w:vAlign w:val="center"/>
                </w:tcPr>
                <w:p w14:paraId="1D737E0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非甲烷总烃</w:t>
                  </w:r>
                </w:p>
              </w:tc>
              <w:tc>
                <w:tcPr>
                  <w:tcW w:w="1050" w:type="dxa"/>
                  <w:vAlign w:val="center"/>
                </w:tcPr>
                <w:p w14:paraId="17BBC7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有组织</w:t>
                  </w:r>
                </w:p>
              </w:tc>
              <w:tc>
                <w:tcPr>
                  <w:tcW w:w="1830" w:type="dxa"/>
                  <w:vAlign w:val="center"/>
                </w:tcPr>
                <w:p w14:paraId="78F927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0.03</w:t>
                  </w:r>
                </w:p>
              </w:tc>
              <w:tc>
                <w:tcPr>
                  <w:tcW w:w="2984" w:type="dxa"/>
                  <w:vMerge w:val="restart"/>
                  <w:vAlign w:val="center"/>
                </w:tcPr>
                <w:p w14:paraId="5DE894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0.06</w:t>
                  </w:r>
                </w:p>
              </w:tc>
            </w:tr>
            <w:tr w14:paraId="11AA2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09EFF6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320" w:type="dxa"/>
                  <w:vMerge w:val="continue"/>
                  <w:vAlign w:val="center"/>
                </w:tcPr>
                <w:p w14:paraId="459AF22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050" w:type="dxa"/>
                  <w:vAlign w:val="center"/>
                </w:tcPr>
                <w:p w14:paraId="504904C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无组织</w:t>
                  </w:r>
                </w:p>
              </w:tc>
              <w:tc>
                <w:tcPr>
                  <w:tcW w:w="1830" w:type="dxa"/>
                  <w:vAlign w:val="center"/>
                </w:tcPr>
                <w:p w14:paraId="266B714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0.03</w:t>
                  </w:r>
                </w:p>
              </w:tc>
              <w:tc>
                <w:tcPr>
                  <w:tcW w:w="2984" w:type="dxa"/>
                  <w:vMerge w:val="continue"/>
                  <w:vAlign w:val="center"/>
                </w:tcPr>
                <w:p w14:paraId="6114D23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r>
            <w:tr w14:paraId="00E1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14:paraId="4BB858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2</w:t>
                  </w:r>
                </w:p>
              </w:tc>
              <w:tc>
                <w:tcPr>
                  <w:tcW w:w="1320" w:type="dxa"/>
                  <w:vAlign w:val="center"/>
                </w:tcPr>
                <w:p w14:paraId="0F44875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臭气浓度</w:t>
                  </w:r>
                </w:p>
              </w:tc>
              <w:tc>
                <w:tcPr>
                  <w:tcW w:w="1050" w:type="dxa"/>
                  <w:vAlign w:val="center"/>
                </w:tcPr>
                <w:p w14:paraId="5C10B70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w:t>
                  </w:r>
                </w:p>
              </w:tc>
              <w:tc>
                <w:tcPr>
                  <w:tcW w:w="1830" w:type="dxa"/>
                  <w:vAlign w:val="center"/>
                </w:tcPr>
                <w:p w14:paraId="49A4E05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w:t>
                  </w:r>
                </w:p>
              </w:tc>
              <w:tc>
                <w:tcPr>
                  <w:tcW w:w="2984" w:type="dxa"/>
                  <w:vAlign w:val="center"/>
                </w:tcPr>
                <w:p w14:paraId="5BC5BE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w:t>
                  </w:r>
                </w:p>
              </w:tc>
            </w:tr>
            <w:tr w14:paraId="247D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restart"/>
                  <w:vAlign w:val="center"/>
                </w:tcPr>
                <w:p w14:paraId="2E9BA97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3</w:t>
                  </w:r>
                </w:p>
              </w:tc>
              <w:tc>
                <w:tcPr>
                  <w:tcW w:w="1320" w:type="dxa"/>
                  <w:vMerge w:val="restart"/>
                  <w:vAlign w:val="center"/>
                </w:tcPr>
                <w:p w14:paraId="11FD0DC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颗粒物</w:t>
                  </w:r>
                </w:p>
              </w:tc>
              <w:tc>
                <w:tcPr>
                  <w:tcW w:w="1050" w:type="dxa"/>
                  <w:shd w:val="clear" w:color="auto" w:fill="auto"/>
                  <w:vAlign w:val="center"/>
                </w:tcPr>
                <w:p w14:paraId="6986F3D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有组织</w:t>
                  </w:r>
                </w:p>
              </w:tc>
              <w:tc>
                <w:tcPr>
                  <w:tcW w:w="1830" w:type="dxa"/>
                  <w:vAlign w:val="center"/>
                </w:tcPr>
                <w:p w14:paraId="6A8160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w:t>
                  </w:r>
                  <w:r>
                    <w:rPr>
                      <w:rFonts w:hint="eastAsia" w:cs="Times New Roman" w:eastAsiaTheme="minorEastAsia"/>
                      <w:b w:val="0"/>
                      <w:bCs/>
                      <w:color w:val="auto"/>
                      <w:kern w:val="0"/>
                      <w:sz w:val="21"/>
                      <w:szCs w:val="21"/>
                      <w:highlight w:val="none"/>
                      <w:lang w:val="en-US" w:eastAsia="zh-CN"/>
                    </w:rPr>
                    <w:t>0</w:t>
                  </w:r>
                  <w:r>
                    <w:rPr>
                      <w:rFonts w:hint="eastAsia" w:ascii="Times New Roman" w:hAnsi="Times New Roman" w:cs="Times New Roman" w:eastAsiaTheme="minorEastAsia"/>
                      <w:b w:val="0"/>
                      <w:bCs/>
                      <w:color w:val="auto"/>
                      <w:kern w:val="0"/>
                      <w:sz w:val="21"/>
                      <w:szCs w:val="21"/>
                      <w:highlight w:val="none"/>
                      <w:lang w:val="en-US" w:eastAsia="zh-CN"/>
                    </w:rPr>
                    <w:t>564</w:t>
                  </w:r>
                </w:p>
              </w:tc>
              <w:tc>
                <w:tcPr>
                  <w:tcW w:w="2984" w:type="dxa"/>
                  <w:vMerge w:val="restart"/>
                  <w:vAlign w:val="center"/>
                </w:tcPr>
                <w:p w14:paraId="1A23C74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cs="Times New Roman" w:eastAsiaTheme="minorEastAsia"/>
                      <w:b w:val="0"/>
                      <w:bCs/>
                      <w:color w:val="auto"/>
                      <w:kern w:val="0"/>
                      <w:sz w:val="21"/>
                      <w:szCs w:val="21"/>
                      <w:highlight w:val="none"/>
                      <w:lang w:val="en-US" w:eastAsia="zh-CN"/>
                    </w:rPr>
                    <w:t>0.2564</w:t>
                  </w:r>
                </w:p>
              </w:tc>
            </w:tr>
            <w:tr w14:paraId="214A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50912D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320" w:type="dxa"/>
                  <w:vMerge w:val="continue"/>
                  <w:vAlign w:val="center"/>
                </w:tcPr>
                <w:p w14:paraId="31816F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050" w:type="dxa"/>
                  <w:shd w:val="clear" w:color="auto" w:fill="auto"/>
                  <w:vAlign w:val="center"/>
                </w:tcPr>
                <w:p w14:paraId="6159C7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无组织</w:t>
                  </w:r>
                </w:p>
              </w:tc>
              <w:tc>
                <w:tcPr>
                  <w:tcW w:w="1830" w:type="dxa"/>
                  <w:vAlign w:val="center"/>
                </w:tcPr>
                <w:p w14:paraId="5C65A7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w:t>
                  </w:r>
                  <w:r>
                    <w:rPr>
                      <w:rFonts w:hint="eastAsia" w:cs="Times New Roman" w:eastAsiaTheme="minorEastAsia"/>
                      <w:b w:val="0"/>
                      <w:bCs/>
                      <w:color w:val="auto"/>
                      <w:kern w:val="0"/>
                      <w:sz w:val="21"/>
                      <w:szCs w:val="21"/>
                      <w:highlight w:val="none"/>
                      <w:lang w:val="en-US" w:eastAsia="zh-CN"/>
                    </w:rPr>
                    <w:t>2</w:t>
                  </w:r>
                </w:p>
              </w:tc>
              <w:tc>
                <w:tcPr>
                  <w:tcW w:w="2984" w:type="dxa"/>
                  <w:vMerge w:val="continue"/>
                  <w:vAlign w:val="center"/>
                </w:tcPr>
                <w:p w14:paraId="491323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r>
            <w:tr w14:paraId="4D81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restart"/>
                  <w:vAlign w:val="center"/>
                </w:tcPr>
                <w:p w14:paraId="7500310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4</w:t>
                  </w:r>
                </w:p>
              </w:tc>
              <w:tc>
                <w:tcPr>
                  <w:tcW w:w="1320" w:type="dxa"/>
                  <w:vMerge w:val="restart"/>
                  <w:vAlign w:val="center"/>
                </w:tcPr>
                <w:p w14:paraId="4B7E9D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甲苯</w:t>
                  </w:r>
                </w:p>
              </w:tc>
              <w:tc>
                <w:tcPr>
                  <w:tcW w:w="1050" w:type="dxa"/>
                  <w:shd w:val="clear" w:color="auto" w:fill="auto"/>
                  <w:vAlign w:val="center"/>
                </w:tcPr>
                <w:p w14:paraId="1CE9072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有组织</w:t>
                  </w:r>
                </w:p>
              </w:tc>
              <w:tc>
                <w:tcPr>
                  <w:tcW w:w="1830" w:type="dxa"/>
                  <w:shd w:val="clear" w:color="auto" w:fill="auto"/>
                  <w:vAlign w:val="center"/>
                </w:tcPr>
                <w:p w14:paraId="4130DDF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w:t>
                  </w:r>
                  <w:r>
                    <w:rPr>
                      <w:rFonts w:hint="eastAsia" w:cs="Times New Roman" w:eastAsiaTheme="minorEastAsia"/>
                      <w:b w:val="0"/>
                      <w:bCs/>
                      <w:color w:val="auto"/>
                      <w:kern w:val="0"/>
                      <w:sz w:val="21"/>
                      <w:szCs w:val="21"/>
                      <w:highlight w:val="none"/>
                      <w:lang w:val="en-US" w:eastAsia="zh-CN"/>
                    </w:rPr>
                    <w:t>9</w:t>
                  </w:r>
                </w:p>
              </w:tc>
              <w:tc>
                <w:tcPr>
                  <w:tcW w:w="2984" w:type="dxa"/>
                  <w:vMerge w:val="restart"/>
                  <w:vAlign w:val="center"/>
                </w:tcPr>
                <w:p w14:paraId="67BD6A5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0.0017</w:t>
                  </w:r>
                </w:p>
              </w:tc>
            </w:tr>
            <w:tr w14:paraId="7D30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2A1998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320" w:type="dxa"/>
                  <w:vMerge w:val="continue"/>
                  <w:vAlign w:val="center"/>
                </w:tcPr>
                <w:p w14:paraId="58FFB81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050" w:type="dxa"/>
                  <w:shd w:val="clear" w:color="auto" w:fill="auto"/>
                  <w:vAlign w:val="center"/>
                </w:tcPr>
                <w:p w14:paraId="6D7464F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无组织</w:t>
                  </w:r>
                </w:p>
              </w:tc>
              <w:tc>
                <w:tcPr>
                  <w:tcW w:w="1830" w:type="dxa"/>
                  <w:shd w:val="clear" w:color="auto" w:fill="auto"/>
                  <w:vAlign w:val="center"/>
                </w:tcPr>
                <w:p w14:paraId="15849FC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0.0008</w:t>
                  </w:r>
                </w:p>
              </w:tc>
              <w:tc>
                <w:tcPr>
                  <w:tcW w:w="2984" w:type="dxa"/>
                  <w:vMerge w:val="continue"/>
                  <w:vAlign w:val="center"/>
                </w:tcPr>
                <w:p w14:paraId="037D4D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r>
            <w:tr w14:paraId="2752C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restart"/>
                  <w:vAlign w:val="center"/>
                </w:tcPr>
                <w:p w14:paraId="5348103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5</w:t>
                  </w:r>
                </w:p>
              </w:tc>
              <w:tc>
                <w:tcPr>
                  <w:tcW w:w="1320" w:type="dxa"/>
                  <w:vMerge w:val="restart"/>
                  <w:vAlign w:val="center"/>
                </w:tcPr>
                <w:p w14:paraId="31A3019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乙苯</w:t>
                  </w:r>
                </w:p>
              </w:tc>
              <w:tc>
                <w:tcPr>
                  <w:tcW w:w="1050" w:type="dxa"/>
                  <w:shd w:val="clear" w:color="auto" w:fill="auto"/>
                  <w:vAlign w:val="center"/>
                </w:tcPr>
                <w:p w14:paraId="30CC5D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有组织</w:t>
                  </w:r>
                </w:p>
              </w:tc>
              <w:tc>
                <w:tcPr>
                  <w:tcW w:w="1830" w:type="dxa"/>
                  <w:shd w:val="clear" w:color="auto" w:fill="auto"/>
                  <w:vAlign w:val="center"/>
                </w:tcPr>
                <w:p w14:paraId="74F20CA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0.0004</w:t>
                  </w:r>
                </w:p>
              </w:tc>
              <w:tc>
                <w:tcPr>
                  <w:tcW w:w="2984" w:type="dxa"/>
                  <w:vMerge w:val="restart"/>
                  <w:vAlign w:val="center"/>
                </w:tcPr>
                <w:p w14:paraId="0F89F1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0.0008</w:t>
                  </w:r>
                </w:p>
              </w:tc>
            </w:tr>
            <w:tr w14:paraId="1425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167F686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320" w:type="dxa"/>
                  <w:vMerge w:val="continue"/>
                  <w:vAlign w:val="center"/>
                </w:tcPr>
                <w:p w14:paraId="304388F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050" w:type="dxa"/>
                  <w:shd w:val="clear" w:color="auto" w:fill="auto"/>
                  <w:vAlign w:val="center"/>
                </w:tcPr>
                <w:p w14:paraId="02AC72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无组织</w:t>
                  </w:r>
                </w:p>
              </w:tc>
              <w:tc>
                <w:tcPr>
                  <w:tcW w:w="1830" w:type="dxa"/>
                  <w:shd w:val="clear" w:color="auto" w:fill="auto"/>
                  <w:vAlign w:val="center"/>
                </w:tcPr>
                <w:p w14:paraId="52C26A7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0.0004</w:t>
                  </w:r>
                </w:p>
              </w:tc>
              <w:tc>
                <w:tcPr>
                  <w:tcW w:w="2984" w:type="dxa"/>
                  <w:vMerge w:val="continue"/>
                  <w:vAlign w:val="center"/>
                </w:tcPr>
                <w:p w14:paraId="0A3786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r>
            <w:tr w14:paraId="32BE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restart"/>
                  <w:vAlign w:val="center"/>
                </w:tcPr>
                <w:p w14:paraId="520B277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6</w:t>
                  </w:r>
                </w:p>
              </w:tc>
              <w:tc>
                <w:tcPr>
                  <w:tcW w:w="1320" w:type="dxa"/>
                  <w:vMerge w:val="restart"/>
                  <w:vAlign w:val="center"/>
                </w:tcPr>
                <w:p w14:paraId="0E3FED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苯乙烯</w:t>
                  </w:r>
                </w:p>
              </w:tc>
              <w:tc>
                <w:tcPr>
                  <w:tcW w:w="1050" w:type="dxa"/>
                  <w:shd w:val="clear" w:color="auto" w:fill="auto"/>
                  <w:vAlign w:val="center"/>
                </w:tcPr>
                <w:p w14:paraId="079FE75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有组织</w:t>
                  </w:r>
                </w:p>
              </w:tc>
              <w:tc>
                <w:tcPr>
                  <w:tcW w:w="1830" w:type="dxa"/>
                  <w:shd w:val="clear" w:color="auto" w:fill="auto"/>
                  <w:vAlign w:val="center"/>
                </w:tcPr>
                <w:p w14:paraId="4AC6F9A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w:t>
                  </w:r>
                  <w:r>
                    <w:rPr>
                      <w:rFonts w:hint="eastAsia" w:cs="Times New Roman" w:eastAsiaTheme="minorEastAsia"/>
                      <w:b w:val="0"/>
                      <w:bCs/>
                      <w:color w:val="auto"/>
                      <w:kern w:val="0"/>
                      <w:sz w:val="21"/>
                      <w:szCs w:val="21"/>
                      <w:highlight w:val="none"/>
                      <w:lang w:val="en-US" w:eastAsia="zh-CN"/>
                    </w:rPr>
                    <w:t>1</w:t>
                  </w:r>
                </w:p>
              </w:tc>
              <w:tc>
                <w:tcPr>
                  <w:tcW w:w="2984" w:type="dxa"/>
                  <w:vMerge w:val="restart"/>
                  <w:vAlign w:val="center"/>
                </w:tcPr>
                <w:p w14:paraId="0CF5743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0.0002</w:t>
                  </w:r>
                </w:p>
              </w:tc>
            </w:tr>
            <w:tr w14:paraId="792D8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Merge w:val="continue"/>
                  <w:vAlign w:val="center"/>
                </w:tcPr>
                <w:p w14:paraId="235C6D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320" w:type="dxa"/>
                  <w:vMerge w:val="continue"/>
                  <w:vAlign w:val="center"/>
                </w:tcPr>
                <w:p w14:paraId="2DA0AD2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c>
                <w:tcPr>
                  <w:tcW w:w="1050" w:type="dxa"/>
                  <w:shd w:val="clear" w:color="auto" w:fill="auto"/>
                  <w:vAlign w:val="center"/>
                </w:tcPr>
                <w:p w14:paraId="378A926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无组织</w:t>
                  </w:r>
                </w:p>
              </w:tc>
              <w:tc>
                <w:tcPr>
                  <w:tcW w:w="1830" w:type="dxa"/>
                  <w:shd w:val="clear" w:color="auto" w:fill="auto"/>
                  <w:vAlign w:val="center"/>
                </w:tcPr>
                <w:p w14:paraId="747F493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0.0001</w:t>
                  </w:r>
                </w:p>
              </w:tc>
              <w:tc>
                <w:tcPr>
                  <w:tcW w:w="2984" w:type="dxa"/>
                  <w:vMerge w:val="continue"/>
                  <w:vAlign w:val="center"/>
                </w:tcPr>
                <w:p w14:paraId="098C48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p>
              </w:tc>
            </w:tr>
            <w:tr w14:paraId="1065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14:paraId="2199F1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7</w:t>
                  </w:r>
                </w:p>
              </w:tc>
              <w:tc>
                <w:tcPr>
                  <w:tcW w:w="1320" w:type="dxa"/>
                  <w:shd w:val="clear" w:color="auto" w:fill="auto"/>
                  <w:vAlign w:val="center"/>
                </w:tcPr>
                <w:p w14:paraId="3FCF0F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二氧化硫</w:t>
                  </w:r>
                </w:p>
              </w:tc>
              <w:tc>
                <w:tcPr>
                  <w:tcW w:w="1050" w:type="dxa"/>
                  <w:shd w:val="clear" w:color="auto" w:fill="auto"/>
                  <w:vAlign w:val="center"/>
                </w:tcPr>
                <w:p w14:paraId="1395BDC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有组织</w:t>
                  </w:r>
                </w:p>
              </w:tc>
              <w:tc>
                <w:tcPr>
                  <w:tcW w:w="1830" w:type="dxa"/>
                  <w:shd w:val="clear" w:color="auto" w:fill="auto"/>
                  <w:vAlign w:val="center"/>
                </w:tcPr>
                <w:p w14:paraId="46DD3EC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0.77</w:t>
                  </w:r>
                </w:p>
              </w:tc>
              <w:tc>
                <w:tcPr>
                  <w:tcW w:w="2984" w:type="dxa"/>
                  <w:shd w:val="clear" w:color="auto" w:fill="auto"/>
                  <w:vAlign w:val="center"/>
                </w:tcPr>
                <w:p w14:paraId="2B5046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0.77</w:t>
                  </w:r>
                </w:p>
              </w:tc>
            </w:tr>
            <w:tr w14:paraId="6B69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14:paraId="03F490F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8</w:t>
                  </w:r>
                </w:p>
              </w:tc>
              <w:tc>
                <w:tcPr>
                  <w:tcW w:w="1320" w:type="dxa"/>
                  <w:shd w:val="clear" w:color="auto" w:fill="auto"/>
                  <w:vAlign w:val="center"/>
                </w:tcPr>
                <w:p w14:paraId="2C84C6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氮氧化物</w:t>
                  </w:r>
                </w:p>
              </w:tc>
              <w:tc>
                <w:tcPr>
                  <w:tcW w:w="1050" w:type="dxa"/>
                  <w:shd w:val="clear" w:color="auto" w:fill="auto"/>
                  <w:vAlign w:val="center"/>
                </w:tcPr>
                <w:p w14:paraId="2201361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有组织</w:t>
                  </w:r>
                </w:p>
              </w:tc>
              <w:tc>
                <w:tcPr>
                  <w:tcW w:w="1830" w:type="dxa"/>
                  <w:shd w:val="clear" w:color="auto" w:fill="auto"/>
                  <w:vAlign w:val="center"/>
                </w:tcPr>
                <w:p w14:paraId="11956EB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1.53</w:t>
                  </w:r>
                </w:p>
              </w:tc>
              <w:tc>
                <w:tcPr>
                  <w:tcW w:w="2984" w:type="dxa"/>
                  <w:shd w:val="clear" w:color="auto" w:fill="auto"/>
                  <w:vAlign w:val="center"/>
                </w:tcPr>
                <w:p w14:paraId="43F927E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1.53</w:t>
                  </w:r>
                </w:p>
              </w:tc>
            </w:tr>
            <w:tr w14:paraId="6534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2" w:type="dxa"/>
                  <w:vAlign w:val="center"/>
                </w:tcPr>
                <w:p w14:paraId="1397FD2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9</w:t>
                  </w:r>
                </w:p>
              </w:tc>
              <w:tc>
                <w:tcPr>
                  <w:tcW w:w="1320" w:type="dxa"/>
                  <w:shd w:val="clear" w:color="auto" w:fill="auto"/>
                  <w:vAlign w:val="center"/>
                </w:tcPr>
                <w:p w14:paraId="13E39EF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油烟</w:t>
                  </w:r>
                </w:p>
              </w:tc>
              <w:tc>
                <w:tcPr>
                  <w:tcW w:w="1050" w:type="dxa"/>
                  <w:shd w:val="clear" w:color="auto" w:fill="auto"/>
                  <w:vAlign w:val="center"/>
                </w:tcPr>
                <w:p w14:paraId="0AE3CE6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无组织</w:t>
                  </w:r>
                </w:p>
              </w:tc>
              <w:tc>
                <w:tcPr>
                  <w:tcW w:w="1830" w:type="dxa"/>
                  <w:shd w:val="clear" w:color="auto" w:fill="auto"/>
                  <w:vAlign w:val="center"/>
                </w:tcPr>
                <w:p w14:paraId="007D754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0.0005</w:t>
                  </w:r>
                </w:p>
              </w:tc>
              <w:tc>
                <w:tcPr>
                  <w:tcW w:w="2984" w:type="dxa"/>
                  <w:shd w:val="clear" w:color="auto" w:fill="auto"/>
                  <w:vAlign w:val="center"/>
                </w:tcPr>
                <w:p w14:paraId="7A2FC50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color w:val="auto"/>
                      <w:kern w:val="0"/>
                      <w:sz w:val="21"/>
                      <w:szCs w:val="21"/>
                      <w:highlight w:val="none"/>
                      <w:lang w:val="en-US" w:eastAsia="zh-CN"/>
                    </w:rPr>
                  </w:pPr>
                  <w:r>
                    <w:rPr>
                      <w:rFonts w:hint="eastAsia" w:ascii="Times New Roman" w:hAnsi="Times New Roman" w:cs="Times New Roman" w:eastAsiaTheme="minorEastAsia"/>
                      <w:b w:val="0"/>
                      <w:bCs/>
                      <w:color w:val="auto"/>
                      <w:kern w:val="0"/>
                      <w:sz w:val="21"/>
                      <w:szCs w:val="21"/>
                      <w:highlight w:val="none"/>
                      <w:lang w:val="en-US" w:eastAsia="zh-CN"/>
                    </w:rPr>
                    <w:t>0.0005</w:t>
                  </w:r>
                </w:p>
              </w:tc>
            </w:tr>
          </w:tbl>
          <w:p w14:paraId="7D534112">
            <w:pPr>
              <w:pStyle w:val="22"/>
              <w:keepNext w:val="0"/>
              <w:keepLines/>
              <w:pageBreakBefore w:val="0"/>
              <w:widowControl w:val="0"/>
              <w:kinsoku/>
              <w:wordWrap/>
              <w:overflowPunct/>
              <w:topLinePunct w:val="0"/>
              <w:autoSpaceDE w:val="0"/>
              <w:autoSpaceDN w:val="0"/>
              <w:bidi w:val="0"/>
              <w:adjustRightInd/>
              <w:snapToGrid w:val="0"/>
              <w:spacing w:line="360" w:lineRule="auto"/>
              <w:ind w:firstLine="482"/>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排放口基本情况</w:t>
            </w:r>
          </w:p>
          <w:p w14:paraId="1B876637">
            <w:pPr>
              <w:pStyle w:val="22"/>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color w:val="auto"/>
                <w:sz w:val="24"/>
                <w:szCs w:val="24"/>
              </w:rPr>
              <w:t>本项目共设置</w:t>
            </w:r>
            <w:r>
              <w:rPr>
                <w:rFonts w:hint="eastAsia"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rPr>
              <w:t>个有组织排放口，对照《排污许可证申请与核发技术规范  橡胶和塑料制品工业》（HJ 1122—2020）</w:t>
            </w:r>
            <w:r>
              <w:rPr>
                <w:rFonts w:hint="eastAsia" w:ascii="Times New Roman" w:hAnsi="Times New Roman" w:cs="Times New Roman"/>
                <w:color w:val="auto"/>
                <w:sz w:val="24"/>
                <w:szCs w:val="24"/>
                <w:lang w:val="en-US" w:eastAsia="zh-CN"/>
              </w:rPr>
              <w:t>和</w:t>
            </w:r>
            <w:r>
              <w:rPr>
                <w:rFonts w:hint="default" w:ascii="Times New Roman" w:hAnsi="Times New Roman" w:eastAsia="宋体" w:cs="Times New Roman"/>
                <w:color w:val="auto"/>
                <w:sz w:val="24"/>
                <w:szCs w:val="24"/>
              </w:rPr>
              <w:t xml:space="preserve">《排污许可证申请与核发技术规范  </w:t>
            </w:r>
            <w:r>
              <w:rPr>
                <w:rFonts w:hint="eastAsia" w:ascii="Times New Roman" w:hAnsi="Times New Roman" w:cs="Times New Roman"/>
                <w:color w:val="auto"/>
                <w:sz w:val="24"/>
                <w:szCs w:val="24"/>
                <w:lang w:val="en-US" w:eastAsia="zh-CN"/>
              </w:rPr>
              <w:t>锅炉</w:t>
            </w:r>
            <w:r>
              <w:rPr>
                <w:rFonts w:hint="default" w:ascii="Times New Roman" w:hAnsi="Times New Roman" w:eastAsia="宋体" w:cs="Times New Roman"/>
                <w:color w:val="auto"/>
                <w:sz w:val="24"/>
                <w:szCs w:val="24"/>
              </w:rPr>
              <w:t xml:space="preserve">》（HJ </w:t>
            </w:r>
            <w:r>
              <w:rPr>
                <w:rFonts w:hint="eastAsia" w:ascii="Times New Roman" w:hAnsi="Times New Roman" w:cs="Times New Roman"/>
                <w:color w:val="auto"/>
                <w:sz w:val="24"/>
                <w:szCs w:val="24"/>
                <w:lang w:val="en-US" w:eastAsia="zh-CN"/>
              </w:rPr>
              <w:t>953</w:t>
            </w:r>
            <w:r>
              <w:rPr>
                <w:rFonts w:hint="default" w:ascii="Times New Roman" w:hAnsi="Times New Roman" w:eastAsia="宋体" w:cs="Times New Roman"/>
                <w:color w:val="auto"/>
                <w:sz w:val="24"/>
                <w:szCs w:val="24"/>
              </w:rPr>
              <w:t>—20</w:t>
            </w:r>
            <w:r>
              <w:rPr>
                <w:rFonts w:hint="eastAsia" w:ascii="Times New Roman" w:hAnsi="Times New Roman" w:cs="Times New Roman"/>
                <w:color w:val="auto"/>
                <w:sz w:val="24"/>
                <w:szCs w:val="24"/>
                <w:lang w:val="en-US" w:eastAsia="zh-CN"/>
              </w:rPr>
              <w:t>18</w:t>
            </w:r>
            <w:r>
              <w:rPr>
                <w:rFonts w:hint="default" w:ascii="Times New Roman" w:hAnsi="Times New Roman" w:eastAsia="宋体" w:cs="Times New Roman"/>
                <w:color w:val="auto"/>
                <w:sz w:val="24"/>
                <w:szCs w:val="24"/>
              </w:rPr>
              <w:t>），本项目</w:t>
            </w:r>
            <w:r>
              <w:rPr>
                <w:rFonts w:hint="eastAsia" w:ascii="Times New Roman" w:hAnsi="Times New Roman" w:cs="Times New Roman"/>
                <w:color w:val="auto"/>
                <w:sz w:val="24"/>
                <w:szCs w:val="24"/>
                <w:lang w:val="en-US" w:eastAsia="zh-CN"/>
              </w:rPr>
              <w:t>涉及的2个</w:t>
            </w:r>
            <w:r>
              <w:rPr>
                <w:rFonts w:hint="default" w:ascii="Times New Roman" w:hAnsi="Times New Roman" w:eastAsia="宋体" w:cs="Times New Roman"/>
                <w:color w:val="auto"/>
                <w:sz w:val="24"/>
                <w:szCs w:val="24"/>
              </w:rPr>
              <w:t>排放口</w:t>
            </w:r>
            <w:r>
              <w:rPr>
                <w:rFonts w:hint="eastAsia" w:ascii="Times New Roman" w:hAnsi="Times New Roman" w:cs="Times New Roman"/>
                <w:color w:val="auto"/>
                <w:sz w:val="24"/>
                <w:szCs w:val="24"/>
                <w:lang w:val="en-US" w:eastAsia="zh-CN"/>
              </w:rPr>
              <w:t>均</w:t>
            </w:r>
            <w:r>
              <w:rPr>
                <w:rFonts w:hint="default" w:ascii="Times New Roman" w:hAnsi="Times New Roman" w:eastAsia="宋体" w:cs="Times New Roman"/>
                <w:color w:val="auto"/>
                <w:sz w:val="24"/>
                <w:szCs w:val="24"/>
              </w:rPr>
              <w:t>为一般排放口，排放口基本情况详见下表。</w:t>
            </w:r>
          </w:p>
          <w:p w14:paraId="0207E50A">
            <w:pPr>
              <w:pStyle w:val="110"/>
              <w:keepNext w:val="0"/>
              <w:keepLines w:val="0"/>
              <w:pageBreakBefore w:val="0"/>
              <w:widowControl w:val="0"/>
              <w:kinsoku/>
              <w:wordWrap/>
              <w:overflowPunct/>
              <w:topLinePunct w:val="0"/>
              <w:autoSpaceDE/>
              <w:autoSpaceDN/>
              <w:bidi w:val="0"/>
              <w:adjustRightInd/>
              <w:snapToGrid/>
              <w:spacing w:before="0" w:line="240" w:lineRule="auto"/>
              <w:ind w:firstLine="0" w:firstLineChars="0"/>
              <w:textAlignment w:val="auto"/>
              <w:rPr>
                <w:rFonts w:hint="default"/>
                <w:color w:val="auto"/>
                <w:lang w:val="en-US" w:eastAsia="zh-CN"/>
              </w:rPr>
            </w:pPr>
            <w:r>
              <w:rPr>
                <w:rFonts w:hint="default"/>
                <w:color w:val="auto"/>
                <w:lang w:val="en-US" w:eastAsia="zh-CN"/>
              </w:rPr>
              <w:t>表4-</w:t>
            </w:r>
            <w:r>
              <w:rPr>
                <w:rFonts w:hint="eastAsia"/>
                <w:color w:val="auto"/>
                <w:lang w:val="en-US" w:eastAsia="zh-CN"/>
              </w:rPr>
              <w:t>6</w:t>
            </w:r>
            <w:r>
              <w:rPr>
                <w:rFonts w:hint="default"/>
                <w:color w:val="auto"/>
                <w:lang w:val="en-US" w:eastAsia="zh-CN"/>
              </w:rPr>
              <w:t xml:space="preserve">  排放口基本情况一览表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750"/>
              <w:gridCol w:w="697"/>
              <w:gridCol w:w="524"/>
              <w:gridCol w:w="488"/>
              <w:gridCol w:w="510"/>
              <w:gridCol w:w="496"/>
              <w:gridCol w:w="1545"/>
              <w:gridCol w:w="2135"/>
            </w:tblGrid>
            <w:tr w14:paraId="36A14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pct"/>
                  <w:vMerge w:val="restart"/>
                  <w:vAlign w:val="center"/>
                </w:tcPr>
                <w:p w14:paraId="2EB0EC9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编号及名称</w:t>
                  </w:r>
                </w:p>
              </w:tc>
              <w:tc>
                <w:tcPr>
                  <w:tcW w:w="478" w:type="pct"/>
                  <w:vMerge w:val="restart"/>
                  <w:vAlign w:val="center"/>
                </w:tcPr>
                <w:p w14:paraId="5247DBD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排放高度/m</w:t>
                  </w:r>
                </w:p>
              </w:tc>
              <w:tc>
                <w:tcPr>
                  <w:tcW w:w="444" w:type="pct"/>
                  <w:vMerge w:val="restart"/>
                  <w:vAlign w:val="center"/>
                </w:tcPr>
                <w:p w14:paraId="60BC9B3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排气筒内径/m</w:t>
                  </w:r>
                </w:p>
              </w:tc>
              <w:tc>
                <w:tcPr>
                  <w:tcW w:w="334" w:type="pct"/>
                  <w:vMerge w:val="restart"/>
                  <w:vAlign w:val="center"/>
                </w:tcPr>
                <w:p w14:paraId="3B4E1EA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温度/℃</w:t>
                  </w:r>
                </w:p>
              </w:tc>
              <w:tc>
                <w:tcPr>
                  <w:tcW w:w="311" w:type="pct"/>
                  <w:vMerge w:val="restart"/>
                  <w:vAlign w:val="center"/>
                </w:tcPr>
                <w:p w14:paraId="176CB61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类型</w:t>
                  </w:r>
                </w:p>
              </w:tc>
              <w:tc>
                <w:tcPr>
                  <w:tcW w:w="641" w:type="pct"/>
                  <w:gridSpan w:val="2"/>
                  <w:vAlign w:val="center"/>
                </w:tcPr>
                <w:p w14:paraId="0D1F7C8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地理坐标</w:t>
                  </w:r>
                </w:p>
              </w:tc>
              <w:tc>
                <w:tcPr>
                  <w:tcW w:w="985" w:type="pct"/>
                  <w:vMerge w:val="restart"/>
                  <w:vAlign w:val="center"/>
                </w:tcPr>
                <w:p w14:paraId="0B8E8DC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排放标准</w:t>
                  </w:r>
                </w:p>
              </w:tc>
              <w:tc>
                <w:tcPr>
                  <w:tcW w:w="1362" w:type="pct"/>
                  <w:vMerge w:val="restart"/>
                  <w:vAlign w:val="center"/>
                </w:tcPr>
                <w:p w14:paraId="032413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标准浓度</w:t>
                  </w:r>
                </w:p>
              </w:tc>
            </w:tr>
            <w:tr w14:paraId="19540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440" w:type="pct"/>
                  <w:vMerge w:val="continue"/>
                  <w:vAlign w:val="center"/>
                </w:tcPr>
                <w:p w14:paraId="0A3F301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p>
              </w:tc>
              <w:tc>
                <w:tcPr>
                  <w:tcW w:w="478" w:type="pct"/>
                  <w:vMerge w:val="continue"/>
                  <w:vAlign w:val="center"/>
                </w:tcPr>
                <w:p w14:paraId="03BC2C0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p>
              </w:tc>
              <w:tc>
                <w:tcPr>
                  <w:tcW w:w="444" w:type="pct"/>
                  <w:vMerge w:val="continue"/>
                  <w:vAlign w:val="center"/>
                </w:tcPr>
                <w:p w14:paraId="4768EFA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p>
              </w:tc>
              <w:tc>
                <w:tcPr>
                  <w:tcW w:w="334" w:type="pct"/>
                  <w:vMerge w:val="continue"/>
                  <w:vAlign w:val="center"/>
                </w:tcPr>
                <w:p w14:paraId="481F20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p>
              </w:tc>
              <w:tc>
                <w:tcPr>
                  <w:tcW w:w="311" w:type="pct"/>
                  <w:vMerge w:val="continue"/>
                  <w:vAlign w:val="center"/>
                </w:tcPr>
                <w:p w14:paraId="451C92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p>
              </w:tc>
              <w:tc>
                <w:tcPr>
                  <w:tcW w:w="325" w:type="pct"/>
                  <w:vAlign w:val="center"/>
                </w:tcPr>
                <w:p w14:paraId="6B37A50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东经</w:t>
                  </w:r>
                </w:p>
              </w:tc>
              <w:tc>
                <w:tcPr>
                  <w:tcW w:w="316" w:type="pct"/>
                  <w:vAlign w:val="center"/>
                </w:tcPr>
                <w:p w14:paraId="0EEB76E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r>
                    <w:rPr>
                      <w:rFonts w:hint="default" w:ascii="Times New Roman" w:hAnsi="Times New Roman" w:cs="Times New Roman" w:eastAsiaTheme="minorEastAsia"/>
                      <w:b/>
                      <w:bCs w:val="0"/>
                      <w:color w:val="auto"/>
                      <w:kern w:val="0"/>
                      <w:sz w:val="21"/>
                      <w:szCs w:val="21"/>
                      <w:highlight w:val="none"/>
                      <w:lang w:val="en-US" w:eastAsia="zh-CN"/>
                    </w:rPr>
                    <w:t>北纬</w:t>
                  </w:r>
                </w:p>
              </w:tc>
              <w:tc>
                <w:tcPr>
                  <w:tcW w:w="985" w:type="pct"/>
                  <w:vMerge w:val="continue"/>
                  <w:vAlign w:val="center"/>
                </w:tcPr>
                <w:p w14:paraId="3A42B5C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p>
              </w:tc>
              <w:tc>
                <w:tcPr>
                  <w:tcW w:w="1362" w:type="pct"/>
                  <w:vMerge w:val="continue"/>
                  <w:vAlign w:val="center"/>
                </w:tcPr>
                <w:p w14:paraId="303F5C6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val="0"/>
                      <w:color w:val="auto"/>
                      <w:kern w:val="0"/>
                      <w:sz w:val="21"/>
                      <w:szCs w:val="21"/>
                      <w:highlight w:val="none"/>
                      <w:lang w:val="en-US" w:eastAsia="zh-CN"/>
                    </w:rPr>
                  </w:pPr>
                </w:p>
              </w:tc>
            </w:tr>
            <w:tr w14:paraId="60BF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440" w:type="pct"/>
                  <w:vMerge w:val="restart"/>
                  <w:vAlign w:val="center"/>
                </w:tcPr>
                <w:p w14:paraId="27AC63E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DA001</w:t>
                  </w:r>
                </w:p>
              </w:tc>
              <w:tc>
                <w:tcPr>
                  <w:tcW w:w="478" w:type="pct"/>
                  <w:vMerge w:val="restart"/>
                  <w:vAlign w:val="center"/>
                </w:tcPr>
                <w:p w14:paraId="3BAE707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15</w:t>
                  </w:r>
                </w:p>
              </w:tc>
              <w:tc>
                <w:tcPr>
                  <w:tcW w:w="444" w:type="pct"/>
                  <w:vMerge w:val="restart"/>
                  <w:vAlign w:val="center"/>
                </w:tcPr>
                <w:p w14:paraId="10BDEC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0.5</w:t>
                  </w:r>
                </w:p>
              </w:tc>
              <w:tc>
                <w:tcPr>
                  <w:tcW w:w="334" w:type="pct"/>
                  <w:vMerge w:val="restart"/>
                  <w:vAlign w:val="center"/>
                </w:tcPr>
                <w:p w14:paraId="73ED7A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60</w:t>
                  </w:r>
                </w:p>
              </w:tc>
              <w:tc>
                <w:tcPr>
                  <w:tcW w:w="311" w:type="pct"/>
                  <w:vMerge w:val="restart"/>
                  <w:vAlign w:val="center"/>
                </w:tcPr>
                <w:p w14:paraId="66DB3E3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一般排放口</w:t>
                  </w:r>
                </w:p>
              </w:tc>
              <w:tc>
                <w:tcPr>
                  <w:tcW w:w="325" w:type="pct"/>
                  <w:vMerge w:val="restart"/>
                  <w:vAlign w:val="center"/>
                </w:tcPr>
                <w:p w14:paraId="6A46494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102.5586412</w:t>
                  </w:r>
                </w:p>
              </w:tc>
              <w:tc>
                <w:tcPr>
                  <w:tcW w:w="316" w:type="pct"/>
                  <w:vMerge w:val="restart"/>
                  <w:vAlign w:val="center"/>
                </w:tcPr>
                <w:p w14:paraId="017B136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24.53261826</w:t>
                  </w:r>
                </w:p>
              </w:tc>
              <w:tc>
                <w:tcPr>
                  <w:tcW w:w="985" w:type="pct"/>
                  <w:vMerge w:val="restart"/>
                  <w:vAlign w:val="center"/>
                </w:tcPr>
                <w:p w14:paraId="71437E2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执行GB31572-2015《合成树脂工业污染物排放标准》（含2024年修改单）表4标准</w:t>
                  </w:r>
                </w:p>
              </w:tc>
              <w:tc>
                <w:tcPr>
                  <w:tcW w:w="1362" w:type="pct"/>
                  <w:vAlign w:val="center"/>
                </w:tcPr>
                <w:p w14:paraId="1F31597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NMHC：100mg/m</w:t>
                  </w:r>
                  <w:r>
                    <w:rPr>
                      <w:rFonts w:hint="default" w:ascii="Times New Roman" w:hAnsi="Times New Roman" w:cs="Times New Roman" w:eastAsiaTheme="minorEastAsia"/>
                      <w:b w:val="0"/>
                      <w:bCs/>
                      <w:color w:val="auto"/>
                      <w:kern w:val="0"/>
                      <w:sz w:val="21"/>
                      <w:szCs w:val="21"/>
                      <w:highlight w:val="none"/>
                      <w:vertAlign w:val="superscript"/>
                      <w:lang w:val="en-US" w:eastAsia="zh-CN"/>
                    </w:rPr>
                    <w:t>3</w:t>
                  </w:r>
                </w:p>
              </w:tc>
            </w:tr>
            <w:tr w14:paraId="547E4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440" w:type="pct"/>
                  <w:vMerge w:val="continue"/>
                  <w:vAlign w:val="center"/>
                </w:tcPr>
                <w:p w14:paraId="4556A7B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78" w:type="pct"/>
                  <w:vMerge w:val="continue"/>
                  <w:vAlign w:val="center"/>
                </w:tcPr>
                <w:p w14:paraId="00287DF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44" w:type="pct"/>
                  <w:vMerge w:val="continue"/>
                  <w:vAlign w:val="center"/>
                </w:tcPr>
                <w:p w14:paraId="730C013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34" w:type="pct"/>
                  <w:vMerge w:val="continue"/>
                  <w:vAlign w:val="center"/>
                </w:tcPr>
                <w:p w14:paraId="198241F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1" w:type="pct"/>
                  <w:vMerge w:val="continue"/>
                  <w:vAlign w:val="center"/>
                </w:tcPr>
                <w:p w14:paraId="2F7B2F3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25" w:type="pct"/>
                  <w:vMerge w:val="continue"/>
                  <w:vAlign w:val="center"/>
                </w:tcPr>
                <w:p w14:paraId="14041B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6" w:type="pct"/>
                  <w:vMerge w:val="continue"/>
                  <w:vAlign w:val="center"/>
                </w:tcPr>
                <w:p w14:paraId="1018359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985" w:type="pct"/>
                  <w:vMerge w:val="continue"/>
                  <w:vAlign w:val="center"/>
                </w:tcPr>
                <w:p w14:paraId="6AA78F7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1362" w:type="pct"/>
                  <w:vAlign w:val="center"/>
                </w:tcPr>
                <w:p w14:paraId="2B8C95E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甲苯：15mg/m</w:t>
                  </w:r>
                  <w:r>
                    <w:rPr>
                      <w:rFonts w:hint="default" w:ascii="Times New Roman" w:hAnsi="Times New Roman" w:cs="Times New Roman" w:eastAsiaTheme="minorEastAsia"/>
                      <w:b w:val="0"/>
                      <w:bCs/>
                      <w:color w:val="auto"/>
                      <w:kern w:val="0"/>
                      <w:sz w:val="21"/>
                      <w:szCs w:val="21"/>
                      <w:highlight w:val="none"/>
                      <w:vertAlign w:val="superscript"/>
                      <w:lang w:val="en-US" w:eastAsia="zh-CN"/>
                    </w:rPr>
                    <w:t>3</w:t>
                  </w:r>
                </w:p>
              </w:tc>
            </w:tr>
            <w:tr w14:paraId="40E7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40" w:type="pct"/>
                  <w:vMerge w:val="continue"/>
                  <w:vAlign w:val="center"/>
                </w:tcPr>
                <w:p w14:paraId="01A606A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78" w:type="pct"/>
                  <w:vMerge w:val="continue"/>
                  <w:vAlign w:val="center"/>
                </w:tcPr>
                <w:p w14:paraId="7689C44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44" w:type="pct"/>
                  <w:vMerge w:val="continue"/>
                  <w:vAlign w:val="center"/>
                </w:tcPr>
                <w:p w14:paraId="1386F3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34" w:type="pct"/>
                  <w:vMerge w:val="continue"/>
                  <w:vAlign w:val="center"/>
                </w:tcPr>
                <w:p w14:paraId="420017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1" w:type="pct"/>
                  <w:vMerge w:val="continue"/>
                  <w:vAlign w:val="center"/>
                </w:tcPr>
                <w:p w14:paraId="4C20855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25" w:type="pct"/>
                  <w:vMerge w:val="continue"/>
                  <w:vAlign w:val="center"/>
                </w:tcPr>
                <w:p w14:paraId="4B65A38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6" w:type="pct"/>
                  <w:vMerge w:val="continue"/>
                  <w:vAlign w:val="center"/>
                </w:tcPr>
                <w:p w14:paraId="7385BBC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985" w:type="pct"/>
                  <w:vMerge w:val="continue"/>
                  <w:vAlign w:val="center"/>
                </w:tcPr>
                <w:p w14:paraId="2FA716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1362" w:type="pct"/>
                  <w:vAlign w:val="center"/>
                </w:tcPr>
                <w:p w14:paraId="03DD600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乙苯：100mg/m</w:t>
                  </w:r>
                  <w:r>
                    <w:rPr>
                      <w:rFonts w:hint="default" w:ascii="Times New Roman" w:hAnsi="Times New Roman" w:cs="Times New Roman" w:eastAsiaTheme="minorEastAsia"/>
                      <w:b w:val="0"/>
                      <w:bCs/>
                      <w:color w:val="auto"/>
                      <w:kern w:val="0"/>
                      <w:sz w:val="21"/>
                      <w:szCs w:val="21"/>
                      <w:highlight w:val="none"/>
                      <w:vertAlign w:val="superscript"/>
                      <w:lang w:val="en-US" w:eastAsia="zh-CN"/>
                    </w:rPr>
                    <w:t>3</w:t>
                  </w:r>
                </w:p>
              </w:tc>
            </w:tr>
            <w:tr w14:paraId="02AC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trPr>
              <w:tc>
                <w:tcPr>
                  <w:tcW w:w="440" w:type="pct"/>
                  <w:vMerge w:val="continue"/>
                  <w:vAlign w:val="center"/>
                </w:tcPr>
                <w:p w14:paraId="6989D87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78" w:type="pct"/>
                  <w:vMerge w:val="continue"/>
                  <w:vAlign w:val="center"/>
                </w:tcPr>
                <w:p w14:paraId="16171B3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44" w:type="pct"/>
                  <w:vMerge w:val="continue"/>
                  <w:vAlign w:val="center"/>
                </w:tcPr>
                <w:p w14:paraId="5594F59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34" w:type="pct"/>
                  <w:vMerge w:val="continue"/>
                  <w:vAlign w:val="center"/>
                </w:tcPr>
                <w:p w14:paraId="1B2BF8B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1" w:type="pct"/>
                  <w:vMerge w:val="continue"/>
                  <w:vAlign w:val="center"/>
                </w:tcPr>
                <w:p w14:paraId="388A8CE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25" w:type="pct"/>
                  <w:vMerge w:val="continue"/>
                  <w:vAlign w:val="center"/>
                </w:tcPr>
                <w:p w14:paraId="2D653E6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6" w:type="pct"/>
                  <w:vMerge w:val="continue"/>
                  <w:vAlign w:val="center"/>
                </w:tcPr>
                <w:p w14:paraId="73499A0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985" w:type="pct"/>
                  <w:vMerge w:val="continue"/>
                  <w:vAlign w:val="center"/>
                </w:tcPr>
                <w:p w14:paraId="19BF244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1362" w:type="pct"/>
                  <w:vAlign w:val="center"/>
                </w:tcPr>
                <w:p w14:paraId="6A01A60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苯乙烯50mg/m</w:t>
                  </w:r>
                  <w:r>
                    <w:rPr>
                      <w:rFonts w:hint="default" w:ascii="Times New Roman" w:hAnsi="Times New Roman" w:cs="Times New Roman" w:eastAsiaTheme="minorEastAsia"/>
                      <w:b w:val="0"/>
                      <w:bCs/>
                      <w:color w:val="auto"/>
                      <w:kern w:val="0"/>
                      <w:sz w:val="21"/>
                      <w:szCs w:val="21"/>
                      <w:highlight w:val="none"/>
                      <w:vertAlign w:val="superscript"/>
                      <w:lang w:val="en-US" w:eastAsia="zh-CN"/>
                    </w:rPr>
                    <w:t>3</w:t>
                  </w:r>
                </w:p>
              </w:tc>
            </w:tr>
            <w:tr w14:paraId="10D01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40" w:type="pct"/>
                  <w:vMerge w:val="restart"/>
                  <w:vAlign w:val="center"/>
                </w:tcPr>
                <w:p w14:paraId="23A131E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DA002</w:t>
                  </w:r>
                </w:p>
              </w:tc>
              <w:tc>
                <w:tcPr>
                  <w:tcW w:w="478" w:type="pct"/>
                  <w:vMerge w:val="restart"/>
                  <w:vAlign w:val="center"/>
                </w:tcPr>
                <w:p w14:paraId="2F13D43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30</w:t>
                  </w:r>
                </w:p>
              </w:tc>
              <w:tc>
                <w:tcPr>
                  <w:tcW w:w="444" w:type="pct"/>
                  <w:vMerge w:val="restart"/>
                  <w:vAlign w:val="center"/>
                </w:tcPr>
                <w:p w14:paraId="5E6F7AB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0.4</w:t>
                  </w:r>
                </w:p>
              </w:tc>
              <w:tc>
                <w:tcPr>
                  <w:tcW w:w="334" w:type="pct"/>
                  <w:vMerge w:val="restart"/>
                  <w:vAlign w:val="center"/>
                </w:tcPr>
                <w:p w14:paraId="3F07B3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110</w:t>
                  </w:r>
                </w:p>
              </w:tc>
              <w:tc>
                <w:tcPr>
                  <w:tcW w:w="311" w:type="pct"/>
                  <w:vMerge w:val="restart"/>
                  <w:vAlign w:val="center"/>
                </w:tcPr>
                <w:p w14:paraId="71B433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一般排放口</w:t>
                  </w:r>
                </w:p>
              </w:tc>
              <w:tc>
                <w:tcPr>
                  <w:tcW w:w="325" w:type="pct"/>
                  <w:vMerge w:val="restart"/>
                  <w:vAlign w:val="center"/>
                </w:tcPr>
                <w:p w14:paraId="39B62B3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102.5584454</w:t>
                  </w:r>
                </w:p>
              </w:tc>
              <w:tc>
                <w:tcPr>
                  <w:tcW w:w="316" w:type="pct"/>
                  <w:vMerge w:val="restart"/>
                  <w:vAlign w:val="center"/>
                </w:tcPr>
                <w:p w14:paraId="016EC0A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24.53270677</w:t>
                  </w:r>
                </w:p>
              </w:tc>
              <w:tc>
                <w:tcPr>
                  <w:tcW w:w="985" w:type="pct"/>
                  <w:vMerge w:val="restart"/>
                  <w:vAlign w:val="center"/>
                </w:tcPr>
                <w:p w14:paraId="61730BA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GB13271-2014《锅炉大气污染物排放标准》</w:t>
                  </w:r>
                </w:p>
              </w:tc>
              <w:tc>
                <w:tcPr>
                  <w:tcW w:w="1362" w:type="pct"/>
                  <w:vAlign w:val="center"/>
                </w:tcPr>
                <w:p w14:paraId="505A0CC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颗粒物：50mg/m</w:t>
                  </w:r>
                  <w:r>
                    <w:rPr>
                      <w:rFonts w:hint="default" w:ascii="Times New Roman" w:hAnsi="Times New Roman" w:cs="Times New Roman" w:eastAsiaTheme="minorEastAsia"/>
                      <w:b w:val="0"/>
                      <w:bCs/>
                      <w:color w:val="auto"/>
                      <w:kern w:val="0"/>
                      <w:sz w:val="21"/>
                      <w:szCs w:val="21"/>
                      <w:highlight w:val="none"/>
                      <w:vertAlign w:val="superscript"/>
                      <w:lang w:val="en-US" w:eastAsia="zh-CN"/>
                    </w:rPr>
                    <w:t>3</w:t>
                  </w:r>
                </w:p>
              </w:tc>
            </w:tr>
            <w:tr w14:paraId="66AD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40" w:type="pct"/>
                  <w:vMerge w:val="continue"/>
                  <w:vAlign w:val="center"/>
                </w:tcPr>
                <w:p w14:paraId="3F7B369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78" w:type="pct"/>
                  <w:vMerge w:val="continue"/>
                  <w:vAlign w:val="center"/>
                </w:tcPr>
                <w:p w14:paraId="77723CD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44" w:type="pct"/>
                  <w:vMerge w:val="continue"/>
                  <w:vAlign w:val="center"/>
                </w:tcPr>
                <w:p w14:paraId="1612668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34" w:type="pct"/>
                  <w:vMerge w:val="continue"/>
                  <w:vAlign w:val="center"/>
                </w:tcPr>
                <w:p w14:paraId="7ADCF75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1" w:type="pct"/>
                  <w:vMerge w:val="continue"/>
                  <w:vAlign w:val="center"/>
                </w:tcPr>
                <w:p w14:paraId="2966E62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25" w:type="pct"/>
                  <w:vMerge w:val="continue"/>
                  <w:vAlign w:val="center"/>
                </w:tcPr>
                <w:p w14:paraId="7D01AF8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6" w:type="pct"/>
                  <w:vMerge w:val="continue"/>
                  <w:vAlign w:val="center"/>
                </w:tcPr>
                <w:p w14:paraId="38BF55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985" w:type="pct"/>
                  <w:vMerge w:val="continue"/>
                  <w:vAlign w:val="center"/>
                </w:tcPr>
                <w:p w14:paraId="19212BC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1362" w:type="pct"/>
                  <w:vAlign w:val="center"/>
                </w:tcPr>
                <w:p w14:paraId="60ADFB7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二氧化硫：300mg/m</w:t>
                  </w:r>
                  <w:r>
                    <w:rPr>
                      <w:rFonts w:hint="default" w:ascii="Times New Roman" w:hAnsi="Times New Roman" w:cs="Times New Roman" w:eastAsiaTheme="minorEastAsia"/>
                      <w:b w:val="0"/>
                      <w:bCs/>
                      <w:color w:val="auto"/>
                      <w:kern w:val="0"/>
                      <w:sz w:val="21"/>
                      <w:szCs w:val="21"/>
                      <w:highlight w:val="none"/>
                      <w:vertAlign w:val="superscript"/>
                      <w:lang w:val="en-US" w:eastAsia="zh-CN"/>
                    </w:rPr>
                    <w:t>3</w:t>
                  </w:r>
                </w:p>
              </w:tc>
            </w:tr>
            <w:tr w14:paraId="04FBF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40" w:type="pct"/>
                  <w:vMerge w:val="continue"/>
                  <w:vAlign w:val="center"/>
                </w:tcPr>
                <w:p w14:paraId="34CA428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78" w:type="pct"/>
                  <w:vMerge w:val="continue"/>
                  <w:vAlign w:val="center"/>
                </w:tcPr>
                <w:p w14:paraId="1E23D20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444" w:type="pct"/>
                  <w:vMerge w:val="continue"/>
                  <w:vAlign w:val="center"/>
                </w:tcPr>
                <w:p w14:paraId="1082934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34" w:type="pct"/>
                  <w:vMerge w:val="continue"/>
                  <w:vAlign w:val="center"/>
                </w:tcPr>
                <w:p w14:paraId="3E751CF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1" w:type="pct"/>
                  <w:vMerge w:val="continue"/>
                  <w:vAlign w:val="center"/>
                </w:tcPr>
                <w:p w14:paraId="5AEB5B7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25" w:type="pct"/>
                  <w:vMerge w:val="continue"/>
                  <w:vAlign w:val="center"/>
                </w:tcPr>
                <w:p w14:paraId="775D8E4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316" w:type="pct"/>
                  <w:vMerge w:val="continue"/>
                  <w:vAlign w:val="center"/>
                </w:tcPr>
                <w:p w14:paraId="293E709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985" w:type="pct"/>
                  <w:vMerge w:val="continue"/>
                  <w:vAlign w:val="center"/>
                </w:tcPr>
                <w:p w14:paraId="79E21D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p>
              </w:tc>
              <w:tc>
                <w:tcPr>
                  <w:tcW w:w="1362" w:type="pct"/>
                  <w:vAlign w:val="center"/>
                </w:tcPr>
                <w:p w14:paraId="6CC5293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color w:val="auto"/>
                      <w:kern w:val="0"/>
                      <w:sz w:val="21"/>
                      <w:szCs w:val="21"/>
                      <w:highlight w:val="none"/>
                      <w:lang w:val="en-US" w:eastAsia="zh-CN"/>
                    </w:rPr>
                  </w:pPr>
                  <w:r>
                    <w:rPr>
                      <w:rFonts w:hint="default" w:ascii="Times New Roman" w:hAnsi="Times New Roman" w:cs="Times New Roman" w:eastAsiaTheme="minorEastAsia"/>
                      <w:b w:val="0"/>
                      <w:bCs/>
                      <w:color w:val="auto"/>
                      <w:kern w:val="0"/>
                      <w:sz w:val="21"/>
                      <w:szCs w:val="21"/>
                      <w:highlight w:val="none"/>
                      <w:lang w:val="en-US" w:eastAsia="zh-CN"/>
                    </w:rPr>
                    <w:t>氮氧化物：300mg/m</w:t>
                  </w:r>
                  <w:r>
                    <w:rPr>
                      <w:rFonts w:hint="default" w:ascii="Times New Roman" w:hAnsi="Times New Roman" w:cs="Times New Roman" w:eastAsiaTheme="minorEastAsia"/>
                      <w:b w:val="0"/>
                      <w:bCs/>
                      <w:color w:val="auto"/>
                      <w:kern w:val="0"/>
                      <w:sz w:val="21"/>
                      <w:szCs w:val="21"/>
                      <w:highlight w:val="none"/>
                      <w:vertAlign w:val="superscript"/>
                      <w:lang w:val="en-US" w:eastAsia="zh-CN"/>
                    </w:rPr>
                    <w:t>3</w:t>
                  </w:r>
                </w:p>
              </w:tc>
            </w:tr>
          </w:tbl>
          <w:p w14:paraId="525F1871">
            <w:pPr>
              <w:pStyle w:val="22"/>
              <w:keepNext w:val="0"/>
              <w:keepLines/>
              <w:pageBreakBefore w:val="0"/>
              <w:widowControl w:val="0"/>
              <w:kinsoku/>
              <w:wordWrap/>
              <w:overflowPunct/>
              <w:topLinePunct w:val="0"/>
              <w:autoSpaceDE w:val="0"/>
              <w:autoSpaceDN w:val="0"/>
              <w:bidi w:val="0"/>
              <w:adjustRightInd/>
              <w:snapToGrid w:val="0"/>
              <w:spacing w:before="157" w:beforeLines="50" w:line="360" w:lineRule="auto"/>
              <w:ind w:firstLine="482"/>
              <w:jc w:val="both"/>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大气环境影响分析</w:t>
            </w:r>
          </w:p>
          <w:p w14:paraId="692AE4C9">
            <w:pPr>
              <w:pStyle w:val="22"/>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）有组织</w:t>
            </w:r>
            <w:r>
              <w:rPr>
                <w:rFonts w:hint="default" w:ascii="Times New Roman" w:hAnsi="Times New Roman" w:eastAsia="宋体" w:cs="Times New Roman"/>
                <w:color w:val="auto"/>
                <w:sz w:val="24"/>
                <w:szCs w:val="24"/>
              </w:rPr>
              <w:t>废气</w:t>
            </w:r>
            <w:r>
              <w:rPr>
                <w:rFonts w:hint="eastAsia" w:ascii="Times New Roman" w:hAnsi="Times New Roman" w:eastAsia="宋体" w:cs="Times New Roman"/>
                <w:color w:val="auto"/>
                <w:sz w:val="24"/>
                <w:szCs w:val="24"/>
                <w:lang w:val="en-US" w:eastAsia="zh-CN"/>
              </w:rPr>
              <w:t>达标情况分析</w:t>
            </w:r>
          </w:p>
          <w:p w14:paraId="6CCEF9CC">
            <w:pPr>
              <w:pStyle w:val="22"/>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cs="Times New Roman"/>
                <w:color w:val="auto"/>
                <w:sz w:val="24"/>
                <w:szCs w:val="24"/>
                <w:lang w:val="en-US" w:eastAsia="zh-CN"/>
              </w:rPr>
              <w:t>发泡</w:t>
            </w:r>
            <w:r>
              <w:rPr>
                <w:rFonts w:hint="default" w:ascii="Times New Roman" w:hAnsi="Times New Roman" w:eastAsia="宋体" w:cs="Times New Roman"/>
                <w:color w:val="auto"/>
                <w:sz w:val="24"/>
                <w:szCs w:val="24"/>
                <w:lang w:val="en-US" w:eastAsia="zh-CN"/>
              </w:rPr>
              <w:t>废气通过</w:t>
            </w:r>
            <w:r>
              <w:rPr>
                <w:rFonts w:hint="eastAsia" w:ascii="Times New Roman" w:hAnsi="Times New Roman" w:cs="Times New Roman"/>
                <w:color w:val="auto"/>
                <w:sz w:val="24"/>
                <w:szCs w:val="24"/>
                <w:lang w:val="en-US" w:eastAsia="zh-CN"/>
              </w:rPr>
              <w:t>两级活性炭</w:t>
            </w:r>
            <w:r>
              <w:rPr>
                <w:rFonts w:hint="eastAsia" w:ascii="Times New Roman" w:hAnsi="Times New Roman" w:eastAsia="宋体" w:cs="Times New Roman"/>
                <w:color w:val="auto"/>
                <w:sz w:val="24"/>
                <w:szCs w:val="24"/>
                <w:lang w:val="en-US" w:eastAsia="zh-CN"/>
              </w:rPr>
              <w:t>吸附装置</w:t>
            </w:r>
            <w:r>
              <w:rPr>
                <w:rFonts w:hint="default" w:ascii="Times New Roman" w:hAnsi="Times New Roman" w:eastAsia="宋体" w:cs="Times New Roman"/>
                <w:color w:val="auto"/>
                <w:sz w:val="24"/>
                <w:szCs w:val="24"/>
                <w:lang w:val="en-US" w:eastAsia="zh-CN"/>
              </w:rPr>
              <w:t>处理后，</w:t>
            </w:r>
            <w:r>
              <w:rPr>
                <w:rFonts w:hint="eastAsia" w:ascii="Times New Roman" w:hAnsi="Times New Roman" w:eastAsia="宋体" w:cs="Times New Roman"/>
                <w:color w:val="auto"/>
                <w:sz w:val="24"/>
                <w:szCs w:val="24"/>
                <w:lang w:val="en-US" w:eastAsia="zh-CN"/>
              </w:rPr>
              <w:t>通过1根15m排气筒（DA001）外排，</w:t>
            </w:r>
            <w:r>
              <w:rPr>
                <w:rFonts w:hint="eastAsia" w:ascii="Times New Roman" w:hAnsi="Times New Roman" w:cs="Times New Roman"/>
                <w:color w:val="auto"/>
                <w:sz w:val="24"/>
                <w:szCs w:val="24"/>
                <w:lang w:val="en-US" w:eastAsia="zh-CN"/>
              </w:rPr>
              <w:t>生物质蒸汽发生器燃烧废气通过旋风除尘+布袋除尘处理后，通过1根30m排气筒（DA002）外排，</w:t>
            </w:r>
            <w:r>
              <w:rPr>
                <w:rFonts w:hint="eastAsia" w:ascii="Times New Roman" w:hAnsi="Times New Roman" w:eastAsia="宋体" w:cs="Times New Roman"/>
                <w:color w:val="auto"/>
                <w:sz w:val="24"/>
                <w:szCs w:val="24"/>
                <w:lang w:val="en-US" w:eastAsia="zh-CN"/>
              </w:rPr>
              <w:t>排气筒达标情况分析详见</w:t>
            </w:r>
            <w:r>
              <w:rPr>
                <w:rFonts w:hint="default" w:ascii="Times New Roman" w:hAnsi="Times New Roman" w:eastAsia="宋体" w:cs="Times New Roman"/>
                <w:color w:val="auto"/>
                <w:sz w:val="24"/>
                <w:szCs w:val="24"/>
                <w:lang w:val="en-US" w:eastAsia="zh-CN"/>
              </w:rPr>
              <w:t>下表。</w:t>
            </w:r>
          </w:p>
          <w:p w14:paraId="3105A355">
            <w:pPr>
              <w:pStyle w:val="110"/>
              <w:keepNext w:val="0"/>
              <w:keepLines w:val="0"/>
              <w:pageBreakBefore w:val="0"/>
              <w:widowControl w:val="0"/>
              <w:kinsoku/>
              <w:wordWrap/>
              <w:overflowPunct/>
              <w:topLinePunct w:val="0"/>
              <w:autoSpaceDE/>
              <w:autoSpaceDN/>
              <w:bidi w:val="0"/>
              <w:adjustRightInd/>
              <w:snapToGrid/>
              <w:spacing w:before="0" w:line="240" w:lineRule="auto"/>
              <w:ind w:firstLine="0" w:firstLineChars="0"/>
              <w:textAlignment w:val="auto"/>
              <w:rPr>
                <w:rFonts w:hint="default"/>
                <w:color w:val="auto"/>
                <w:lang w:val="en-US" w:eastAsia="zh-CN"/>
              </w:rPr>
            </w:pPr>
            <w:r>
              <w:rPr>
                <w:rFonts w:hint="default"/>
                <w:color w:val="auto"/>
                <w:lang w:val="en-US" w:eastAsia="zh-CN"/>
              </w:rPr>
              <w:t>表4-</w:t>
            </w:r>
            <w:r>
              <w:rPr>
                <w:rFonts w:hint="eastAsia"/>
                <w:color w:val="auto"/>
                <w:lang w:val="en-US" w:eastAsia="zh-CN"/>
              </w:rPr>
              <w:t>7</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项目有组织</w:t>
            </w:r>
            <w:r>
              <w:rPr>
                <w:rFonts w:hint="eastAsia"/>
                <w:color w:val="auto"/>
                <w:lang w:val="en-US" w:eastAsia="zh-CN"/>
              </w:rPr>
              <w:t>废气</w:t>
            </w:r>
            <w:r>
              <w:rPr>
                <w:rFonts w:hint="default"/>
                <w:color w:val="auto"/>
                <w:lang w:val="en-US" w:eastAsia="zh-CN"/>
              </w:rPr>
              <w:t>排放达标分析表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70"/>
              <w:gridCol w:w="1710"/>
              <w:gridCol w:w="1830"/>
              <w:gridCol w:w="1220"/>
              <w:gridCol w:w="963"/>
            </w:tblGrid>
            <w:tr w14:paraId="75F2A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410" w:type="pct"/>
                  <w:noWrap w:val="0"/>
                  <w:vAlign w:val="center"/>
                </w:tcPr>
                <w:p w14:paraId="3E05996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序号</w:t>
                  </w:r>
                </w:p>
              </w:tc>
              <w:tc>
                <w:tcPr>
                  <w:tcW w:w="937" w:type="pct"/>
                  <w:noWrap w:val="0"/>
                  <w:vAlign w:val="center"/>
                </w:tcPr>
                <w:p w14:paraId="25F0E00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污染源</w:t>
                  </w:r>
                </w:p>
              </w:tc>
              <w:tc>
                <w:tcPr>
                  <w:tcW w:w="1091" w:type="pct"/>
                  <w:noWrap w:val="0"/>
                  <w:vAlign w:val="center"/>
                </w:tcPr>
                <w:p w14:paraId="2383505D">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污染物</w:t>
                  </w:r>
                </w:p>
              </w:tc>
              <w:tc>
                <w:tcPr>
                  <w:tcW w:w="1167" w:type="pct"/>
                  <w:noWrap w:val="0"/>
                  <w:vAlign w:val="center"/>
                </w:tcPr>
                <w:p w14:paraId="475113A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项目排放浓度mg/m</w:t>
                  </w:r>
                  <w:r>
                    <w:rPr>
                      <w:rFonts w:hint="default" w:ascii="Times New Roman" w:hAnsi="Times New Roman" w:eastAsia="宋体" w:cs="Times New Roman"/>
                      <w:b/>
                      <w:bCs w:val="0"/>
                      <w:color w:val="auto"/>
                      <w:kern w:val="0"/>
                      <w:sz w:val="21"/>
                      <w:szCs w:val="21"/>
                      <w:highlight w:val="none"/>
                      <w:vertAlign w:val="superscript"/>
                      <w:lang w:val="en-US" w:eastAsia="zh-CN"/>
                    </w:rPr>
                    <w:t>3</w:t>
                  </w:r>
                </w:p>
              </w:tc>
              <w:tc>
                <w:tcPr>
                  <w:tcW w:w="778" w:type="pct"/>
                  <w:noWrap w:val="0"/>
                  <w:vAlign w:val="center"/>
                </w:tcPr>
                <w:p w14:paraId="366D3A2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标准限值mg/m</w:t>
                  </w:r>
                  <w:r>
                    <w:rPr>
                      <w:rFonts w:hint="default" w:ascii="Times New Roman" w:hAnsi="Times New Roman" w:eastAsia="宋体" w:cs="Times New Roman"/>
                      <w:b/>
                      <w:bCs w:val="0"/>
                      <w:color w:val="auto"/>
                      <w:kern w:val="0"/>
                      <w:sz w:val="21"/>
                      <w:szCs w:val="21"/>
                      <w:highlight w:val="none"/>
                      <w:vertAlign w:val="superscript"/>
                      <w:lang w:val="en-US" w:eastAsia="zh-CN"/>
                    </w:rPr>
                    <w:t>3</w:t>
                  </w:r>
                </w:p>
              </w:tc>
              <w:tc>
                <w:tcPr>
                  <w:tcW w:w="614" w:type="pct"/>
                  <w:noWrap w:val="0"/>
                  <w:vAlign w:val="center"/>
                </w:tcPr>
                <w:p w14:paraId="297F679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达标情况</w:t>
                  </w:r>
                </w:p>
              </w:tc>
            </w:tr>
            <w:tr w14:paraId="11EC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10" w:type="pct"/>
                  <w:vMerge w:val="restart"/>
                  <w:noWrap w:val="0"/>
                  <w:vAlign w:val="center"/>
                </w:tcPr>
                <w:p w14:paraId="03AAB0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w:t>
                  </w:r>
                </w:p>
              </w:tc>
              <w:tc>
                <w:tcPr>
                  <w:tcW w:w="937" w:type="pct"/>
                  <w:vMerge w:val="restart"/>
                  <w:noWrap w:val="0"/>
                  <w:vAlign w:val="center"/>
                </w:tcPr>
                <w:p w14:paraId="6527624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发泡</w:t>
                  </w:r>
                  <w:r>
                    <w:rPr>
                      <w:rFonts w:hint="eastAsia" w:ascii="Times New Roman" w:hAnsi="Times New Roman" w:eastAsia="宋体" w:cs="Times New Roman"/>
                      <w:b w:val="0"/>
                      <w:bCs/>
                      <w:color w:val="auto"/>
                      <w:kern w:val="0"/>
                      <w:sz w:val="21"/>
                      <w:szCs w:val="21"/>
                      <w:highlight w:val="none"/>
                      <w:lang w:val="en-US" w:eastAsia="zh-CN"/>
                    </w:rPr>
                    <w:t>工段（DA001）</w:t>
                  </w:r>
                </w:p>
              </w:tc>
              <w:tc>
                <w:tcPr>
                  <w:tcW w:w="1091" w:type="pct"/>
                  <w:noWrap w:val="0"/>
                  <w:vAlign w:val="center"/>
                </w:tcPr>
                <w:p w14:paraId="1EF5597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非甲烷总烃</w:t>
                  </w:r>
                </w:p>
              </w:tc>
              <w:tc>
                <w:tcPr>
                  <w:tcW w:w="1167" w:type="pct"/>
                  <w:noWrap w:val="0"/>
                  <w:vAlign w:val="center"/>
                </w:tcPr>
                <w:p w14:paraId="64040AF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1.25</w:t>
                  </w:r>
                </w:p>
              </w:tc>
              <w:tc>
                <w:tcPr>
                  <w:tcW w:w="778" w:type="pct"/>
                  <w:noWrap w:val="0"/>
                  <w:vAlign w:val="center"/>
                </w:tcPr>
                <w:p w14:paraId="41A54E9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lang w:val="en-US" w:eastAsia="zh-CN"/>
                    </w:rPr>
                    <w:t>1</w:t>
                  </w:r>
                  <w:r>
                    <w:rPr>
                      <w:rFonts w:hint="eastAsia" w:cs="Times New Roman"/>
                      <w:b w:val="0"/>
                      <w:bCs/>
                      <w:color w:val="auto"/>
                      <w:kern w:val="0"/>
                      <w:sz w:val="21"/>
                      <w:szCs w:val="21"/>
                      <w:highlight w:val="none"/>
                      <w:lang w:val="en-US" w:eastAsia="zh-CN"/>
                    </w:rPr>
                    <w:t>0</w:t>
                  </w:r>
                  <w:r>
                    <w:rPr>
                      <w:rFonts w:hint="eastAsia" w:ascii="Times New Roman" w:hAnsi="Times New Roman" w:eastAsia="宋体" w:cs="Times New Roman"/>
                      <w:b w:val="0"/>
                      <w:bCs/>
                      <w:color w:val="auto"/>
                      <w:kern w:val="0"/>
                      <w:sz w:val="21"/>
                      <w:szCs w:val="21"/>
                      <w:highlight w:val="none"/>
                      <w:lang w:val="en-US" w:eastAsia="zh-CN"/>
                    </w:rPr>
                    <w:t>0</w:t>
                  </w:r>
                </w:p>
              </w:tc>
              <w:tc>
                <w:tcPr>
                  <w:tcW w:w="614" w:type="pct"/>
                  <w:noWrap w:val="0"/>
                  <w:vAlign w:val="center"/>
                </w:tcPr>
                <w:p w14:paraId="69224401">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w:t>
                  </w:r>
                </w:p>
              </w:tc>
            </w:tr>
            <w:tr w14:paraId="2738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410" w:type="pct"/>
                  <w:vMerge w:val="continue"/>
                  <w:noWrap w:val="0"/>
                  <w:vAlign w:val="center"/>
                </w:tcPr>
                <w:p w14:paraId="66D9CA60">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937" w:type="pct"/>
                  <w:vMerge w:val="continue"/>
                  <w:noWrap w:val="0"/>
                  <w:vAlign w:val="center"/>
                </w:tcPr>
                <w:p w14:paraId="7136A7E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color w:val="auto"/>
                      <w:kern w:val="0"/>
                      <w:sz w:val="21"/>
                      <w:szCs w:val="21"/>
                      <w:highlight w:val="none"/>
                      <w:lang w:val="en-US" w:eastAsia="zh-CN"/>
                    </w:rPr>
                  </w:pPr>
                </w:p>
              </w:tc>
              <w:tc>
                <w:tcPr>
                  <w:tcW w:w="1091" w:type="pct"/>
                  <w:noWrap w:val="0"/>
                  <w:vAlign w:val="center"/>
                </w:tcPr>
                <w:p w14:paraId="5DE3A6C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甲苯</w:t>
                  </w:r>
                </w:p>
              </w:tc>
              <w:tc>
                <w:tcPr>
                  <w:tcW w:w="1167" w:type="pct"/>
                  <w:noWrap w:val="0"/>
                  <w:vAlign w:val="center"/>
                </w:tcPr>
                <w:p w14:paraId="75C9E587">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color w:val="auto"/>
                      <w:kern w:val="0"/>
                      <w:sz w:val="21"/>
                      <w:szCs w:val="21"/>
                      <w:highlight w:val="none"/>
                      <w:lang w:val="en-US" w:eastAsia="zh-CN"/>
                    </w:rPr>
                  </w:pPr>
                  <w:r>
                    <w:rPr>
                      <w:rFonts w:hint="eastAsia" w:cs="Times New Roman"/>
                      <w:color w:val="auto"/>
                      <w:sz w:val="21"/>
                      <w:szCs w:val="21"/>
                      <w:vertAlign w:val="baseline"/>
                      <w:lang w:val="en-US" w:eastAsia="zh-CN"/>
                    </w:rPr>
                    <w:t>0.0521</w:t>
                  </w:r>
                </w:p>
              </w:tc>
              <w:tc>
                <w:tcPr>
                  <w:tcW w:w="778" w:type="pct"/>
                  <w:noWrap w:val="0"/>
                  <w:vAlign w:val="center"/>
                </w:tcPr>
                <w:p w14:paraId="20598986">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15</w:t>
                  </w:r>
                </w:p>
              </w:tc>
              <w:tc>
                <w:tcPr>
                  <w:tcW w:w="614" w:type="pct"/>
                  <w:noWrap w:val="0"/>
                  <w:vAlign w:val="center"/>
                </w:tcPr>
                <w:p w14:paraId="19D375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w:t>
                  </w:r>
                </w:p>
              </w:tc>
            </w:tr>
            <w:tr w14:paraId="5568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410" w:type="pct"/>
                  <w:vMerge w:val="continue"/>
                  <w:noWrap w:val="0"/>
                  <w:vAlign w:val="center"/>
                </w:tcPr>
                <w:p w14:paraId="4AEC228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937" w:type="pct"/>
                  <w:vMerge w:val="continue"/>
                  <w:noWrap w:val="0"/>
                  <w:vAlign w:val="center"/>
                </w:tcPr>
                <w:p w14:paraId="2B8B9E4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color w:val="auto"/>
                      <w:kern w:val="0"/>
                      <w:sz w:val="21"/>
                      <w:szCs w:val="21"/>
                      <w:highlight w:val="none"/>
                      <w:lang w:val="en-US" w:eastAsia="zh-CN"/>
                    </w:rPr>
                  </w:pPr>
                </w:p>
              </w:tc>
              <w:tc>
                <w:tcPr>
                  <w:tcW w:w="1091" w:type="pct"/>
                  <w:noWrap w:val="0"/>
                  <w:vAlign w:val="center"/>
                </w:tcPr>
                <w:p w14:paraId="679322C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乙苯</w:t>
                  </w:r>
                </w:p>
              </w:tc>
              <w:tc>
                <w:tcPr>
                  <w:tcW w:w="1167" w:type="pct"/>
                  <w:noWrap w:val="0"/>
                  <w:vAlign w:val="center"/>
                </w:tcPr>
                <w:p w14:paraId="03867E20">
                  <w:pPr>
                    <w:keepNext w:val="0"/>
                    <w:keepLines w:val="0"/>
                    <w:pageBreakBefore w:val="0"/>
                    <w:widowControl/>
                    <w:tabs>
                      <w:tab w:val="center" w:pos="866"/>
                      <w:tab w:val="right" w:pos="1614"/>
                    </w:tabs>
                    <w:kinsoku/>
                    <w:wordWrap/>
                    <w:overflowPunct/>
                    <w:topLinePunct w:val="0"/>
                    <w:autoSpaceDE/>
                    <w:autoSpaceDN/>
                    <w:bidi w:val="0"/>
                    <w:adjustRightInd/>
                    <w:snapToGrid/>
                    <w:spacing w:line="240" w:lineRule="auto"/>
                    <w:ind w:left="0" w:leftChars="0" w:firstLine="0" w:firstLineChars="0"/>
                    <w:jc w:val="left"/>
                    <w:textAlignment w:val="auto"/>
                    <w:rPr>
                      <w:rFonts w:hint="eastAsia" w:cs="Times New Roman"/>
                      <w:b w:val="0"/>
                      <w:bCs/>
                      <w:color w:val="auto"/>
                      <w:kern w:val="0"/>
                      <w:sz w:val="21"/>
                      <w:szCs w:val="21"/>
                      <w:highlight w:val="none"/>
                      <w:lang w:val="en-US" w:eastAsia="zh-CN"/>
                    </w:rPr>
                  </w:pPr>
                  <w:r>
                    <w:rPr>
                      <w:rFonts w:hint="eastAsia" w:cs="Times New Roman"/>
                      <w:color w:val="auto"/>
                      <w:sz w:val="21"/>
                      <w:szCs w:val="21"/>
                      <w:vertAlign w:val="baseline"/>
                      <w:lang w:val="en-US" w:eastAsia="zh-CN"/>
                    </w:rPr>
                    <w:tab/>
                  </w:r>
                  <w:r>
                    <w:rPr>
                      <w:rFonts w:hint="eastAsia" w:cs="Times New Roman"/>
                      <w:color w:val="auto"/>
                      <w:sz w:val="21"/>
                      <w:szCs w:val="21"/>
                      <w:vertAlign w:val="baseline"/>
                      <w:lang w:val="en-US" w:eastAsia="zh-CN"/>
                    </w:rPr>
                    <w:t>0.0261</w:t>
                  </w:r>
                </w:p>
              </w:tc>
              <w:tc>
                <w:tcPr>
                  <w:tcW w:w="778" w:type="pct"/>
                  <w:noWrap w:val="0"/>
                  <w:vAlign w:val="center"/>
                </w:tcPr>
                <w:p w14:paraId="6251F4D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100</w:t>
                  </w:r>
                </w:p>
              </w:tc>
              <w:tc>
                <w:tcPr>
                  <w:tcW w:w="614" w:type="pct"/>
                  <w:noWrap w:val="0"/>
                  <w:vAlign w:val="center"/>
                </w:tcPr>
                <w:p w14:paraId="22C56B1A">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w:t>
                  </w:r>
                </w:p>
              </w:tc>
            </w:tr>
            <w:tr w14:paraId="54AD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10" w:type="pct"/>
                  <w:vMerge w:val="continue"/>
                  <w:noWrap w:val="0"/>
                  <w:vAlign w:val="center"/>
                </w:tcPr>
                <w:p w14:paraId="1DB9CB2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b w:val="0"/>
                      <w:bCs/>
                      <w:color w:val="auto"/>
                      <w:kern w:val="0"/>
                      <w:sz w:val="21"/>
                      <w:szCs w:val="21"/>
                      <w:highlight w:val="none"/>
                      <w:lang w:val="en-US" w:eastAsia="zh-CN"/>
                    </w:rPr>
                  </w:pPr>
                </w:p>
              </w:tc>
              <w:tc>
                <w:tcPr>
                  <w:tcW w:w="937" w:type="pct"/>
                  <w:vMerge w:val="continue"/>
                  <w:noWrap w:val="0"/>
                  <w:vAlign w:val="center"/>
                </w:tcPr>
                <w:p w14:paraId="682F7A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color w:val="auto"/>
                      <w:kern w:val="0"/>
                      <w:sz w:val="21"/>
                      <w:szCs w:val="21"/>
                      <w:highlight w:val="none"/>
                      <w:lang w:val="en-US" w:eastAsia="zh-CN"/>
                    </w:rPr>
                  </w:pPr>
                </w:p>
              </w:tc>
              <w:tc>
                <w:tcPr>
                  <w:tcW w:w="1091" w:type="pct"/>
                  <w:noWrap w:val="0"/>
                  <w:vAlign w:val="center"/>
                </w:tcPr>
                <w:p w14:paraId="30E7D2D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苯乙烯</w:t>
                  </w:r>
                </w:p>
              </w:tc>
              <w:tc>
                <w:tcPr>
                  <w:tcW w:w="1167" w:type="pct"/>
                  <w:noWrap w:val="0"/>
                  <w:vAlign w:val="center"/>
                </w:tcPr>
                <w:p w14:paraId="0F88261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color w:val="auto"/>
                      <w:kern w:val="0"/>
                      <w:sz w:val="21"/>
                      <w:szCs w:val="21"/>
                      <w:highlight w:val="none"/>
                      <w:lang w:val="en-US" w:eastAsia="zh-CN"/>
                    </w:rPr>
                  </w:pPr>
                  <w:r>
                    <w:rPr>
                      <w:rFonts w:hint="eastAsia" w:cs="Times New Roman"/>
                      <w:color w:val="auto"/>
                      <w:sz w:val="21"/>
                      <w:szCs w:val="21"/>
                      <w:vertAlign w:val="baseline"/>
                      <w:lang w:val="en-US" w:eastAsia="zh-CN"/>
                    </w:rPr>
                    <w:t>0.0031</w:t>
                  </w:r>
                </w:p>
              </w:tc>
              <w:tc>
                <w:tcPr>
                  <w:tcW w:w="778" w:type="pct"/>
                  <w:noWrap w:val="0"/>
                  <w:vAlign w:val="center"/>
                </w:tcPr>
                <w:p w14:paraId="4B7F252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50</w:t>
                  </w:r>
                </w:p>
              </w:tc>
              <w:tc>
                <w:tcPr>
                  <w:tcW w:w="614" w:type="pct"/>
                  <w:noWrap w:val="0"/>
                  <w:vAlign w:val="center"/>
                </w:tcPr>
                <w:p w14:paraId="1B4FC19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w:t>
                  </w:r>
                </w:p>
              </w:tc>
            </w:tr>
            <w:tr w14:paraId="3CAA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410" w:type="pct"/>
                  <w:vMerge w:val="restart"/>
                  <w:noWrap w:val="0"/>
                  <w:vAlign w:val="center"/>
                </w:tcPr>
                <w:p w14:paraId="4B49CBD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2</w:t>
                  </w:r>
                </w:p>
              </w:tc>
              <w:tc>
                <w:tcPr>
                  <w:tcW w:w="937" w:type="pct"/>
                  <w:vMerge w:val="restart"/>
                  <w:noWrap w:val="0"/>
                  <w:vAlign w:val="center"/>
                </w:tcPr>
                <w:p w14:paraId="57B1DC2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生物质蒸汽发生器加热工段（DA002）</w:t>
                  </w:r>
                </w:p>
              </w:tc>
              <w:tc>
                <w:tcPr>
                  <w:tcW w:w="1091" w:type="pct"/>
                  <w:noWrap w:val="0"/>
                  <w:vAlign w:val="center"/>
                </w:tcPr>
                <w:p w14:paraId="6F271E52">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颗粒物</w:t>
                  </w:r>
                </w:p>
              </w:tc>
              <w:tc>
                <w:tcPr>
                  <w:tcW w:w="1167" w:type="pct"/>
                  <w:noWrap w:val="0"/>
                  <w:vAlign w:val="center"/>
                </w:tcPr>
                <w:p w14:paraId="537B380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cs="Times New Roman"/>
                      <w:b w:val="0"/>
                      <w:bCs/>
                      <w:color w:val="auto"/>
                      <w:kern w:val="0"/>
                      <w:sz w:val="21"/>
                      <w:szCs w:val="21"/>
                      <w:highlight w:val="none"/>
                      <w:lang w:val="en-US" w:eastAsia="zh-CN"/>
                    </w:rPr>
                  </w:pPr>
                  <w:r>
                    <w:rPr>
                      <w:rFonts w:hint="eastAsia" w:cs="Times New Roman"/>
                      <w:color w:val="auto"/>
                      <w:sz w:val="21"/>
                      <w:szCs w:val="21"/>
                      <w:vertAlign w:val="baseline"/>
                      <w:lang w:val="en-US" w:eastAsia="zh-CN"/>
                    </w:rPr>
                    <w:t>6.03</w:t>
                  </w:r>
                </w:p>
              </w:tc>
              <w:tc>
                <w:tcPr>
                  <w:tcW w:w="778" w:type="pct"/>
                  <w:noWrap w:val="0"/>
                  <w:vAlign w:val="center"/>
                </w:tcPr>
                <w:p w14:paraId="72FCD28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50</w:t>
                  </w:r>
                </w:p>
              </w:tc>
              <w:tc>
                <w:tcPr>
                  <w:tcW w:w="614" w:type="pct"/>
                  <w:noWrap w:val="0"/>
                  <w:vAlign w:val="center"/>
                </w:tcPr>
                <w:p w14:paraId="3FCB05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w:t>
                  </w:r>
                </w:p>
              </w:tc>
            </w:tr>
            <w:tr w14:paraId="0AE3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410" w:type="pct"/>
                  <w:vMerge w:val="continue"/>
                  <w:noWrap w:val="0"/>
                  <w:vAlign w:val="center"/>
                </w:tcPr>
                <w:p w14:paraId="2B477F4F">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color w:val="auto"/>
                      <w:kern w:val="0"/>
                      <w:sz w:val="21"/>
                      <w:szCs w:val="21"/>
                      <w:highlight w:val="none"/>
                      <w:lang w:val="en-US" w:eastAsia="zh-CN"/>
                    </w:rPr>
                  </w:pPr>
                </w:p>
              </w:tc>
              <w:tc>
                <w:tcPr>
                  <w:tcW w:w="937" w:type="pct"/>
                  <w:vMerge w:val="continue"/>
                  <w:noWrap w:val="0"/>
                  <w:vAlign w:val="center"/>
                </w:tcPr>
                <w:p w14:paraId="12DBF094">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color w:val="auto"/>
                      <w:kern w:val="0"/>
                      <w:sz w:val="21"/>
                      <w:szCs w:val="21"/>
                      <w:highlight w:val="none"/>
                      <w:lang w:val="en-US" w:eastAsia="zh-CN"/>
                    </w:rPr>
                  </w:pPr>
                </w:p>
              </w:tc>
              <w:tc>
                <w:tcPr>
                  <w:tcW w:w="1091" w:type="pct"/>
                  <w:noWrap w:val="0"/>
                  <w:vAlign w:val="center"/>
                </w:tcPr>
                <w:p w14:paraId="064CDED9">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二氧化硫</w:t>
                  </w:r>
                </w:p>
              </w:tc>
              <w:tc>
                <w:tcPr>
                  <w:tcW w:w="1167" w:type="pct"/>
                  <w:shd w:val="clear" w:color="auto" w:fill="auto"/>
                  <w:noWrap w:val="0"/>
                  <w:vAlign w:val="center"/>
                </w:tcPr>
                <w:p w14:paraId="47763235">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82.26</w:t>
                  </w:r>
                </w:p>
              </w:tc>
              <w:tc>
                <w:tcPr>
                  <w:tcW w:w="778" w:type="pct"/>
                  <w:noWrap w:val="0"/>
                  <w:vAlign w:val="center"/>
                </w:tcPr>
                <w:p w14:paraId="47202A7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300</w:t>
                  </w:r>
                </w:p>
              </w:tc>
              <w:tc>
                <w:tcPr>
                  <w:tcW w:w="614" w:type="pct"/>
                  <w:noWrap w:val="0"/>
                  <w:vAlign w:val="center"/>
                </w:tcPr>
                <w:p w14:paraId="48066A98">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w:t>
                  </w:r>
                </w:p>
              </w:tc>
            </w:tr>
            <w:tr w14:paraId="4D61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10" w:type="pct"/>
                  <w:vMerge w:val="continue"/>
                  <w:noWrap w:val="0"/>
                  <w:vAlign w:val="center"/>
                </w:tcPr>
                <w:p w14:paraId="68A31D4C">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color w:val="auto"/>
                      <w:kern w:val="0"/>
                      <w:sz w:val="21"/>
                      <w:szCs w:val="21"/>
                      <w:highlight w:val="none"/>
                      <w:lang w:val="en-US" w:eastAsia="zh-CN"/>
                    </w:rPr>
                  </w:pPr>
                </w:p>
              </w:tc>
              <w:tc>
                <w:tcPr>
                  <w:tcW w:w="937" w:type="pct"/>
                  <w:vMerge w:val="continue"/>
                  <w:noWrap w:val="0"/>
                  <w:vAlign w:val="center"/>
                </w:tcPr>
                <w:p w14:paraId="4482276B">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color w:val="auto"/>
                      <w:kern w:val="0"/>
                      <w:sz w:val="21"/>
                      <w:szCs w:val="21"/>
                      <w:highlight w:val="none"/>
                      <w:lang w:val="en-US" w:eastAsia="zh-CN"/>
                    </w:rPr>
                  </w:pPr>
                </w:p>
              </w:tc>
              <w:tc>
                <w:tcPr>
                  <w:tcW w:w="1091" w:type="pct"/>
                  <w:noWrap w:val="0"/>
                  <w:vAlign w:val="center"/>
                </w:tcPr>
                <w:p w14:paraId="6641F58E">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氮氧化物</w:t>
                  </w:r>
                </w:p>
              </w:tc>
              <w:tc>
                <w:tcPr>
                  <w:tcW w:w="1167" w:type="pct"/>
                  <w:shd w:val="clear" w:color="auto" w:fill="auto"/>
                  <w:noWrap w:val="0"/>
                  <w:vAlign w:val="center"/>
                </w:tcPr>
                <w:p w14:paraId="08E4F649">
                  <w:pPr>
                    <w:pStyle w:val="31"/>
                    <w:keepNext w:val="0"/>
                    <w:keepLines w:val="0"/>
                    <w:pageBreakBefore w:val="0"/>
                    <w:widowControl w:val="0"/>
                    <w:kinsoku/>
                    <w:wordWrap/>
                    <w:overflowPunct/>
                    <w:topLinePunct w:val="0"/>
                    <w:autoSpaceDE/>
                    <w:autoSpaceDN/>
                    <w:bidi w:val="0"/>
                    <w:adjustRightInd w:val="0"/>
                    <w:snapToGrid w:val="0"/>
                    <w:spacing w:before="0" w:beforeAutospacing="0" w:after="0" w:afterAutospacing="0" w:line="240" w:lineRule="auto"/>
                    <w:ind w:firstLine="0" w:firstLineChars="0"/>
                    <w:jc w:val="center"/>
                    <w:textAlignment w:val="auto"/>
                    <w:rPr>
                      <w:rFonts w:hint="eastAsia" w:ascii="Times New Roman" w:hAnsi="Times New Roman" w:eastAsia="宋体" w:cs="Times New Roman"/>
                      <w:color w:val="auto"/>
                      <w:kern w:val="0"/>
                      <w:sz w:val="21"/>
                      <w:szCs w:val="21"/>
                      <w:vertAlign w:val="baseline"/>
                      <w:lang w:val="en-US" w:eastAsia="zh-CN" w:bidi="ar-SA"/>
                    </w:rPr>
                  </w:pPr>
                  <w:r>
                    <w:rPr>
                      <w:rFonts w:hint="eastAsia" w:cs="Times New Roman"/>
                      <w:color w:val="auto"/>
                      <w:sz w:val="21"/>
                      <w:szCs w:val="21"/>
                      <w:vertAlign w:val="baseline"/>
                      <w:lang w:val="en-US" w:eastAsia="zh-CN"/>
                    </w:rPr>
                    <w:t>163.46</w:t>
                  </w:r>
                </w:p>
              </w:tc>
              <w:tc>
                <w:tcPr>
                  <w:tcW w:w="778" w:type="pct"/>
                  <w:noWrap w:val="0"/>
                  <w:vAlign w:val="center"/>
                </w:tcPr>
                <w:p w14:paraId="1CC784E5">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300</w:t>
                  </w:r>
                </w:p>
              </w:tc>
              <w:tc>
                <w:tcPr>
                  <w:tcW w:w="614" w:type="pct"/>
                  <w:noWrap w:val="0"/>
                  <w:vAlign w:val="center"/>
                </w:tcPr>
                <w:p w14:paraId="73705B53">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w:t>
                  </w:r>
                </w:p>
              </w:tc>
            </w:tr>
          </w:tbl>
          <w:p w14:paraId="4D7C6448">
            <w:pPr>
              <w:pStyle w:val="22"/>
              <w:keepNext w:val="0"/>
              <w:keepLines/>
              <w:pageBreakBefore w:val="0"/>
              <w:widowControl w:val="0"/>
              <w:kinsoku/>
              <w:wordWrap/>
              <w:overflowPunct/>
              <w:topLinePunct w:val="0"/>
              <w:autoSpaceDE w:val="0"/>
              <w:autoSpaceDN w:val="0"/>
              <w:bidi w:val="0"/>
              <w:adjustRightInd/>
              <w:snapToGrid w:val="0"/>
              <w:spacing w:before="157" w:beforeLines="50"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根据GB31572-2015《合成树脂工业污染物排放标准》（含2024年修改单），单位产品非甲烷总烃排放量按下式计算：</w:t>
            </w:r>
          </w:p>
          <w:p w14:paraId="0CB5EAEC">
            <w:pPr>
              <w:pStyle w:val="8"/>
              <w:keepNext w:val="0"/>
              <w:keepLines w:val="0"/>
              <w:pageBreakBefore w:val="0"/>
              <w:widowControl w:val="0"/>
              <w:kinsoku/>
              <w:wordWrap/>
              <w:overflowPunct/>
              <w:topLinePunct w:val="0"/>
              <w:autoSpaceDE/>
              <w:autoSpaceDN/>
              <w:bidi w:val="0"/>
              <w:adjustRightInd/>
              <w:snapToGrid/>
              <w:ind w:left="0" w:leftChars="0" w:firstLine="480" w:firstLineChars="200"/>
              <w:jc w:val="center"/>
              <w:textAlignment w:val="auto"/>
              <w:rPr>
                <w:rFonts w:hint="default" w:ascii="Times New Roman" w:hAnsi="Times New Roman" w:eastAsia="宋体" w:cs="Times New Roman"/>
                <w:color w:val="auto"/>
                <w:lang w:val="en-US" w:eastAsia="zh-CN"/>
              </w:rPr>
            </w:pPr>
            <w:r>
              <w:rPr>
                <w:color w:val="auto"/>
              </w:rPr>
              <w:drawing>
                <wp:inline distT="0" distB="0" distL="114300" distR="114300">
                  <wp:extent cx="1362075" cy="666750"/>
                  <wp:effectExtent l="0" t="0" r="9525" b="0"/>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30"/>
                          <a:stretch>
                            <a:fillRect/>
                          </a:stretch>
                        </pic:blipFill>
                        <pic:spPr>
                          <a:xfrm>
                            <a:off x="0" y="0"/>
                            <a:ext cx="1362075" cy="666750"/>
                          </a:xfrm>
                          <a:prstGeom prst="rect">
                            <a:avLst/>
                          </a:prstGeom>
                          <a:noFill/>
                          <a:ln>
                            <a:noFill/>
                          </a:ln>
                        </pic:spPr>
                      </pic:pic>
                    </a:graphicData>
                  </a:graphic>
                </wp:inline>
              </w:drawing>
            </w:r>
          </w:p>
          <w:p w14:paraId="1E97C2B9">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式中：A</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单位合成树脂产品非甲烷总烃排放量，kg/t 产品；</w:t>
            </w:r>
          </w:p>
          <w:p w14:paraId="356F7712">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w:t>
            </w:r>
            <w:r>
              <w:rPr>
                <w:rFonts w:hint="default" w:ascii="Times New Roman" w:hAnsi="Times New Roman" w:eastAsia="宋体" w:cs="Times New Roman"/>
                <w:color w:val="auto"/>
                <w:vertAlign w:val="subscript"/>
                <w:lang w:val="en-US" w:eastAsia="zh-CN"/>
              </w:rPr>
              <w:t>实</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排气筒中非甲烷总烃实测浓度，mg/m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，本次评价取</w:t>
            </w:r>
            <w:r>
              <w:rPr>
                <w:rFonts w:hint="eastAsia" w:cs="Times New Roman"/>
                <w:color w:val="auto"/>
                <w:lang w:val="en-US" w:eastAsia="zh-CN"/>
              </w:rPr>
              <w:t>1.25</w:t>
            </w:r>
            <w:r>
              <w:rPr>
                <w:rFonts w:hint="default" w:ascii="Times New Roman" w:hAnsi="Times New Roman" w:eastAsia="宋体" w:cs="Times New Roman"/>
                <w:color w:val="auto"/>
                <w:lang w:val="en-US" w:eastAsia="zh-CN"/>
              </w:rPr>
              <w:t>；</w:t>
            </w:r>
          </w:p>
          <w:p w14:paraId="26D59E66">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Q</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排气筒中单位时间内排气量，m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/h，本次评价</w:t>
            </w:r>
            <w:r>
              <w:rPr>
                <w:rFonts w:hint="eastAsia" w:ascii="Times New Roman" w:hAnsi="Times New Roman" w:eastAsia="宋体" w:cs="Times New Roman"/>
                <w:color w:val="auto"/>
                <w:lang w:val="en-US" w:eastAsia="zh-CN"/>
              </w:rPr>
              <w:t>取</w:t>
            </w:r>
            <w:r>
              <w:rPr>
                <w:rFonts w:hint="eastAsia" w:cs="Times New Roman"/>
                <w:color w:val="auto"/>
                <w:lang w:val="en-US" w:eastAsia="zh-CN"/>
              </w:rPr>
              <w:t>10000</w:t>
            </w:r>
            <w:r>
              <w:rPr>
                <w:rFonts w:hint="default" w:ascii="Times New Roman" w:hAnsi="Times New Roman" w:eastAsia="宋体" w:cs="Times New Roman"/>
                <w:color w:val="auto"/>
                <w:lang w:val="en-US" w:eastAsia="zh-CN"/>
              </w:rPr>
              <w:t>；</w:t>
            </w:r>
          </w:p>
          <w:p w14:paraId="2B4C9A1C">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r>
              <w:rPr>
                <w:rFonts w:hint="default" w:ascii="Times New Roman" w:hAnsi="Times New Roman" w:eastAsia="宋体" w:cs="Times New Roman"/>
                <w:color w:val="auto"/>
                <w:vertAlign w:val="subscript"/>
                <w:lang w:val="en-US" w:eastAsia="zh-CN"/>
              </w:rPr>
              <w:t>产</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单位时间内合成树脂的产量，t/h，本次评价取</w:t>
            </w:r>
            <w:r>
              <w:rPr>
                <w:rFonts w:hint="eastAsia" w:cs="Times New Roman"/>
                <w:color w:val="auto"/>
                <w:lang w:val="en-US" w:eastAsia="zh-CN"/>
              </w:rPr>
              <w:t>0.042</w:t>
            </w:r>
            <w:r>
              <w:rPr>
                <w:rFonts w:hint="default" w:ascii="Times New Roman" w:hAnsi="Times New Roman" w:eastAsia="宋体" w:cs="Times New Roman"/>
                <w:color w:val="auto"/>
                <w:lang w:val="en-US" w:eastAsia="zh-CN"/>
              </w:rPr>
              <w:t>。</w:t>
            </w:r>
          </w:p>
          <w:p w14:paraId="22BD1E34">
            <w:pPr>
              <w:pStyle w:val="8"/>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lang w:val="en-US" w:eastAsia="zh-CN"/>
              </w:rPr>
              <w:t>根据上式计算，项目单位产品非甲烷总烃排放量约为0</w:t>
            </w:r>
            <w:r>
              <w:rPr>
                <w:rFonts w:hint="eastAsia" w:ascii="Times New Roman" w:hAnsi="Times New Roman" w:eastAsia="宋体" w:cs="Times New Roman"/>
                <w:color w:val="auto"/>
                <w:lang w:val="en-US" w:eastAsia="zh-CN"/>
              </w:rPr>
              <w:t>.</w:t>
            </w:r>
            <w:r>
              <w:rPr>
                <w:rFonts w:hint="eastAsia" w:cs="Times New Roman"/>
                <w:color w:val="auto"/>
                <w:lang w:val="en-US" w:eastAsia="zh-CN"/>
              </w:rPr>
              <w:t>3</w:t>
            </w:r>
            <w:r>
              <w:rPr>
                <w:rFonts w:hint="default" w:ascii="Times New Roman" w:hAnsi="Times New Roman" w:eastAsia="宋体" w:cs="Times New Roman"/>
                <w:color w:val="auto"/>
                <w:lang w:val="en-US" w:eastAsia="zh-CN"/>
              </w:rPr>
              <w:t>kg/t 产品，小于0.</w:t>
            </w:r>
            <w:r>
              <w:rPr>
                <w:rFonts w:hint="eastAsia" w:cs="Times New Roman"/>
                <w:color w:val="auto"/>
                <w:lang w:val="en-US" w:eastAsia="zh-CN"/>
              </w:rPr>
              <w:t>5</w:t>
            </w:r>
            <w:r>
              <w:rPr>
                <w:rFonts w:hint="default" w:ascii="Times New Roman" w:hAnsi="Times New Roman" w:eastAsia="宋体" w:cs="Times New Roman"/>
                <w:color w:val="auto"/>
                <w:lang w:val="en-US" w:eastAsia="zh-CN"/>
              </w:rPr>
              <w:t>kg/t产品</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lang w:val="en-US" w:eastAsia="zh-CN"/>
              </w:rPr>
              <w:t>满足GB31572-2015《合成树脂工业污染物排放标准》（含2024年修改单）表</w:t>
            </w:r>
            <w:r>
              <w:rPr>
                <w:rFonts w:hint="eastAsia" w:cs="Times New Roman"/>
                <w:color w:val="auto"/>
                <w:lang w:val="en-US" w:eastAsia="zh-CN"/>
              </w:rPr>
              <w:t>4</w:t>
            </w:r>
            <w:r>
              <w:rPr>
                <w:rFonts w:hint="default" w:ascii="Times New Roman" w:hAnsi="Times New Roman" w:eastAsia="宋体" w:cs="Times New Roman"/>
                <w:color w:val="auto"/>
                <w:lang w:val="en-US" w:eastAsia="zh-CN"/>
              </w:rPr>
              <w:t>中</w:t>
            </w:r>
            <w:r>
              <w:rPr>
                <w:rFonts w:hint="eastAsia" w:cs="Times New Roman"/>
                <w:color w:val="auto"/>
                <w:lang w:val="en-US" w:eastAsia="zh-CN"/>
              </w:rPr>
              <w:t>“</w:t>
            </w:r>
            <w:r>
              <w:rPr>
                <w:rFonts w:hint="default" w:ascii="Times New Roman" w:hAnsi="Times New Roman" w:eastAsia="宋体" w:cs="Times New Roman"/>
                <w:color w:val="auto"/>
                <w:lang w:val="en-US" w:eastAsia="zh-CN"/>
              </w:rPr>
              <w:t>单位产品NMHC 排放限值要求（</w:t>
            </w:r>
            <w:r>
              <w:rPr>
                <w:rFonts w:hint="eastAsia" w:ascii="Times New Roman" w:hAnsi="Times New Roman" w:eastAsia="宋体" w:cs="Times New Roman"/>
                <w:color w:val="auto"/>
                <w:lang w:val="en-US" w:eastAsia="zh-CN"/>
              </w:rPr>
              <w:t>0.</w:t>
            </w:r>
            <w:r>
              <w:rPr>
                <w:rFonts w:hint="eastAsia" w:cs="Times New Roman"/>
                <w:color w:val="auto"/>
                <w:lang w:val="en-US" w:eastAsia="zh-CN"/>
              </w:rPr>
              <w:t>5</w:t>
            </w:r>
            <w:r>
              <w:rPr>
                <w:rFonts w:hint="default" w:ascii="Times New Roman" w:hAnsi="Times New Roman" w:eastAsia="宋体" w:cs="Times New Roman"/>
                <w:color w:val="auto"/>
                <w:lang w:val="en-US" w:eastAsia="zh-CN"/>
              </w:rPr>
              <w:t>kg/t-产品）</w:t>
            </w:r>
            <w:r>
              <w:rPr>
                <w:rFonts w:hint="eastAsia" w:cs="Times New Roman"/>
                <w:color w:val="auto"/>
                <w:lang w:val="en-US" w:eastAsia="zh-CN"/>
              </w:rPr>
              <w:t>”</w:t>
            </w:r>
            <w:r>
              <w:rPr>
                <w:rFonts w:hint="default" w:ascii="Times New Roman" w:hAnsi="Times New Roman" w:eastAsia="宋体" w:cs="Times New Roman"/>
                <w:color w:val="auto"/>
                <w:sz w:val="24"/>
                <w:szCs w:val="24"/>
                <w:lang w:val="en-US" w:eastAsia="zh-CN"/>
              </w:rPr>
              <w:t>，故，本项目单位产品非甲烷总烃排放量也可以达标排放。</w:t>
            </w:r>
          </w:p>
          <w:p w14:paraId="04D7C92F">
            <w:pPr>
              <w:pStyle w:val="22"/>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（2）无组织废气达标情况分析</w:t>
            </w:r>
          </w:p>
          <w:p w14:paraId="21C9E08F">
            <w:pPr>
              <w:pStyle w:val="22"/>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本环评采用《环境影响评价技术导则  大气环境》（HJ2.2-2018）推荐模式－AERSCREEN。估算模式AERSCREEN是一个单源高斯烟羽模式，可计算点源、火炬源、面源和体源的最大地面浓度以及下洗和岸边熏烟等特殊条件下的最大地面浓度。估算模式中嵌入了多种预设的气象组合条件，包括一些最不利的气象条件，在某个地区有可能发生，也有可能没有此种不利气象条件。经估算模式计算出的是某一污染源对环境空气质量的最大影响程度和影响范围的保守的结果。</w:t>
            </w:r>
          </w:p>
          <w:p w14:paraId="1636A14B">
            <w:pPr>
              <w:pStyle w:val="22"/>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红塔区气候总体上属中亚热带半湿润高原季风气候，不同海拔区域呈现出南亚热带、中亚热带、北亚热带和南温带4个气候类型。由于地貌类型复杂，垂直高差悬殊，导致光、热、水的再分配，具有垂直变化大，季节变化小，夏无酷暑，冬无严寒，干湿季分明，地区差异明显的特点。年平均气温 16℃ , 极端最高气温31. 1～35℃ , 极端最低气温-7.6℃ ，年平均地面温度 17.8～20. 1℃ , 年平均相对湿度77% ，全年无霜期260天左右，日照年平均在2100～2165小时之间，日照冬春多，夏秋少；雨量夏秋充沛，冬春较少，年降雨量916毫米左右。2005年平均气温17.4℃ , 极端最高气温32.7℃（5月 26日），极端最低气温1.3℃（3月5日）。全年日照时数1862.2小时，无霜期 275天，全年降雨量831. 1毫米。县境内主导风向为西南风，根据在红塔区气象局的查询结果，红塔区近五年年均风速为2.1m/s。</w:t>
            </w:r>
          </w:p>
          <w:p w14:paraId="6B697F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预测结果及无组织废气达标分析一览表</w:t>
            </w:r>
            <w:r>
              <w:rPr>
                <w:rFonts w:hint="eastAsia" w:cs="Times New Roman" w:eastAsiaTheme="minorEastAsia"/>
                <w:color w:val="auto"/>
                <w:kern w:val="0"/>
                <w:sz w:val="24"/>
                <w:szCs w:val="24"/>
                <w:lang w:val="en-US" w:eastAsia="zh-CN" w:bidi="ar"/>
              </w:rPr>
              <w:t>。</w:t>
            </w:r>
          </w:p>
          <w:p w14:paraId="14BD7D5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表4-</w:t>
            </w:r>
            <w:r>
              <w:rPr>
                <w:rFonts w:hint="eastAsia" w:cs="Times New Roman"/>
                <w:b/>
                <w:color w:val="auto"/>
                <w:kern w:val="0"/>
                <w:sz w:val="24"/>
                <w:szCs w:val="24"/>
                <w:lang w:val="en-US" w:eastAsia="zh-CN"/>
              </w:rPr>
              <w:t>8</w:t>
            </w:r>
            <w:r>
              <w:rPr>
                <w:rFonts w:hint="default" w:ascii="Times New Roman" w:hAnsi="Times New Roman" w:eastAsia="宋体" w:cs="Times New Roman"/>
                <w:b/>
                <w:color w:val="auto"/>
                <w:kern w:val="0"/>
                <w:sz w:val="24"/>
                <w:szCs w:val="24"/>
                <w:lang w:val="en-US" w:eastAsia="zh-CN"/>
              </w:rPr>
              <w:t xml:space="preserve"> 预测结果及无组织废气达标分析一览表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125"/>
              <w:gridCol w:w="1335"/>
              <w:gridCol w:w="1185"/>
              <w:gridCol w:w="1185"/>
              <w:gridCol w:w="2030"/>
            </w:tblGrid>
            <w:tr w14:paraId="288C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621" w:type="pct"/>
                  <w:noWrap w:val="0"/>
                  <w:vAlign w:val="center"/>
                </w:tcPr>
                <w:p w14:paraId="5FE9AE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rPr>
                    <w:t>污染源名称</w:t>
                  </w:r>
                </w:p>
              </w:tc>
              <w:tc>
                <w:tcPr>
                  <w:tcW w:w="718" w:type="pct"/>
                  <w:noWrap w:val="0"/>
                  <w:vAlign w:val="center"/>
                </w:tcPr>
                <w:p w14:paraId="6214A7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rPr>
                    <w:t>评价因子</w:t>
                  </w:r>
                </w:p>
              </w:tc>
              <w:tc>
                <w:tcPr>
                  <w:tcW w:w="852" w:type="pct"/>
                  <w:noWrap w:val="0"/>
                  <w:vAlign w:val="center"/>
                </w:tcPr>
                <w:p w14:paraId="2E7C7F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预测浓度</w:t>
                  </w:r>
                </w:p>
              </w:tc>
              <w:tc>
                <w:tcPr>
                  <w:tcW w:w="756" w:type="pct"/>
                  <w:noWrap w:val="0"/>
                  <w:vAlign w:val="center"/>
                </w:tcPr>
                <w:p w14:paraId="6D1A77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标准限值</w:t>
                  </w:r>
                </w:p>
              </w:tc>
              <w:tc>
                <w:tcPr>
                  <w:tcW w:w="756" w:type="pct"/>
                  <w:noWrap w:val="0"/>
                  <w:vAlign w:val="center"/>
                </w:tcPr>
                <w:p w14:paraId="7854C1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lang w:val="en-US" w:eastAsia="zh-CN"/>
                    </w:rPr>
                  </w:pPr>
                  <w:r>
                    <w:rPr>
                      <w:rFonts w:hint="default" w:ascii="Times New Roman" w:hAnsi="Times New Roman" w:eastAsia="宋体" w:cs="Times New Roman"/>
                      <w:b/>
                      <w:bCs w:val="0"/>
                      <w:color w:val="auto"/>
                      <w:kern w:val="0"/>
                      <w:sz w:val="21"/>
                      <w:szCs w:val="21"/>
                      <w:highlight w:val="none"/>
                      <w:lang w:val="en-US" w:eastAsia="zh-CN"/>
                    </w:rPr>
                    <w:t>达标分析</w:t>
                  </w:r>
                </w:p>
              </w:tc>
              <w:tc>
                <w:tcPr>
                  <w:tcW w:w="1295" w:type="pct"/>
                  <w:noWrap w:val="0"/>
                  <w:vAlign w:val="center"/>
                </w:tcPr>
                <w:p w14:paraId="5EE1A2E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val="0"/>
                      <w:color w:val="auto"/>
                      <w:kern w:val="0"/>
                      <w:sz w:val="21"/>
                      <w:szCs w:val="21"/>
                      <w:highlight w:val="none"/>
                    </w:rPr>
                  </w:pPr>
                  <w:r>
                    <w:rPr>
                      <w:rFonts w:hint="default" w:ascii="Times New Roman" w:hAnsi="Times New Roman" w:eastAsia="宋体" w:cs="Times New Roman"/>
                      <w:b/>
                      <w:bCs w:val="0"/>
                      <w:color w:val="auto"/>
                      <w:kern w:val="0"/>
                      <w:sz w:val="21"/>
                      <w:szCs w:val="21"/>
                      <w:highlight w:val="none"/>
                      <w:lang w:val="en-US" w:eastAsia="zh-CN"/>
                    </w:rPr>
                    <w:t>执行标准</w:t>
                  </w:r>
                </w:p>
              </w:tc>
            </w:tr>
            <w:tr w14:paraId="174E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21" w:type="pct"/>
                  <w:vMerge w:val="restart"/>
                  <w:noWrap w:val="0"/>
                  <w:vAlign w:val="center"/>
                </w:tcPr>
                <w:p w14:paraId="1CF7AB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rPr>
                    <w:t>矩形面源</w:t>
                  </w:r>
                </w:p>
              </w:tc>
              <w:tc>
                <w:tcPr>
                  <w:tcW w:w="718" w:type="pct"/>
                  <w:noWrap w:val="0"/>
                  <w:vAlign w:val="center"/>
                </w:tcPr>
                <w:p w14:paraId="36340D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NMHC</w:t>
                  </w:r>
                </w:p>
              </w:tc>
              <w:tc>
                <w:tcPr>
                  <w:tcW w:w="852" w:type="pct"/>
                  <w:noWrap w:val="0"/>
                  <w:vAlign w:val="center"/>
                </w:tcPr>
                <w:p w14:paraId="0C8612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default" w:ascii="Times New Roman" w:hAnsi="Times New Roman" w:eastAsia="宋体" w:cs="Times New Roman"/>
                      <w:b w:val="0"/>
                      <w:bCs/>
                      <w:color w:val="auto"/>
                      <w:kern w:val="0"/>
                      <w:sz w:val="21"/>
                      <w:szCs w:val="21"/>
                      <w:highlight w:val="none"/>
                      <w:lang w:val="en-US" w:eastAsia="zh-CN"/>
                    </w:rPr>
                    <w:t>0.</w:t>
                  </w:r>
                  <w:r>
                    <w:rPr>
                      <w:rFonts w:hint="eastAsia" w:ascii="Times New Roman" w:hAnsi="Times New Roman" w:eastAsia="宋体" w:cs="Times New Roman"/>
                      <w:b w:val="0"/>
                      <w:bCs/>
                      <w:color w:val="auto"/>
                      <w:kern w:val="0"/>
                      <w:sz w:val="21"/>
                      <w:szCs w:val="21"/>
                      <w:highlight w:val="none"/>
                      <w:lang w:val="en-US" w:eastAsia="zh-CN"/>
                    </w:rPr>
                    <w:t>006</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56" w:type="pct"/>
                  <w:noWrap w:val="0"/>
                  <w:vAlign w:val="center"/>
                </w:tcPr>
                <w:p w14:paraId="501E46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4</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56" w:type="pct"/>
                  <w:noWrap w:val="0"/>
                  <w:vAlign w:val="center"/>
                </w:tcPr>
                <w:p w14:paraId="5202D7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达标</w:t>
                  </w:r>
                </w:p>
              </w:tc>
              <w:tc>
                <w:tcPr>
                  <w:tcW w:w="1295" w:type="pct"/>
                  <w:vMerge w:val="restart"/>
                  <w:noWrap w:val="0"/>
                  <w:vAlign w:val="center"/>
                </w:tcPr>
                <w:p w14:paraId="3EEC289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GB31572-2015《合成树脂工业污染物排放标准》（含2024年修改单）表9标准</w:t>
                  </w:r>
                </w:p>
              </w:tc>
            </w:tr>
            <w:tr w14:paraId="5062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621" w:type="pct"/>
                  <w:vMerge w:val="continue"/>
                  <w:noWrap w:val="0"/>
                  <w:vAlign w:val="center"/>
                </w:tcPr>
                <w:p w14:paraId="157B84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rPr>
                  </w:pPr>
                </w:p>
              </w:tc>
              <w:tc>
                <w:tcPr>
                  <w:tcW w:w="718" w:type="pct"/>
                  <w:noWrap w:val="0"/>
                  <w:vAlign w:val="center"/>
                </w:tcPr>
                <w:p w14:paraId="52A91C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颗粒物</w:t>
                  </w:r>
                </w:p>
              </w:tc>
              <w:tc>
                <w:tcPr>
                  <w:tcW w:w="852" w:type="pct"/>
                  <w:noWrap w:val="0"/>
                  <w:vAlign w:val="center"/>
                </w:tcPr>
                <w:p w14:paraId="0FBEDF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kern w:val="0"/>
                      <w:sz w:val="21"/>
                      <w:szCs w:val="21"/>
                      <w:highlight w:val="none"/>
                      <w:lang w:val="en-US" w:eastAsia="zh-CN"/>
                    </w:rPr>
                  </w:pPr>
                  <w:r>
                    <w:rPr>
                      <w:rFonts w:hint="eastAsia" w:cs="Times New Roman"/>
                      <w:b w:val="0"/>
                      <w:bCs/>
                      <w:color w:val="auto"/>
                      <w:kern w:val="0"/>
                      <w:sz w:val="21"/>
                      <w:szCs w:val="21"/>
                      <w:highlight w:val="none"/>
                      <w:lang w:val="en-US" w:eastAsia="zh-CN"/>
                    </w:rPr>
                    <w:t>0.02</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56" w:type="pct"/>
                  <w:noWrap w:val="0"/>
                  <w:vAlign w:val="center"/>
                </w:tcPr>
                <w:p w14:paraId="763FD1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1</w:t>
                  </w:r>
                  <w:r>
                    <w:rPr>
                      <w:rFonts w:hint="default" w:ascii="Times New Roman" w:hAnsi="Times New Roman" w:eastAsia="宋体" w:cs="Times New Roman"/>
                      <w:b w:val="0"/>
                      <w:bCs/>
                      <w:color w:val="auto"/>
                      <w:sz w:val="21"/>
                      <w:szCs w:val="21"/>
                      <w:highlight w:val="none"/>
                    </w:rPr>
                    <w:t>mg/m</w:t>
                  </w:r>
                  <w:r>
                    <w:rPr>
                      <w:rFonts w:hint="default" w:ascii="Times New Roman" w:hAnsi="Times New Roman" w:eastAsia="宋体" w:cs="Times New Roman"/>
                      <w:b w:val="0"/>
                      <w:bCs/>
                      <w:color w:val="auto"/>
                      <w:sz w:val="21"/>
                      <w:szCs w:val="21"/>
                      <w:highlight w:val="none"/>
                      <w:vertAlign w:val="superscript"/>
                    </w:rPr>
                    <w:t>3</w:t>
                  </w:r>
                </w:p>
              </w:tc>
              <w:tc>
                <w:tcPr>
                  <w:tcW w:w="756" w:type="pct"/>
                  <w:noWrap w:val="0"/>
                  <w:vAlign w:val="center"/>
                </w:tcPr>
                <w:p w14:paraId="460A65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达标</w:t>
                  </w:r>
                </w:p>
              </w:tc>
              <w:tc>
                <w:tcPr>
                  <w:tcW w:w="1295" w:type="pct"/>
                  <w:vMerge w:val="continue"/>
                  <w:noWrap w:val="0"/>
                  <w:vAlign w:val="center"/>
                </w:tcPr>
                <w:p w14:paraId="29871F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rPr>
                  </w:pPr>
                </w:p>
              </w:tc>
            </w:tr>
          </w:tbl>
          <w:p w14:paraId="20B8FBA3">
            <w:pPr>
              <w:pStyle w:val="22"/>
              <w:keepNext w:val="0"/>
              <w:keepLines/>
              <w:pageBreakBefore w:val="0"/>
              <w:widowControl w:val="0"/>
              <w:kinsoku/>
              <w:wordWrap/>
              <w:overflowPunct/>
              <w:topLinePunct w:val="0"/>
              <w:autoSpaceDE w:val="0"/>
              <w:autoSpaceDN w:val="0"/>
              <w:bidi w:val="0"/>
              <w:adjustRightInd/>
              <w:snapToGrid w:val="0"/>
              <w:spacing w:line="360" w:lineRule="auto"/>
              <w:ind w:firstLine="480" w:firstLineChars="200"/>
              <w:jc w:val="left"/>
              <w:textAlignment w:val="auto"/>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kern w:val="0"/>
                <w:sz w:val="24"/>
                <w:szCs w:val="24"/>
                <w:lang w:val="en-US" w:eastAsia="zh-CN" w:bidi="ar"/>
              </w:rPr>
              <w:t>根据预测结果，本项目无组织NMHC</w:t>
            </w:r>
            <w:r>
              <w:rPr>
                <w:rFonts w:hint="eastAsia" w:ascii="Times New Roman" w:hAnsi="Times New Roman" w:cs="Times New Roman" w:eastAsiaTheme="minorEastAsia"/>
                <w:color w:val="auto"/>
                <w:kern w:val="0"/>
                <w:sz w:val="24"/>
                <w:szCs w:val="24"/>
                <w:lang w:val="en-US" w:eastAsia="zh-CN" w:bidi="ar"/>
              </w:rPr>
              <w:t>和颗粒物均</w:t>
            </w:r>
            <w:r>
              <w:rPr>
                <w:rFonts w:hint="default" w:ascii="Times New Roman" w:hAnsi="Times New Roman" w:cs="Times New Roman" w:eastAsiaTheme="minorEastAsia"/>
                <w:color w:val="auto"/>
                <w:kern w:val="0"/>
                <w:sz w:val="24"/>
                <w:szCs w:val="24"/>
                <w:lang w:val="en-US" w:eastAsia="zh-CN" w:bidi="ar"/>
              </w:rPr>
              <w:t>能满足GB31572-2015《合成树脂工业污染物排放标准》（含2024年修改单）表9标准，故本项目无组织废气对外环境影响较小。</w:t>
            </w:r>
          </w:p>
          <w:p w14:paraId="333E2AB6">
            <w:pPr>
              <w:pStyle w:val="22"/>
              <w:keepNext w:val="0"/>
              <w:keepLines/>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r>
              <w:rPr>
                <w:rFonts w:hint="eastAsia" w:ascii="Times New Roman" w:hAnsi="Times New Roman"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pacing w:val="-10"/>
                <w:sz w:val="24"/>
                <w:szCs w:val="24"/>
                <w:lang w:val="en-US" w:eastAsia="zh-CN"/>
              </w:rPr>
              <w:t>非正常排放影响分析</w:t>
            </w:r>
          </w:p>
          <w:p w14:paraId="17F07CC0">
            <w:pPr>
              <w:keepNext w:val="0"/>
              <w:keepLines/>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
                <w:color w:val="auto"/>
                <w:kern w:val="0"/>
                <w:sz w:val="24"/>
                <w:szCs w:val="24"/>
                <w:lang w:val="en-US" w:eastAsia="zh-CN"/>
              </w:rPr>
            </w:pPr>
            <w:r>
              <w:rPr>
                <w:rFonts w:hint="default" w:ascii="Times New Roman" w:hAnsi="Times New Roman" w:cs="Times New Roman" w:eastAsiaTheme="minorEastAsia"/>
                <w:color w:val="auto"/>
                <w:kern w:val="0"/>
                <w:sz w:val="24"/>
                <w:lang w:bidi="ar"/>
              </w:rPr>
              <w:t>根据项目污染物源强及治理措施情况，非正常工况主要考虑废气处理装置失效</w:t>
            </w:r>
            <w:r>
              <w:rPr>
                <w:rFonts w:hint="default" w:ascii="Times New Roman" w:hAnsi="Times New Roman" w:cs="Times New Roman" w:eastAsiaTheme="minorEastAsia"/>
                <w:color w:val="auto"/>
                <w:kern w:val="0"/>
                <w:sz w:val="24"/>
                <w:lang w:eastAsia="zh-CN" w:bidi="ar"/>
              </w:rPr>
              <w:t>，</w:t>
            </w:r>
            <w:r>
              <w:rPr>
                <w:rFonts w:hint="default" w:ascii="Times New Roman" w:hAnsi="Times New Roman" w:cs="Times New Roman" w:eastAsiaTheme="minorEastAsia"/>
                <w:color w:val="auto"/>
                <w:kern w:val="0"/>
                <w:sz w:val="24"/>
                <w:lang w:bidi="ar"/>
              </w:rPr>
              <w:t>导致</w:t>
            </w:r>
            <w:r>
              <w:rPr>
                <w:rFonts w:hint="default" w:ascii="Times New Roman" w:hAnsi="Times New Roman" w:cs="Times New Roman" w:eastAsiaTheme="minorEastAsia"/>
                <w:color w:val="auto"/>
                <w:kern w:val="0"/>
                <w:sz w:val="24"/>
                <w:lang w:val="en-US" w:eastAsia="zh-CN" w:bidi="ar"/>
              </w:rPr>
              <w:t>有机</w:t>
            </w:r>
            <w:r>
              <w:rPr>
                <w:rFonts w:hint="default" w:ascii="Times New Roman" w:hAnsi="Times New Roman" w:cs="Times New Roman" w:eastAsiaTheme="minorEastAsia"/>
                <w:color w:val="auto"/>
                <w:kern w:val="0"/>
                <w:sz w:val="24"/>
                <w:lang w:bidi="ar"/>
              </w:rPr>
              <w:t>废气处理效率</w:t>
            </w:r>
            <w:r>
              <w:rPr>
                <w:rFonts w:hint="default" w:ascii="Times New Roman" w:hAnsi="Times New Roman" w:cs="Times New Roman" w:eastAsiaTheme="minorEastAsia"/>
                <w:color w:val="auto"/>
                <w:kern w:val="0"/>
                <w:sz w:val="24"/>
                <w:lang w:val="en-US" w:eastAsia="zh-CN" w:bidi="ar"/>
              </w:rPr>
              <w:t>非甲烷总烃</w:t>
            </w:r>
            <w:r>
              <w:rPr>
                <w:rFonts w:hint="default" w:ascii="Times New Roman" w:hAnsi="Times New Roman" w:cs="Times New Roman" w:eastAsiaTheme="minorEastAsia"/>
                <w:color w:val="auto"/>
                <w:kern w:val="0"/>
                <w:sz w:val="24"/>
                <w:lang w:bidi="ar"/>
              </w:rPr>
              <w:t>处理效率</w:t>
            </w:r>
            <w:r>
              <w:rPr>
                <w:rFonts w:hint="default" w:ascii="Times New Roman" w:hAnsi="Times New Roman" w:cs="Times New Roman" w:eastAsiaTheme="minorEastAsia"/>
                <w:color w:val="auto"/>
                <w:kern w:val="0"/>
                <w:sz w:val="24"/>
                <w:lang w:eastAsia="zh-CN" w:bidi="ar"/>
              </w:rPr>
              <w:t>（</w:t>
            </w:r>
            <w:r>
              <w:rPr>
                <w:rFonts w:hint="default" w:ascii="Times New Roman" w:hAnsi="Times New Roman" w:cs="Times New Roman" w:eastAsiaTheme="minorEastAsia"/>
                <w:color w:val="auto"/>
                <w:kern w:val="0"/>
                <w:sz w:val="24"/>
                <w:lang w:val="en-US" w:eastAsia="zh-CN" w:bidi="ar"/>
              </w:rPr>
              <w:t>活性炭吸附装置</w:t>
            </w:r>
            <w:r>
              <w:rPr>
                <w:rFonts w:hint="default" w:ascii="Times New Roman" w:hAnsi="Times New Roman" w:cs="Times New Roman" w:eastAsiaTheme="minorEastAsia"/>
                <w:color w:val="auto"/>
                <w:kern w:val="0"/>
                <w:sz w:val="24"/>
                <w:lang w:eastAsia="zh-CN" w:bidi="ar"/>
              </w:rPr>
              <w:t>）</w:t>
            </w:r>
            <w:r>
              <w:rPr>
                <w:rFonts w:hint="default" w:ascii="Times New Roman" w:hAnsi="Times New Roman" w:cs="Times New Roman" w:eastAsiaTheme="minorEastAsia"/>
                <w:color w:val="auto"/>
                <w:kern w:val="0"/>
                <w:sz w:val="24"/>
                <w:lang w:bidi="ar"/>
              </w:rPr>
              <w:t>下降到</w:t>
            </w:r>
            <w:r>
              <w:rPr>
                <w:rFonts w:hint="default" w:ascii="Times New Roman" w:hAnsi="Times New Roman" w:cs="Times New Roman" w:eastAsiaTheme="minorEastAsia"/>
                <w:color w:val="auto"/>
                <w:kern w:val="0"/>
                <w:sz w:val="24"/>
                <w:lang w:val="en-US" w:eastAsia="zh-CN" w:bidi="ar"/>
              </w:rPr>
              <w:t>10</w:t>
            </w:r>
            <w:r>
              <w:rPr>
                <w:rFonts w:hint="default" w:ascii="Times New Roman" w:hAnsi="Times New Roman" w:cs="Times New Roman" w:eastAsiaTheme="minorEastAsia"/>
                <w:color w:val="auto"/>
                <w:kern w:val="0"/>
                <w:sz w:val="24"/>
                <w:lang w:bidi="ar"/>
              </w:rPr>
              <w:t>%</w:t>
            </w:r>
            <w:r>
              <w:rPr>
                <w:rFonts w:hint="default" w:ascii="Times New Roman" w:hAnsi="Times New Roman" w:cs="Times New Roman" w:eastAsiaTheme="minorEastAsia"/>
                <w:color w:val="auto"/>
                <w:kern w:val="0"/>
                <w:sz w:val="24"/>
                <w:lang w:eastAsia="zh-CN" w:bidi="ar"/>
              </w:rPr>
              <w:t>，</w:t>
            </w:r>
            <w:r>
              <w:rPr>
                <w:rFonts w:hint="eastAsia" w:cs="Times New Roman" w:eastAsiaTheme="minorEastAsia"/>
                <w:color w:val="auto"/>
                <w:kern w:val="0"/>
                <w:sz w:val="24"/>
                <w:lang w:val="en-US" w:eastAsia="zh-CN" w:bidi="ar"/>
              </w:rPr>
              <w:t>生物质蒸汽发生器</w:t>
            </w:r>
            <w:r>
              <w:rPr>
                <w:rFonts w:hint="default" w:ascii="Times New Roman" w:hAnsi="Times New Roman" w:cs="Times New Roman" w:eastAsiaTheme="minorEastAsia"/>
                <w:color w:val="auto"/>
                <w:kern w:val="0"/>
                <w:sz w:val="24"/>
                <w:lang w:val="en-US" w:eastAsia="zh-CN" w:bidi="ar"/>
              </w:rPr>
              <w:t>废气处理设施（</w:t>
            </w:r>
            <w:r>
              <w:rPr>
                <w:rFonts w:hint="eastAsia" w:cs="Times New Roman" w:eastAsiaTheme="minorEastAsia"/>
                <w:color w:val="auto"/>
                <w:kern w:val="0"/>
                <w:sz w:val="24"/>
                <w:lang w:val="en-US" w:eastAsia="zh-CN" w:bidi="ar"/>
              </w:rPr>
              <w:t>旋风除尘+布袋除尘</w:t>
            </w:r>
            <w:r>
              <w:rPr>
                <w:rFonts w:hint="default" w:ascii="Times New Roman" w:hAnsi="Times New Roman" w:cs="Times New Roman" w:eastAsiaTheme="minorEastAsia"/>
                <w:color w:val="auto"/>
                <w:kern w:val="0"/>
                <w:sz w:val="24"/>
                <w:lang w:val="en-US" w:eastAsia="zh-CN" w:bidi="ar"/>
              </w:rPr>
              <w:t>）除尘效率下降到10%，</w:t>
            </w:r>
            <w:r>
              <w:rPr>
                <w:rFonts w:hint="default" w:ascii="Times New Roman" w:hAnsi="Times New Roman" w:cs="Times New Roman" w:eastAsiaTheme="minorEastAsia"/>
                <w:color w:val="auto"/>
                <w:kern w:val="0"/>
                <w:sz w:val="24"/>
                <w:lang w:eastAsia="zh-CN" w:bidi="ar"/>
              </w:rPr>
              <w:t>主要考虑的污染因子为</w:t>
            </w:r>
            <w:r>
              <w:rPr>
                <w:rFonts w:hint="default" w:ascii="Times New Roman" w:hAnsi="Times New Roman" w:cs="Times New Roman" w:eastAsiaTheme="minorEastAsia"/>
                <w:color w:val="auto"/>
                <w:kern w:val="0"/>
                <w:sz w:val="24"/>
                <w:lang w:val="en-US" w:eastAsia="zh-CN" w:bidi="ar"/>
              </w:rPr>
              <w:t>非甲烷总烃和颗粒物</w:t>
            </w:r>
            <w:r>
              <w:rPr>
                <w:rFonts w:hint="default" w:ascii="Times New Roman" w:hAnsi="Times New Roman" w:cs="Times New Roman" w:eastAsiaTheme="minorEastAsia"/>
                <w:color w:val="auto"/>
                <w:kern w:val="0"/>
                <w:sz w:val="24"/>
                <w:lang w:bidi="ar"/>
              </w:rPr>
              <w:t>，</w:t>
            </w:r>
            <w:r>
              <w:rPr>
                <w:rFonts w:hint="default" w:ascii="Times New Roman" w:hAnsi="Times New Roman" w:cs="Times New Roman" w:eastAsiaTheme="minorEastAsia"/>
                <w:color w:val="auto"/>
                <w:kern w:val="0"/>
                <w:sz w:val="24"/>
                <w:szCs w:val="24"/>
                <w:lang w:val="en-US" w:eastAsia="zh-CN" w:bidi="ar"/>
              </w:rPr>
              <w:t>类比同类项目年发生频次小于1次/年，单次持续时间以1h计，非正常排放量核算见表 4-</w:t>
            </w:r>
            <w:r>
              <w:rPr>
                <w:rFonts w:hint="eastAsia" w:cs="Times New Roman" w:eastAsiaTheme="minorEastAsia"/>
                <w:color w:val="auto"/>
                <w:kern w:val="0"/>
                <w:sz w:val="24"/>
                <w:szCs w:val="24"/>
                <w:lang w:val="en-US" w:eastAsia="zh-CN" w:bidi="ar"/>
              </w:rPr>
              <w:t>9</w:t>
            </w:r>
            <w:r>
              <w:rPr>
                <w:rFonts w:hint="default" w:ascii="Times New Roman" w:hAnsi="Times New Roman" w:cs="Times New Roman" w:eastAsiaTheme="minorEastAsia"/>
                <w:color w:val="auto"/>
                <w:kern w:val="0"/>
                <w:sz w:val="24"/>
                <w:szCs w:val="24"/>
                <w:lang w:val="en-US" w:eastAsia="zh-CN" w:bidi="ar"/>
              </w:rPr>
              <w:t>。</w:t>
            </w:r>
          </w:p>
          <w:p w14:paraId="33546835">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表4-</w:t>
            </w:r>
            <w:r>
              <w:rPr>
                <w:rFonts w:hint="eastAsia" w:cs="Times New Roman"/>
                <w:b/>
                <w:color w:val="auto"/>
                <w:kern w:val="0"/>
                <w:sz w:val="24"/>
                <w:szCs w:val="24"/>
                <w:lang w:val="en-US" w:eastAsia="zh-CN"/>
              </w:rPr>
              <w:t>9</w:t>
            </w:r>
            <w:r>
              <w:rPr>
                <w:rFonts w:hint="eastAsia" w:ascii="Times New Roman" w:hAnsi="Times New Roman" w:eastAsia="宋体" w:cs="Times New Roman"/>
                <w:b/>
                <w:color w:val="auto"/>
                <w:kern w:val="0"/>
                <w:sz w:val="24"/>
                <w:szCs w:val="24"/>
                <w:lang w:val="en-US" w:eastAsia="zh-CN"/>
              </w:rPr>
              <w:t xml:space="preserve"> </w:t>
            </w:r>
            <w:r>
              <w:rPr>
                <w:rFonts w:hint="default" w:ascii="Times New Roman" w:hAnsi="Times New Roman" w:eastAsia="宋体" w:cs="Times New Roman"/>
                <w:b/>
                <w:color w:val="auto"/>
                <w:kern w:val="0"/>
                <w:sz w:val="24"/>
                <w:szCs w:val="24"/>
                <w:lang w:val="en-US" w:eastAsia="zh-CN"/>
              </w:rPr>
              <w:t>污染源非正常排放量核算表</w:t>
            </w:r>
          </w:p>
          <w:tbl>
            <w:tblPr>
              <w:tblStyle w:val="34"/>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664"/>
              <w:gridCol w:w="720"/>
              <w:gridCol w:w="1260"/>
              <w:gridCol w:w="604"/>
              <w:gridCol w:w="644"/>
              <w:gridCol w:w="780"/>
              <w:gridCol w:w="1128"/>
              <w:gridCol w:w="867"/>
              <w:gridCol w:w="701"/>
            </w:tblGrid>
            <w:tr w14:paraId="7B5D3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293" w:type="pct"/>
                  <w:vAlign w:val="center"/>
                </w:tcPr>
                <w:p w14:paraId="11348D4B">
                  <w:pPr>
                    <w:adjustRightInd w:val="0"/>
                    <w:spacing w:line="240" w:lineRule="auto"/>
                    <w:ind w:firstLine="0" w:firstLineChars="0"/>
                    <w:jc w:val="center"/>
                    <w:textAlignment w:val="baseline"/>
                    <w:rPr>
                      <w:rFonts w:cs="Times New Roman"/>
                      <w:b/>
                      <w:color w:val="auto"/>
                      <w:sz w:val="21"/>
                      <w:szCs w:val="21"/>
                    </w:rPr>
                  </w:pPr>
                  <w:r>
                    <w:rPr>
                      <w:rFonts w:cs="Times New Roman"/>
                      <w:b/>
                      <w:color w:val="auto"/>
                      <w:sz w:val="21"/>
                      <w:szCs w:val="21"/>
                    </w:rPr>
                    <w:t>序号</w:t>
                  </w:r>
                </w:p>
              </w:tc>
              <w:tc>
                <w:tcPr>
                  <w:tcW w:w="424" w:type="pct"/>
                  <w:vAlign w:val="center"/>
                </w:tcPr>
                <w:p w14:paraId="33F48D10">
                  <w:pPr>
                    <w:adjustRightInd w:val="0"/>
                    <w:spacing w:line="240" w:lineRule="auto"/>
                    <w:ind w:firstLine="0" w:firstLineChars="0"/>
                    <w:jc w:val="center"/>
                    <w:textAlignment w:val="baseline"/>
                    <w:rPr>
                      <w:rFonts w:cs="Times New Roman"/>
                      <w:b/>
                      <w:color w:val="auto"/>
                      <w:sz w:val="21"/>
                      <w:szCs w:val="21"/>
                    </w:rPr>
                  </w:pPr>
                  <w:r>
                    <w:rPr>
                      <w:rFonts w:cs="Times New Roman"/>
                      <w:b/>
                      <w:color w:val="auto"/>
                      <w:sz w:val="21"/>
                      <w:szCs w:val="21"/>
                    </w:rPr>
                    <w:t>非正常排放源</w:t>
                  </w:r>
                </w:p>
              </w:tc>
              <w:tc>
                <w:tcPr>
                  <w:tcW w:w="459" w:type="pct"/>
                  <w:vAlign w:val="center"/>
                </w:tcPr>
                <w:p w14:paraId="3D3D8B2C">
                  <w:pPr>
                    <w:adjustRightInd w:val="0"/>
                    <w:spacing w:line="240" w:lineRule="auto"/>
                    <w:ind w:firstLine="0" w:firstLineChars="0"/>
                    <w:jc w:val="center"/>
                    <w:textAlignment w:val="baseline"/>
                    <w:rPr>
                      <w:rFonts w:cs="Times New Roman"/>
                      <w:b/>
                      <w:color w:val="auto"/>
                      <w:sz w:val="21"/>
                      <w:szCs w:val="21"/>
                    </w:rPr>
                  </w:pPr>
                  <w:r>
                    <w:rPr>
                      <w:rFonts w:cs="Times New Roman"/>
                      <w:b/>
                      <w:color w:val="auto"/>
                      <w:sz w:val="21"/>
                      <w:szCs w:val="21"/>
                    </w:rPr>
                    <w:t>污染物</w:t>
                  </w:r>
                </w:p>
              </w:tc>
              <w:tc>
                <w:tcPr>
                  <w:tcW w:w="804" w:type="pct"/>
                  <w:vAlign w:val="center"/>
                </w:tcPr>
                <w:p w14:paraId="57DB642C">
                  <w:pPr>
                    <w:adjustRightInd w:val="0"/>
                    <w:spacing w:line="240" w:lineRule="auto"/>
                    <w:ind w:firstLine="0" w:firstLineChars="0"/>
                    <w:jc w:val="center"/>
                    <w:textAlignment w:val="baseline"/>
                    <w:rPr>
                      <w:rFonts w:cs="Times New Roman"/>
                      <w:b/>
                      <w:color w:val="auto"/>
                      <w:sz w:val="21"/>
                      <w:szCs w:val="21"/>
                    </w:rPr>
                  </w:pPr>
                  <w:r>
                    <w:rPr>
                      <w:rFonts w:cs="Times New Roman"/>
                      <w:b/>
                      <w:color w:val="auto"/>
                      <w:sz w:val="21"/>
                      <w:szCs w:val="21"/>
                    </w:rPr>
                    <w:t>非正常排放原因</w:t>
                  </w:r>
                </w:p>
              </w:tc>
              <w:tc>
                <w:tcPr>
                  <w:tcW w:w="385" w:type="pct"/>
                  <w:vAlign w:val="center"/>
                </w:tcPr>
                <w:p w14:paraId="47466B3B">
                  <w:pPr>
                    <w:adjustRightInd w:val="0"/>
                    <w:spacing w:line="240" w:lineRule="auto"/>
                    <w:ind w:firstLine="0" w:firstLineChars="0"/>
                    <w:jc w:val="center"/>
                    <w:textAlignment w:val="baseline"/>
                    <w:rPr>
                      <w:rFonts w:hint="eastAsia" w:eastAsia="宋体" w:cs="Times New Roman"/>
                      <w:b/>
                      <w:color w:val="auto"/>
                      <w:sz w:val="21"/>
                      <w:szCs w:val="21"/>
                      <w:lang w:val="en-US" w:eastAsia="zh-CN"/>
                    </w:rPr>
                  </w:pPr>
                  <w:r>
                    <w:rPr>
                      <w:rFonts w:hint="eastAsia" w:cs="Times New Roman"/>
                      <w:b/>
                      <w:color w:val="auto"/>
                      <w:sz w:val="21"/>
                      <w:szCs w:val="21"/>
                      <w:lang w:val="en-US" w:eastAsia="zh-CN"/>
                    </w:rPr>
                    <w:t>频次</w:t>
                  </w:r>
                </w:p>
              </w:tc>
              <w:tc>
                <w:tcPr>
                  <w:tcW w:w="411" w:type="pct"/>
                  <w:vAlign w:val="center"/>
                </w:tcPr>
                <w:p w14:paraId="5843E173">
                  <w:pPr>
                    <w:adjustRightInd w:val="0"/>
                    <w:spacing w:line="240" w:lineRule="auto"/>
                    <w:ind w:firstLine="0" w:firstLineChars="0"/>
                    <w:jc w:val="center"/>
                    <w:textAlignment w:val="baseline"/>
                    <w:rPr>
                      <w:rFonts w:hint="default" w:eastAsia="宋体" w:cs="Times New Roman"/>
                      <w:b/>
                      <w:color w:val="auto"/>
                      <w:sz w:val="21"/>
                      <w:szCs w:val="21"/>
                      <w:lang w:val="en-US" w:eastAsia="zh-CN"/>
                    </w:rPr>
                  </w:pPr>
                  <w:r>
                    <w:rPr>
                      <w:rFonts w:hint="eastAsia" w:cs="Times New Roman"/>
                      <w:b/>
                      <w:color w:val="auto"/>
                      <w:sz w:val="21"/>
                      <w:szCs w:val="21"/>
                      <w:lang w:val="en-US" w:eastAsia="zh-CN"/>
                    </w:rPr>
                    <w:t>持续时间</w:t>
                  </w:r>
                </w:p>
              </w:tc>
              <w:tc>
                <w:tcPr>
                  <w:tcW w:w="498" w:type="pct"/>
                  <w:vAlign w:val="center"/>
                </w:tcPr>
                <w:p w14:paraId="0FFA20F9">
                  <w:pPr>
                    <w:adjustRightInd w:val="0"/>
                    <w:spacing w:line="240" w:lineRule="auto"/>
                    <w:ind w:firstLine="0" w:firstLineChars="0"/>
                    <w:jc w:val="center"/>
                    <w:textAlignment w:val="baseline"/>
                    <w:rPr>
                      <w:rFonts w:hint="default" w:eastAsia="宋体" w:cs="Times New Roman"/>
                      <w:b/>
                      <w:color w:val="auto"/>
                      <w:sz w:val="21"/>
                      <w:szCs w:val="21"/>
                      <w:lang w:val="en-US" w:eastAsia="zh-CN"/>
                    </w:rPr>
                  </w:pPr>
                  <w:r>
                    <w:rPr>
                      <w:rFonts w:hint="eastAsia" w:cs="Times New Roman"/>
                      <w:b/>
                      <w:color w:val="auto"/>
                      <w:sz w:val="21"/>
                      <w:szCs w:val="21"/>
                      <w:lang w:val="en-US" w:eastAsia="zh-CN"/>
                    </w:rPr>
                    <w:t>排放量（kg）</w:t>
                  </w:r>
                </w:p>
              </w:tc>
              <w:tc>
                <w:tcPr>
                  <w:tcW w:w="720" w:type="pct"/>
                  <w:vAlign w:val="center"/>
                </w:tcPr>
                <w:p w14:paraId="69DD54F1">
                  <w:pPr>
                    <w:adjustRightInd w:val="0"/>
                    <w:spacing w:line="240" w:lineRule="auto"/>
                    <w:ind w:firstLine="0" w:firstLineChars="0"/>
                    <w:jc w:val="center"/>
                    <w:textAlignment w:val="baseline"/>
                    <w:rPr>
                      <w:rFonts w:cs="Times New Roman"/>
                      <w:b/>
                      <w:color w:val="auto"/>
                      <w:sz w:val="21"/>
                      <w:szCs w:val="21"/>
                    </w:rPr>
                  </w:pPr>
                  <w:r>
                    <w:rPr>
                      <w:rFonts w:cs="Times New Roman"/>
                      <w:b/>
                      <w:color w:val="auto"/>
                      <w:sz w:val="21"/>
                      <w:szCs w:val="21"/>
                    </w:rPr>
                    <w:t>非正常排放浓度(mg/m</w:t>
                  </w:r>
                  <w:r>
                    <w:rPr>
                      <w:rFonts w:cs="Times New Roman"/>
                      <w:b/>
                      <w:color w:val="auto"/>
                      <w:sz w:val="21"/>
                      <w:szCs w:val="21"/>
                      <w:vertAlign w:val="superscript"/>
                    </w:rPr>
                    <w:t>3</w:t>
                  </w:r>
                  <w:r>
                    <w:rPr>
                      <w:rFonts w:cs="Times New Roman"/>
                      <w:b/>
                      <w:color w:val="auto"/>
                      <w:sz w:val="21"/>
                      <w:szCs w:val="21"/>
                    </w:rPr>
                    <w:t>)</w:t>
                  </w:r>
                </w:p>
              </w:tc>
              <w:tc>
                <w:tcPr>
                  <w:tcW w:w="553" w:type="pct"/>
                  <w:vAlign w:val="center"/>
                </w:tcPr>
                <w:p w14:paraId="6CCC84AD">
                  <w:pPr>
                    <w:adjustRightInd w:val="0"/>
                    <w:spacing w:line="240" w:lineRule="auto"/>
                    <w:ind w:firstLine="0" w:firstLineChars="0"/>
                    <w:jc w:val="center"/>
                    <w:textAlignment w:val="baseline"/>
                    <w:rPr>
                      <w:rFonts w:cs="Times New Roman"/>
                      <w:b/>
                      <w:color w:val="auto"/>
                      <w:sz w:val="21"/>
                      <w:szCs w:val="21"/>
                    </w:rPr>
                  </w:pPr>
                  <w:r>
                    <w:rPr>
                      <w:rFonts w:cs="Times New Roman"/>
                      <w:b/>
                      <w:color w:val="auto"/>
                      <w:sz w:val="21"/>
                      <w:szCs w:val="21"/>
                    </w:rPr>
                    <w:t>标准限值浓度mg/m</w:t>
                  </w:r>
                  <w:r>
                    <w:rPr>
                      <w:rFonts w:cs="Times New Roman"/>
                      <w:b/>
                      <w:color w:val="auto"/>
                      <w:sz w:val="21"/>
                      <w:szCs w:val="21"/>
                      <w:vertAlign w:val="superscript"/>
                    </w:rPr>
                    <w:t>3</w:t>
                  </w:r>
                </w:p>
              </w:tc>
              <w:tc>
                <w:tcPr>
                  <w:tcW w:w="447" w:type="pct"/>
                  <w:vAlign w:val="center"/>
                </w:tcPr>
                <w:p w14:paraId="122DE129">
                  <w:pPr>
                    <w:adjustRightInd w:val="0"/>
                    <w:spacing w:line="240" w:lineRule="auto"/>
                    <w:ind w:firstLine="0" w:firstLineChars="0"/>
                    <w:jc w:val="center"/>
                    <w:textAlignment w:val="baseline"/>
                    <w:rPr>
                      <w:rFonts w:cs="Times New Roman"/>
                      <w:b/>
                      <w:color w:val="auto"/>
                      <w:sz w:val="21"/>
                      <w:szCs w:val="21"/>
                    </w:rPr>
                  </w:pPr>
                  <w:r>
                    <w:rPr>
                      <w:rFonts w:cs="Times New Roman"/>
                      <w:b/>
                      <w:color w:val="auto"/>
                      <w:sz w:val="21"/>
                      <w:szCs w:val="21"/>
                    </w:rPr>
                    <w:t>达标情况</w:t>
                  </w:r>
                </w:p>
              </w:tc>
            </w:tr>
            <w:tr w14:paraId="4C6A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93" w:type="pct"/>
                  <w:vAlign w:val="center"/>
                </w:tcPr>
                <w:p w14:paraId="15AE0A0F">
                  <w:pPr>
                    <w:adjustRightInd w:val="0"/>
                    <w:spacing w:line="240" w:lineRule="auto"/>
                    <w:ind w:firstLine="0" w:firstLineChars="0"/>
                    <w:jc w:val="center"/>
                    <w:textAlignment w:val="baseline"/>
                    <w:rPr>
                      <w:rFonts w:cs="Times New Roman"/>
                      <w:bCs/>
                      <w:color w:val="auto"/>
                      <w:sz w:val="21"/>
                      <w:szCs w:val="21"/>
                    </w:rPr>
                  </w:pPr>
                  <w:r>
                    <w:rPr>
                      <w:rFonts w:cs="Times New Roman"/>
                      <w:bCs/>
                      <w:color w:val="auto"/>
                      <w:sz w:val="21"/>
                      <w:szCs w:val="21"/>
                    </w:rPr>
                    <w:t>1</w:t>
                  </w:r>
                </w:p>
              </w:tc>
              <w:tc>
                <w:tcPr>
                  <w:tcW w:w="424" w:type="pct"/>
                  <w:vAlign w:val="center"/>
                </w:tcPr>
                <w:p w14:paraId="6324B969">
                  <w:pPr>
                    <w:adjustRightInd w:val="0"/>
                    <w:spacing w:line="240" w:lineRule="auto"/>
                    <w:ind w:firstLine="0" w:firstLineChars="0"/>
                    <w:jc w:val="center"/>
                    <w:textAlignment w:val="baseline"/>
                    <w:rPr>
                      <w:rFonts w:cs="Times New Roman"/>
                      <w:bCs/>
                      <w:color w:val="auto"/>
                      <w:sz w:val="21"/>
                      <w:szCs w:val="21"/>
                    </w:rPr>
                  </w:pPr>
                  <w:r>
                    <w:rPr>
                      <w:rFonts w:cs="Times New Roman"/>
                      <w:bCs/>
                      <w:color w:val="auto"/>
                      <w:sz w:val="21"/>
                      <w:szCs w:val="21"/>
                    </w:rPr>
                    <w:t>DA001</w:t>
                  </w:r>
                </w:p>
              </w:tc>
              <w:tc>
                <w:tcPr>
                  <w:tcW w:w="459" w:type="pct"/>
                  <w:vAlign w:val="center"/>
                </w:tcPr>
                <w:p w14:paraId="02680CAB">
                  <w:pPr>
                    <w:adjustRightInd w:val="0"/>
                    <w:spacing w:line="240" w:lineRule="auto"/>
                    <w:ind w:firstLine="0" w:firstLineChars="0"/>
                    <w:jc w:val="center"/>
                    <w:textAlignment w:val="baseline"/>
                    <w:rPr>
                      <w:rFonts w:cs="Times New Roman"/>
                      <w:bCs/>
                      <w:color w:val="auto"/>
                      <w:sz w:val="21"/>
                      <w:szCs w:val="21"/>
                    </w:rPr>
                  </w:pPr>
                  <w:r>
                    <w:rPr>
                      <w:rFonts w:cs="Times New Roman"/>
                      <w:bCs/>
                      <w:color w:val="auto"/>
                      <w:sz w:val="21"/>
                      <w:szCs w:val="21"/>
                    </w:rPr>
                    <w:t>非甲烷总烃</w:t>
                  </w:r>
                </w:p>
              </w:tc>
              <w:tc>
                <w:tcPr>
                  <w:tcW w:w="804" w:type="pct"/>
                  <w:vAlign w:val="center"/>
                </w:tcPr>
                <w:p w14:paraId="72BEA4E4">
                  <w:pPr>
                    <w:adjustRightInd w:val="0"/>
                    <w:spacing w:line="240" w:lineRule="auto"/>
                    <w:ind w:firstLine="0" w:firstLineChars="0"/>
                    <w:jc w:val="center"/>
                    <w:textAlignment w:val="baseline"/>
                    <w:rPr>
                      <w:rFonts w:cs="Times New Roman"/>
                      <w:bCs/>
                      <w:color w:val="auto"/>
                      <w:sz w:val="21"/>
                      <w:szCs w:val="21"/>
                    </w:rPr>
                  </w:pPr>
                  <w:r>
                    <w:rPr>
                      <w:rFonts w:cs="Times New Roman"/>
                      <w:bCs/>
                      <w:color w:val="auto"/>
                      <w:sz w:val="21"/>
                      <w:szCs w:val="21"/>
                    </w:rPr>
                    <w:t>污染防治设施故障（非甲烷总烃效率按10%计）</w:t>
                  </w:r>
                </w:p>
              </w:tc>
              <w:tc>
                <w:tcPr>
                  <w:tcW w:w="385" w:type="pct"/>
                  <w:vAlign w:val="center"/>
                </w:tcPr>
                <w:p w14:paraId="35B375E9">
                  <w:pPr>
                    <w:adjustRightInd w:val="0"/>
                    <w:spacing w:line="240" w:lineRule="auto"/>
                    <w:ind w:firstLine="0" w:firstLineChars="0"/>
                    <w:jc w:val="center"/>
                    <w:textAlignment w:val="baseline"/>
                    <w:rPr>
                      <w:rFonts w:cs="Times New Roman"/>
                      <w:bCs/>
                      <w:color w:val="auto"/>
                      <w:sz w:val="21"/>
                      <w:szCs w:val="21"/>
                    </w:rPr>
                  </w:pPr>
                  <w:r>
                    <w:rPr>
                      <w:rFonts w:hint="default" w:cs="Times New Roman"/>
                      <w:bCs/>
                      <w:color w:val="auto"/>
                      <w:sz w:val="21"/>
                      <w:szCs w:val="21"/>
                      <w:lang w:val="en-US" w:eastAsia="zh-CN"/>
                    </w:rPr>
                    <w:t>1次/年</w:t>
                  </w:r>
                </w:p>
              </w:tc>
              <w:tc>
                <w:tcPr>
                  <w:tcW w:w="411" w:type="pct"/>
                  <w:vAlign w:val="center"/>
                </w:tcPr>
                <w:p w14:paraId="4CADAE38">
                  <w:pPr>
                    <w:adjustRightInd w:val="0"/>
                    <w:spacing w:line="240" w:lineRule="auto"/>
                    <w:ind w:firstLine="0" w:firstLineChars="0"/>
                    <w:jc w:val="center"/>
                    <w:textAlignment w:val="baseline"/>
                    <w:rPr>
                      <w:rFonts w:hint="default" w:cs="Times New Roman"/>
                      <w:bCs/>
                      <w:color w:val="auto"/>
                      <w:sz w:val="21"/>
                      <w:szCs w:val="21"/>
                      <w:lang w:val="en-US" w:eastAsia="zh-CN"/>
                    </w:rPr>
                  </w:pPr>
                  <w:r>
                    <w:rPr>
                      <w:rFonts w:hint="eastAsia" w:cs="Times New Roman"/>
                      <w:bCs/>
                      <w:color w:val="auto"/>
                      <w:sz w:val="21"/>
                      <w:szCs w:val="21"/>
                      <w:lang w:val="en-US" w:eastAsia="zh-CN"/>
                    </w:rPr>
                    <w:t>1h</w:t>
                  </w:r>
                </w:p>
              </w:tc>
              <w:tc>
                <w:tcPr>
                  <w:tcW w:w="498" w:type="pct"/>
                  <w:vAlign w:val="center"/>
                </w:tcPr>
                <w:p w14:paraId="67BEF4A7">
                  <w:pPr>
                    <w:adjustRightInd w:val="0"/>
                    <w:spacing w:line="240" w:lineRule="auto"/>
                    <w:ind w:firstLine="0" w:firstLineChars="0"/>
                    <w:jc w:val="center"/>
                    <w:textAlignment w:val="baseline"/>
                    <w:rPr>
                      <w:rFonts w:hint="default" w:cs="Times New Roman"/>
                      <w:bCs/>
                      <w:color w:val="auto"/>
                      <w:sz w:val="21"/>
                      <w:szCs w:val="21"/>
                      <w:lang w:val="en-US" w:eastAsia="zh-CN"/>
                    </w:rPr>
                  </w:pPr>
                  <w:r>
                    <w:rPr>
                      <w:rFonts w:hint="eastAsia" w:cs="Times New Roman"/>
                      <w:bCs/>
                      <w:color w:val="auto"/>
                      <w:sz w:val="21"/>
                      <w:szCs w:val="21"/>
                      <w:lang w:val="en-US" w:eastAsia="zh-CN"/>
                    </w:rPr>
                    <w:t>0.045</w:t>
                  </w:r>
                </w:p>
              </w:tc>
              <w:tc>
                <w:tcPr>
                  <w:tcW w:w="720" w:type="pct"/>
                  <w:vAlign w:val="center"/>
                </w:tcPr>
                <w:p w14:paraId="49E8C234">
                  <w:pPr>
                    <w:adjustRightInd w:val="0"/>
                    <w:spacing w:line="240" w:lineRule="auto"/>
                    <w:ind w:firstLine="0" w:firstLineChars="0"/>
                    <w:jc w:val="center"/>
                    <w:textAlignment w:val="baseline"/>
                    <w:rPr>
                      <w:rFonts w:hint="default" w:eastAsia="宋体" w:cs="Times New Roman"/>
                      <w:bCs/>
                      <w:color w:val="auto"/>
                      <w:sz w:val="21"/>
                      <w:szCs w:val="21"/>
                      <w:lang w:val="en-US" w:eastAsia="zh-CN"/>
                    </w:rPr>
                  </w:pPr>
                  <w:r>
                    <w:rPr>
                      <w:rFonts w:hint="eastAsia" w:cs="Times New Roman"/>
                      <w:bCs/>
                      <w:color w:val="auto"/>
                      <w:sz w:val="21"/>
                      <w:szCs w:val="21"/>
                      <w:lang w:val="en-US" w:eastAsia="zh-CN"/>
                    </w:rPr>
                    <w:t>4.5</w:t>
                  </w:r>
                </w:p>
              </w:tc>
              <w:tc>
                <w:tcPr>
                  <w:tcW w:w="553" w:type="pct"/>
                  <w:vAlign w:val="center"/>
                </w:tcPr>
                <w:p w14:paraId="26E1EAC9">
                  <w:pPr>
                    <w:adjustRightInd w:val="0"/>
                    <w:spacing w:line="240" w:lineRule="auto"/>
                    <w:ind w:firstLine="0" w:firstLineChars="0"/>
                    <w:jc w:val="center"/>
                    <w:textAlignment w:val="baseline"/>
                    <w:rPr>
                      <w:rFonts w:cs="Times New Roman"/>
                      <w:bCs/>
                      <w:color w:val="auto"/>
                      <w:sz w:val="21"/>
                      <w:szCs w:val="21"/>
                    </w:rPr>
                  </w:pPr>
                  <w:r>
                    <w:rPr>
                      <w:rFonts w:cs="Times New Roman"/>
                      <w:bCs/>
                      <w:color w:val="auto"/>
                      <w:sz w:val="21"/>
                      <w:szCs w:val="21"/>
                    </w:rPr>
                    <w:t>1</w:t>
                  </w:r>
                  <w:r>
                    <w:rPr>
                      <w:rFonts w:hint="eastAsia" w:cs="Times New Roman"/>
                      <w:bCs/>
                      <w:color w:val="auto"/>
                      <w:sz w:val="21"/>
                      <w:szCs w:val="21"/>
                      <w:lang w:val="en-US" w:eastAsia="zh-CN"/>
                    </w:rPr>
                    <w:t>0</w:t>
                  </w:r>
                  <w:r>
                    <w:rPr>
                      <w:rFonts w:cs="Times New Roman"/>
                      <w:bCs/>
                      <w:color w:val="auto"/>
                      <w:sz w:val="21"/>
                      <w:szCs w:val="21"/>
                    </w:rPr>
                    <w:t>0</w:t>
                  </w:r>
                </w:p>
              </w:tc>
              <w:tc>
                <w:tcPr>
                  <w:tcW w:w="447" w:type="pct"/>
                  <w:vAlign w:val="center"/>
                </w:tcPr>
                <w:p w14:paraId="7490B2A4">
                  <w:pPr>
                    <w:adjustRightInd w:val="0"/>
                    <w:spacing w:line="240" w:lineRule="auto"/>
                    <w:ind w:firstLine="0" w:firstLineChars="0"/>
                    <w:jc w:val="center"/>
                    <w:textAlignment w:val="baseline"/>
                    <w:rPr>
                      <w:rFonts w:hint="eastAsia" w:eastAsia="宋体" w:cs="Times New Roman"/>
                      <w:b/>
                      <w:color w:val="auto"/>
                      <w:sz w:val="21"/>
                      <w:szCs w:val="21"/>
                      <w:lang w:eastAsia="zh-CN"/>
                    </w:rPr>
                  </w:pPr>
                  <w:r>
                    <w:rPr>
                      <w:rFonts w:hint="eastAsia" w:cs="Times New Roman"/>
                      <w:b/>
                      <w:color w:val="auto"/>
                      <w:sz w:val="21"/>
                      <w:szCs w:val="21"/>
                      <w:lang w:val="en-US" w:eastAsia="zh-CN"/>
                    </w:rPr>
                    <w:t>达标</w:t>
                  </w:r>
                </w:p>
              </w:tc>
            </w:tr>
            <w:tr w14:paraId="38E6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293" w:type="pct"/>
                  <w:vAlign w:val="center"/>
                </w:tcPr>
                <w:p w14:paraId="4311400A">
                  <w:pPr>
                    <w:adjustRightInd w:val="0"/>
                    <w:spacing w:line="240" w:lineRule="auto"/>
                    <w:ind w:firstLine="0" w:firstLineChars="0"/>
                    <w:jc w:val="center"/>
                    <w:textAlignment w:val="baseline"/>
                    <w:rPr>
                      <w:rFonts w:hint="eastAsia" w:eastAsia="宋体" w:cs="Times New Roman"/>
                      <w:bCs/>
                      <w:color w:val="auto"/>
                      <w:sz w:val="21"/>
                      <w:szCs w:val="21"/>
                      <w:lang w:val="en-US" w:eastAsia="zh-CN"/>
                    </w:rPr>
                  </w:pPr>
                  <w:r>
                    <w:rPr>
                      <w:rFonts w:hint="eastAsia" w:cs="Times New Roman"/>
                      <w:bCs/>
                      <w:color w:val="auto"/>
                      <w:sz w:val="21"/>
                      <w:szCs w:val="21"/>
                      <w:lang w:val="en-US" w:eastAsia="zh-CN"/>
                    </w:rPr>
                    <w:t>2</w:t>
                  </w:r>
                </w:p>
              </w:tc>
              <w:tc>
                <w:tcPr>
                  <w:tcW w:w="424" w:type="pct"/>
                  <w:vAlign w:val="center"/>
                </w:tcPr>
                <w:p w14:paraId="07B67E6F">
                  <w:pPr>
                    <w:adjustRightInd w:val="0"/>
                    <w:spacing w:line="240" w:lineRule="auto"/>
                    <w:ind w:firstLine="0" w:firstLineChars="0"/>
                    <w:jc w:val="center"/>
                    <w:textAlignment w:val="baseline"/>
                    <w:rPr>
                      <w:rFonts w:hint="default" w:eastAsia="宋体" w:cs="Times New Roman"/>
                      <w:bCs/>
                      <w:color w:val="auto"/>
                      <w:sz w:val="21"/>
                      <w:szCs w:val="21"/>
                      <w:lang w:val="en-US" w:eastAsia="zh-CN"/>
                    </w:rPr>
                  </w:pPr>
                  <w:r>
                    <w:rPr>
                      <w:rFonts w:hint="eastAsia" w:cs="Times New Roman"/>
                      <w:bCs/>
                      <w:color w:val="auto"/>
                      <w:sz w:val="21"/>
                      <w:szCs w:val="21"/>
                      <w:lang w:val="en-US" w:eastAsia="zh-CN"/>
                    </w:rPr>
                    <w:t>DA002</w:t>
                  </w:r>
                </w:p>
              </w:tc>
              <w:tc>
                <w:tcPr>
                  <w:tcW w:w="459" w:type="pct"/>
                  <w:vAlign w:val="center"/>
                </w:tcPr>
                <w:p w14:paraId="430AC77D">
                  <w:pPr>
                    <w:adjustRightInd w:val="0"/>
                    <w:spacing w:line="240" w:lineRule="auto"/>
                    <w:ind w:firstLine="0" w:firstLineChars="0"/>
                    <w:jc w:val="center"/>
                    <w:textAlignment w:val="baseline"/>
                    <w:rPr>
                      <w:rFonts w:hint="eastAsia" w:eastAsia="宋体" w:cs="Times New Roman"/>
                      <w:bCs/>
                      <w:color w:val="auto"/>
                      <w:sz w:val="21"/>
                      <w:szCs w:val="21"/>
                      <w:lang w:val="en-US" w:eastAsia="zh-CN"/>
                    </w:rPr>
                  </w:pPr>
                  <w:r>
                    <w:rPr>
                      <w:rFonts w:hint="eastAsia" w:cs="Times New Roman"/>
                      <w:bCs/>
                      <w:color w:val="auto"/>
                      <w:sz w:val="21"/>
                      <w:szCs w:val="21"/>
                      <w:lang w:val="en-US" w:eastAsia="zh-CN"/>
                    </w:rPr>
                    <w:t>颗粒物</w:t>
                  </w:r>
                </w:p>
              </w:tc>
              <w:tc>
                <w:tcPr>
                  <w:tcW w:w="804" w:type="pct"/>
                  <w:vAlign w:val="center"/>
                </w:tcPr>
                <w:p w14:paraId="0F9801D9">
                  <w:pPr>
                    <w:adjustRightInd w:val="0"/>
                    <w:spacing w:line="240" w:lineRule="auto"/>
                    <w:ind w:firstLine="0" w:firstLineChars="0"/>
                    <w:jc w:val="center"/>
                    <w:textAlignment w:val="baseline"/>
                    <w:rPr>
                      <w:rFonts w:cs="Times New Roman"/>
                      <w:bCs/>
                      <w:color w:val="auto"/>
                      <w:sz w:val="21"/>
                      <w:szCs w:val="21"/>
                    </w:rPr>
                  </w:pPr>
                  <w:r>
                    <w:rPr>
                      <w:rFonts w:cs="Times New Roman"/>
                      <w:bCs/>
                      <w:color w:val="auto"/>
                      <w:sz w:val="21"/>
                      <w:szCs w:val="21"/>
                    </w:rPr>
                    <w:t>污染防治设施故障（</w:t>
                  </w:r>
                  <w:r>
                    <w:rPr>
                      <w:rFonts w:hint="eastAsia" w:cs="Times New Roman"/>
                      <w:bCs/>
                      <w:color w:val="auto"/>
                      <w:sz w:val="21"/>
                      <w:szCs w:val="21"/>
                      <w:lang w:val="en-US" w:eastAsia="zh-CN"/>
                    </w:rPr>
                    <w:t>颗粒物</w:t>
                  </w:r>
                  <w:r>
                    <w:rPr>
                      <w:rFonts w:cs="Times New Roman"/>
                      <w:bCs/>
                      <w:color w:val="auto"/>
                      <w:sz w:val="21"/>
                      <w:szCs w:val="21"/>
                    </w:rPr>
                    <w:t>效率按</w:t>
                  </w:r>
                  <w:r>
                    <w:rPr>
                      <w:rFonts w:hint="eastAsia" w:cs="Times New Roman"/>
                      <w:bCs/>
                      <w:color w:val="auto"/>
                      <w:sz w:val="21"/>
                      <w:szCs w:val="21"/>
                      <w:lang w:val="en-US" w:eastAsia="zh-CN"/>
                    </w:rPr>
                    <w:t>1</w:t>
                  </w:r>
                  <w:r>
                    <w:rPr>
                      <w:rFonts w:cs="Times New Roman"/>
                      <w:bCs/>
                      <w:color w:val="auto"/>
                      <w:sz w:val="21"/>
                      <w:szCs w:val="21"/>
                    </w:rPr>
                    <w:t>0%计）</w:t>
                  </w:r>
                </w:p>
              </w:tc>
              <w:tc>
                <w:tcPr>
                  <w:tcW w:w="385" w:type="pct"/>
                  <w:shd w:val="clear" w:color="auto" w:fill="auto"/>
                  <w:vAlign w:val="center"/>
                </w:tcPr>
                <w:p w14:paraId="2EB5900B">
                  <w:pPr>
                    <w:adjustRightInd w:val="0"/>
                    <w:spacing w:line="240" w:lineRule="auto"/>
                    <w:ind w:firstLine="0" w:firstLineChars="0"/>
                    <w:jc w:val="center"/>
                    <w:textAlignment w:val="baseline"/>
                    <w:rPr>
                      <w:rFonts w:hint="default" w:ascii="Times New Roman" w:hAnsi="Times New Roman" w:eastAsia="宋体" w:cs="Times New Roman"/>
                      <w:bCs/>
                      <w:color w:val="auto"/>
                      <w:kern w:val="2"/>
                      <w:sz w:val="21"/>
                      <w:szCs w:val="21"/>
                      <w:lang w:val="en-US" w:eastAsia="zh-CN" w:bidi="ar-SA"/>
                    </w:rPr>
                  </w:pPr>
                  <w:r>
                    <w:rPr>
                      <w:rFonts w:hint="default" w:cs="Times New Roman"/>
                      <w:bCs/>
                      <w:color w:val="auto"/>
                      <w:sz w:val="21"/>
                      <w:szCs w:val="21"/>
                      <w:lang w:val="en-US" w:eastAsia="zh-CN"/>
                    </w:rPr>
                    <w:t>1次/年</w:t>
                  </w:r>
                </w:p>
              </w:tc>
              <w:tc>
                <w:tcPr>
                  <w:tcW w:w="411" w:type="pct"/>
                  <w:shd w:val="clear" w:color="auto" w:fill="auto"/>
                  <w:vAlign w:val="center"/>
                </w:tcPr>
                <w:p w14:paraId="309EAD7F">
                  <w:pPr>
                    <w:adjustRightInd w:val="0"/>
                    <w:spacing w:line="240" w:lineRule="auto"/>
                    <w:ind w:firstLine="0" w:firstLineChars="0"/>
                    <w:jc w:val="center"/>
                    <w:textAlignment w:val="baseline"/>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1h</w:t>
                  </w:r>
                </w:p>
              </w:tc>
              <w:tc>
                <w:tcPr>
                  <w:tcW w:w="498" w:type="pct"/>
                  <w:vAlign w:val="center"/>
                </w:tcPr>
                <w:p w14:paraId="5429A94D">
                  <w:pPr>
                    <w:adjustRightInd w:val="0"/>
                    <w:spacing w:line="240" w:lineRule="auto"/>
                    <w:ind w:firstLine="0" w:firstLineChars="0"/>
                    <w:jc w:val="center"/>
                    <w:textAlignment w:val="baseline"/>
                    <w:rPr>
                      <w:rFonts w:hint="default" w:cs="Times New Roman"/>
                      <w:bCs/>
                      <w:color w:val="auto"/>
                      <w:sz w:val="21"/>
                      <w:szCs w:val="21"/>
                      <w:lang w:val="en-US" w:eastAsia="zh-CN"/>
                    </w:rPr>
                  </w:pPr>
                  <w:r>
                    <w:rPr>
                      <w:rFonts w:hint="eastAsia" w:cs="Times New Roman"/>
                      <w:bCs/>
                      <w:color w:val="auto"/>
                      <w:sz w:val="21"/>
                      <w:szCs w:val="21"/>
                      <w:lang w:val="en-US" w:eastAsia="zh-CN"/>
                    </w:rPr>
                    <w:t>23.5</w:t>
                  </w:r>
                </w:p>
              </w:tc>
              <w:tc>
                <w:tcPr>
                  <w:tcW w:w="720" w:type="pct"/>
                  <w:vAlign w:val="center"/>
                </w:tcPr>
                <w:p w14:paraId="7C09EA88">
                  <w:pPr>
                    <w:adjustRightInd w:val="0"/>
                    <w:spacing w:line="240" w:lineRule="auto"/>
                    <w:ind w:firstLine="0" w:firstLineChars="0"/>
                    <w:jc w:val="center"/>
                    <w:textAlignment w:val="baseline"/>
                    <w:rPr>
                      <w:rFonts w:hint="default" w:cs="Times New Roman"/>
                      <w:bCs/>
                      <w:color w:val="auto"/>
                      <w:sz w:val="21"/>
                      <w:szCs w:val="21"/>
                      <w:lang w:val="en-US" w:eastAsia="zh-CN"/>
                    </w:rPr>
                  </w:pPr>
                  <w:r>
                    <w:rPr>
                      <w:rFonts w:hint="eastAsia" w:cs="Times New Roman"/>
                      <w:bCs/>
                      <w:color w:val="auto"/>
                      <w:sz w:val="21"/>
                      <w:szCs w:val="21"/>
                      <w:lang w:val="en-US" w:eastAsia="zh-CN"/>
                    </w:rPr>
                    <w:t>5423</w:t>
                  </w:r>
                </w:p>
              </w:tc>
              <w:tc>
                <w:tcPr>
                  <w:tcW w:w="553" w:type="pct"/>
                  <w:vAlign w:val="center"/>
                </w:tcPr>
                <w:p w14:paraId="18743880">
                  <w:pPr>
                    <w:adjustRightInd w:val="0"/>
                    <w:spacing w:line="240" w:lineRule="auto"/>
                    <w:ind w:firstLine="0" w:firstLineChars="0"/>
                    <w:jc w:val="center"/>
                    <w:textAlignment w:val="baseline"/>
                    <w:rPr>
                      <w:rFonts w:hint="default" w:eastAsia="宋体" w:cs="Times New Roman"/>
                      <w:bCs/>
                      <w:color w:val="auto"/>
                      <w:sz w:val="21"/>
                      <w:szCs w:val="21"/>
                      <w:lang w:val="en-US" w:eastAsia="zh-CN"/>
                    </w:rPr>
                  </w:pPr>
                  <w:r>
                    <w:rPr>
                      <w:rFonts w:hint="eastAsia" w:cs="Times New Roman"/>
                      <w:bCs/>
                      <w:color w:val="auto"/>
                      <w:sz w:val="21"/>
                      <w:szCs w:val="21"/>
                      <w:lang w:val="en-US" w:eastAsia="zh-CN"/>
                    </w:rPr>
                    <w:t>50</w:t>
                  </w:r>
                </w:p>
              </w:tc>
              <w:tc>
                <w:tcPr>
                  <w:tcW w:w="447" w:type="pct"/>
                  <w:vAlign w:val="center"/>
                </w:tcPr>
                <w:p w14:paraId="0E57F853">
                  <w:pPr>
                    <w:adjustRightInd w:val="0"/>
                    <w:spacing w:line="240" w:lineRule="auto"/>
                    <w:ind w:firstLine="0" w:firstLineChars="0"/>
                    <w:jc w:val="center"/>
                    <w:textAlignment w:val="baseline"/>
                    <w:rPr>
                      <w:rFonts w:hint="eastAsia" w:eastAsia="宋体" w:cs="Times New Roman"/>
                      <w:b/>
                      <w:color w:val="auto"/>
                      <w:sz w:val="21"/>
                      <w:szCs w:val="21"/>
                      <w:lang w:val="en-US" w:eastAsia="zh-CN"/>
                    </w:rPr>
                  </w:pPr>
                  <w:r>
                    <w:rPr>
                      <w:rFonts w:hint="eastAsia" w:cs="Times New Roman"/>
                      <w:b/>
                      <w:color w:val="auto"/>
                      <w:sz w:val="21"/>
                      <w:szCs w:val="21"/>
                      <w:lang w:val="en-US" w:eastAsia="zh-CN"/>
                    </w:rPr>
                    <w:t>超标</w:t>
                  </w:r>
                </w:p>
              </w:tc>
            </w:tr>
          </w:tbl>
          <w:p w14:paraId="129FA3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cs="Times New Roman"/>
                <w:bCs/>
                <w:color w:val="auto"/>
                <w:sz w:val="24"/>
                <w:szCs w:val="24"/>
                <w:highlight w:val="none"/>
              </w:rPr>
              <w:t>由上表可知，项目废气处理设施出现故障时</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废气</w:t>
            </w:r>
            <w:r>
              <w:rPr>
                <w:rFonts w:hint="default" w:ascii="Times New Roman" w:hAnsi="Times New Roman" w:cs="Times New Roman"/>
                <w:bCs/>
                <w:color w:val="auto"/>
                <w:sz w:val="24"/>
                <w:szCs w:val="24"/>
                <w:highlight w:val="none"/>
                <w:lang w:eastAsia="zh-CN"/>
              </w:rPr>
              <w:t>排放浓度有所增加，</w:t>
            </w:r>
            <w:r>
              <w:rPr>
                <w:rFonts w:hint="default" w:ascii="Times New Roman" w:hAnsi="Times New Roman" w:cs="Times New Roman"/>
                <w:bCs/>
                <w:color w:val="auto"/>
                <w:sz w:val="24"/>
                <w:szCs w:val="24"/>
                <w:highlight w:val="none"/>
                <w:lang w:val="en-US" w:eastAsia="zh-CN"/>
              </w:rPr>
              <w:t>DA00</w:t>
            </w:r>
            <w:r>
              <w:rPr>
                <w:rFonts w:hint="eastAsia" w:ascii="Times New Roman" w:hAnsi="Times New Roman" w:cs="Times New Roman"/>
                <w:bCs/>
                <w:color w:val="auto"/>
                <w:sz w:val="24"/>
                <w:szCs w:val="24"/>
                <w:highlight w:val="none"/>
                <w:lang w:val="en-US" w:eastAsia="zh-CN"/>
              </w:rPr>
              <w:t>1排放浓度</w:t>
            </w:r>
            <w:r>
              <w:rPr>
                <w:rFonts w:hint="eastAsia" w:cs="Times New Roman"/>
                <w:bCs/>
                <w:color w:val="auto"/>
                <w:sz w:val="24"/>
                <w:szCs w:val="24"/>
                <w:highlight w:val="none"/>
                <w:lang w:val="en-US" w:eastAsia="zh-CN"/>
              </w:rPr>
              <w:t>（非甲烷总烃）仍可达标</w:t>
            </w:r>
            <w:r>
              <w:rPr>
                <w:rFonts w:hint="default" w:ascii="Times New Roman" w:hAnsi="Times New Roman" w:cs="Times New Roman"/>
                <w:bCs/>
                <w:color w:val="auto"/>
                <w:sz w:val="24"/>
                <w:szCs w:val="24"/>
                <w:highlight w:val="none"/>
                <w:lang w:val="en-US" w:eastAsia="zh-CN"/>
              </w:rPr>
              <w:t>排放</w:t>
            </w:r>
            <w:r>
              <w:rPr>
                <w:rFonts w:hint="eastAsia" w:cs="Times New Roman"/>
                <w:bCs/>
                <w:color w:val="auto"/>
                <w:sz w:val="24"/>
                <w:szCs w:val="24"/>
                <w:highlight w:val="none"/>
                <w:lang w:val="en-US" w:eastAsia="zh-CN"/>
              </w:rPr>
              <w:t>，DA002排放浓度（颗粒物）出现超标排放</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val="en-US" w:eastAsia="zh-CN"/>
              </w:rPr>
              <w:t>本评价要求</w:t>
            </w:r>
            <w:r>
              <w:rPr>
                <w:rFonts w:hint="default" w:ascii="Times New Roman" w:hAnsi="Times New Roman" w:cs="Times New Roman"/>
                <w:bCs/>
                <w:color w:val="auto"/>
                <w:sz w:val="24"/>
                <w:szCs w:val="24"/>
                <w:highlight w:val="none"/>
              </w:rPr>
              <w:t>建设单位</w:t>
            </w:r>
            <w:r>
              <w:rPr>
                <w:rFonts w:hint="default" w:ascii="Times New Roman" w:hAnsi="Times New Roman" w:cs="Times New Roman"/>
                <w:bCs/>
                <w:color w:val="auto"/>
                <w:sz w:val="24"/>
                <w:szCs w:val="24"/>
                <w:highlight w:val="none"/>
                <w:lang w:eastAsia="zh-CN"/>
              </w:rPr>
              <w:t>及时更换</w:t>
            </w:r>
            <w:r>
              <w:rPr>
                <w:rFonts w:hint="default" w:ascii="Times New Roman" w:hAnsi="Times New Roman" w:cs="Times New Roman"/>
                <w:bCs/>
                <w:color w:val="auto"/>
                <w:sz w:val="24"/>
                <w:szCs w:val="24"/>
                <w:highlight w:val="none"/>
                <w:lang w:val="en-US" w:eastAsia="zh-CN"/>
              </w:rPr>
              <w:t>废活性炭</w:t>
            </w:r>
            <w:r>
              <w:rPr>
                <w:rFonts w:hint="eastAsia" w:cs="Times New Roman"/>
                <w:bCs/>
                <w:color w:val="auto"/>
                <w:sz w:val="24"/>
                <w:szCs w:val="24"/>
                <w:highlight w:val="none"/>
                <w:lang w:val="en-US" w:eastAsia="zh-CN"/>
              </w:rPr>
              <w:t>和布袋除尘器</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保证去除效果，当出现设备故障时，应及时停止生产，并对</w:t>
            </w:r>
            <w:r>
              <w:rPr>
                <w:rFonts w:hint="default" w:ascii="Times New Roman" w:hAnsi="Times New Roman" w:cs="Times New Roman"/>
                <w:bCs/>
                <w:color w:val="auto"/>
                <w:sz w:val="24"/>
                <w:szCs w:val="24"/>
                <w:highlight w:val="none"/>
                <w:lang w:eastAsia="zh-CN"/>
              </w:rPr>
              <w:t>处理设施</w:t>
            </w:r>
            <w:r>
              <w:rPr>
                <w:rFonts w:hint="default" w:ascii="Times New Roman" w:hAnsi="Times New Roman" w:cs="Times New Roman"/>
                <w:bCs/>
                <w:color w:val="auto"/>
                <w:sz w:val="24"/>
                <w:szCs w:val="24"/>
                <w:highlight w:val="none"/>
              </w:rPr>
              <w:t>进行检修。</w:t>
            </w:r>
            <w:r>
              <w:rPr>
                <w:rFonts w:hint="eastAsia" w:cs="Times New Roman"/>
                <w:color w:val="auto"/>
                <w:kern w:val="0"/>
                <w:sz w:val="24"/>
                <w:szCs w:val="24"/>
                <w:lang w:val="en-US" w:eastAsia="zh-CN" w:bidi="ar"/>
              </w:rPr>
              <w:t>为预防非正常情况的发生，本评价</w:t>
            </w:r>
            <w:r>
              <w:rPr>
                <w:rFonts w:hint="default" w:ascii="Times New Roman" w:hAnsi="Times New Roman" w:eastAsia="宋体" w:cs="Times New Roman"/>
                <w:color w:val="auto"/>
                <w:kern w:val="0"/>
                <w:sz w:val="24"/>
                <w:szCs w:val="24"/>
                <w:lang w:val="en-US" w:eastAsia="zh-CN" w:bidi="ar"/>
              </w:rPr>
              <w:t>拟采取</w:t>
            </w:r>
            <w:r>
              <w:rPr>
                <w:rFonts w:hint="eastAsia" w:cs="Times New Roman"/>
                <w:color w:val="auto"/>
                <w:kern w:val="0"/>
                <w:sz w:val="24"/>
                <w:szCs w:val="24"/>
                <w:lang w:val="en-US" w:eastAsia="zh-CN" w:bidi="ar"/>
              </w:rPr>
              <w:t>以下的</w:t>
            </w:r>
            <w:r>
              <w:rPr>
                <w:rFonts w:hint="default" w:ascii="Times New Roman" w:hAnsi="Times New Roman" w:eastAsia="宋体" w:cs="Times New Roman"/>
                <w:color w:val="auto"/>
                <w:kern w:val="0"/>
                <w:sz w:val="24"/>
                <w:szCs w:val="24"/>
                <w:lang w:val="en-US" w:eastAsia="zh-CN" w:bidi="ar"/>
              </w:rPr>
              <w:t xml:space="preserve">防范措施： </w:t>
            </w:r>
          </w:p>
          <w:p w14:paraId="73E5B6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①平时注意废气处理设施的维护，及时检查废气处理装置的有效性和设备的运行情况，确保废气处理系统正常运行，及时更换废活性炭</w:t>
            </w:r>
            <w:r>
              <w:rPr>
                <w:rFonts w:hint="eastAsia" w:cs="Times New Roman"/>
                <w:color w:val="auto"/>
                <w:kern w:val="0"/>
                <w:sz w:val="24"/>
                <w:szCs w:val="24"/>
                <w:lang w:val="en-US" w:eastAsia="zh-CN" w:bidi="ar"/>
              </w:rPr>
              <w:t>和废布袋</w:t>
            </w:r>
            <w:r>
              <w:rPr>
                <w:rFonts w:hint="default" w:ascii="Times New Roman" w:hAnsi="Times New Roman" w:eastAsia="宋体" w:cs="Times New Roman"/>
                <w:color w:val="auto"/>
                <w:kern w:val="0"/>
                <w:sz w:val="24"/>
                <w:szCs w:val="24"/>
                <w:lang w:val="en-US" w:eastAsia="zh-CN" w:bidi="ar"/>
              </w:rPr>
              <w:t xml:space="preserve">；开、停、检修要有预案，有严密周全的计划，降低非正常排放几率，或使影响最小。 </w:t>
            </w:r>
          </w:p>
          <w:p w14:paraId="2E728B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②应设有备用电源和备用处理设备和零件，以备停电或设备出现故障时保障及时更换使废气全部做到达标排放。 </w:t>
            </w:r>
          </w:p>
          <w:p w14:paraId="2FA2E6ED">
            <w:pPr>
              <w:keepNext w:val="0"/>
              <w:keepLines/>
              <w:pageBreakBefore w:val="0"/>
              <w:kinsoku/>
              <w:wordWrap/>
              <w:overflowPunct/>
              <w:topLinePunct w:val="0"/>
              <w:autoSpaceDE/>
              <w:autoSpaceDN/>
              <w:bidi w:val="0"/>
              <w:adjustRightInd/>
              <w:snapToGrid/>
              <w:spacing w:line="360" w:lineRule="auto"/>
              <w:ind w:firstLine="480" w:firstLineChars="200"/>
              <w:textAlignment w:val="auto"/>
              <w:rPr>
                <w:rFonts w:hint="default"/>
                <w:color w:val="auto"/>
              </w:rPr>
            </w:pPr>
            <w:r>
              <w:rPr>
                <w:rFonts w:hint="default" w:ascii="Times New Roman" w:hAnsi="Times New Roman" w:eastAsia="宋体" w:cs="Times New Roman"/>
                <w:color w:val="auto"/>
                <w:kern w:val="0"/>
                <w:sz w:val="24"/>
                <w:szCs w:val="24"/>
                <w:lang w:val="en-US" w:eastAsia="zh-CN" w:bidi="ar"/>
              </w:rPr>
              <w:t>③对员工进行岗位培训。做好值班记录，实行岗位责任制。</w:t>
            </w:r>
          </w:p>
          <w:p w14:paraId="07DABDCD">
            <w:pPr>
              <w:keepNext w:val="0"/>
              <w:keepLines/>
              <w:pageBreakBefore w:val="0"/>
              <w:tabs>
                <w:tab w:val="left" w:pos="4830"/>
              </w:tabs>
              <w:kinsoku/>
              <w:overflowPunct/>
              <w:bidi w:val="0"/>
              <w:adjustRightInd/>
              <w:spacing w:line="360" w:lineRule="auto"/>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4、</w:t>
            </w:r>
            <w:r>
              <w:rPr>
                <w:rFonts w:hint="default" w:ascii="Times New Roman" w:hAnsi="Times New Roman" w:cs="Times New Roman"/>
                <w:b/>
                <w:bCs/>
                <w:color w:val="auto"/>
                <w:sz w:val="24"/>
              </w:rPr>
              <w:t>废气治理可行性分析</w:t>
            </w:r>
          </w:p>
          <w:p w14:paraId="1BC694FF">
            <w:pPr>
              <w:keepNext w:val="0"/>
              <w:keepLines/>
              <w:pageBreakBefore w:val="0"/>
              <w:kinsoku/>
              <w:overflowPunct/>
              <w:bidi w:val="0"/>
              <w:adjustRightInd/>
              <w:spacing w:line="360" w:lineRule="auto"/>
              <w:ind w:firstLine="480"/>
              <w:rPr>
                <w:rFonts w:hint="default" w:ascii="Times New Roman" w:hAnsi="Times New Roman" w:cs="Times New Roman"/>
                <w:b/>
                <w:color w:val="auto"/>
                <w:szCs w:val="21"/>
              </w:rPr>
            </w:pPr>
            <w:r>
              <w:rPr>
                <w:rFonts w:hint="default" w:ascii="Times New Roman" w:hAnsi="Times New Roman" w:cs="Times New Roman"/>
                <w:color w:val="auto"/>
                <w:sz w:val="24"/>
              </w:rPr>
              <w:t>本次可行技术主要根据《排污许可证申请与核发技术规范 橡胶和塑料制品工业》（HJ1122-2020）</w:t>
            </w:r>
            <w:r>
              <w:rPr>
                <w:rFonts w:hint="eastAsia" w:cs="Times New Roman"/>
                <w:color w:val="auto"/>
                <w:sz w:val="24"/>
                <w:lang w:val="en-US" w:eastAsia="zh-CN"/>
              </w:rPr>
              <w:t>和</w:t>
            </w:r>
            <w:r>
              <w:rPr>
                <w:rFonts w:hint="default" w:ascii="Times New Roman" w:hAnsi="Times New Roman" w:cs="Times New Roman"/>
                <w:color w:val="auto"/>
                <w:sz w:val="24"/>
              </w:rPr>
              <w:t xml:space="preserve">《排污许可证申请与核发技术规范 </w:t>
            </w:r>
            <w:r>
              <w:rPr>
                <w:rFonts w:hint="eastAsia" w:ascii="Times New Roman" w:hAnsi="Times New Roman" w:cs="Times New Roman"/>
                <w:color w:val="auto"/>
                <w:sz w:val="24"/>
                <w:lang w:val="en-US" w:eastAsia="zh-CN"/>
              </w:rPr>
              <w:t>锅炉</w:t>
            </w:r>
            <w:r>
              <w:rPr>
                <w:rFonts w:hint="default" w:ascii="Times New Roman" w:hAnsi="Times New Roman" w:cs="Times New Roman"/>
                <w:color w:val="auto"/>
                <w:sz w:val="24"/>
              </w:rPr>
              <w:t>》（HJ</w:t>
            </w:r>
            <w:r>
              <w:rPr>
                <w:rFonts w:hint="eastAsia" w:ascii="Times New Roman" w:hAnsi="Times New Roman" w:cs="Times New Roman"/>
                <w:color w:val="auto"/>
                <w:sz w:val="24"/>
                <w:lang w:val="en-US" w:eastAsia="zh-CN"/>
              </w:rPr>
              <w:t>953</w:t>
            </w:r>
            <w:r>
              <w:rPr>
                <w:rFonts w:hint="default" w:ascii="Times New Roman" w:hAnsi="Times New Roman" w:cs="Times New Roman"/>
                <w:color w:val="auto"/>
                <w:sz w:val="24"/>
              </w:rPr>
              <w:t>-20</w:t>
            </w:r>
            <w:r>
              <w:rPr>
                <w:rFonts w:hint="eastAsia" w:ascii="Times New Roman" w:hAnsi="Times New Roman" w:cs="Times New Roman"/>
                <w:color w:val="auto"/>
                <w:sz w:val="24"/>
                <w:lang w:val="en-US" w:eastAsia="zh-CN"/>
              </w:rPr>
              <w:t>18</w:t>
            </w:r>
            <w:r>
              <w:rPr>
                <w:rFonts w:hint="default" w:ascii="Times New Roman" w:hAnsi="Times New Roman" w:cs="Times New Roman"/>
                <w:color w:val="auto"/>
                <w:sz w:val="24"/>
              </w:rPr>
              <w:t>）的相关要求，详见下表。</w:t>
            </w:r>
          </w:p>
          <w:p w14:paraId="3DE3FE8D">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w:t>
            </w:r>
            <w:r>
              <w:rPr>
                <w:rFonts w:hint="eastAsia" w:cs="Times New Roman"/>
                <w:b/>
                <w:color w:val="auto"/>
                <w:sz w:val="24"/>
                <w:szCs w:val="24"/>
                <w:lang w:val="en-US" w:eastAsia="zh-CN"/>
              </w:rPr>
              <w:t>10</w:t>
            </w:r>
            <w:r>
              <w:rPr>
                <w:rFonts w:hint="default" w:ascii="Times New Roman" w:hAnsi="Times New Roman" w:cs="Times New Roman"/>
                <w:b/>
                <w:color w:val="auto"/>
                <w:sz w:val="24"/>
                <w:szCs w:val="24"/>
              </w:rPr>
              <w:t xml:space="preserve">  塑料制品工业</w:t>
            </w:r>
            <w:r>
              <w:rPr>
                <w:rFonts w:hint="eastAsia" w:cs="Times New Roman"/>
                <w:b/>
                <w:color w:val="auto"/>
                <w:sz w:val="24"/>
                <w:szCs w:val="24"/>
                <w:lang w:val="en-US" w:eastAsia="zh-CN"/>
              </w:rPr>
              <w:t>和锅炉</w:t>
            </w:r>
            <w:r>
              <w:rPr>
                <w:rFonts w:hint="default" w:ascii="Times New Roman" w:hAnsi="Times New Roman" w:cs="Times New Roman"/>
                <w:b/>
                <w:color w:val="auto"/>
                <w:sz w:val="24"/>
                <w:szCs w:val="24"/>
              </w:rPr>
              <w:t>排污单位废气污染防治推荐可行技术</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964"/>
              <w:gridCol w:w="862"/>
              <w:gridCol w:w="1809"/>
              <w:gridCol w:w="1466"/>
              <w:gridCol w:w="1640"/>
            </w:tblGrid>
            <w:tr w14:paraId="3392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7" w:type="pct"/>
                  <w:vAlign w:val="center"/>
                </w:tcPr>
                <w:p w14:paraId="35EC8BDB">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污染物产生设施</w:t>
                  </w:r>
                </w:p>
              </w:tc>
              <w:tc>
                <w:tcPr>
                  <w:tcW w:w="615" w:type="pct"/>
                  <w:vAlign w:val="center"/>
                </w:tcPr>
                <w:p w14:paraId="06FB4265">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污染物种类</w:t>
                  </w:r>
                </w:p>
              </w:tc>
              <w:tc>
                <w:tcPr>
                  <w:tcW w:w="550" w:type="pct"/>
                  <w:vAlign w:val="center"/>
                </w:tcPr>
                <w:p w14:paraId="39751D3C">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排放形式</w:t>
                  </w:r>
                </w:p>
              </w:tc>
              <w:tc>
                <w:tcPr>
                  <w:tcW w:w="1154" w:type="pct"/>
                  <w:vAlign w:val="center"/>
                </w:tcPr>
                <w:p w14:paraId="15CFF440">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推荐可行技术</w:t>
                  </w:r>
                </w:p>
              </w:tc>
              <w:tc>
                <w:tcPr>
                  <w:tcW w:w="935" w:type="pct"/>
                  <w:vAlign w:val="center"/>
                </w:tcPr>
                <w:p w14:paraId="67B4CAEB">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本项目处理工艺</w:t>
                  </w:r>
                </w:p>
              </w:tc>
              <w:tc>
                <w:tcPr>
                  <w:tcW w:w="1046" w:type="pct"/>
                  <w:vAlign w:val="center"/>
                </w:tcPr>
                <w:p w14:paraId="57893475">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对比说明</w:t>
                  </w:r>
                </w:p>
              </w:tc>
            </w:tr>
            <w:tr w14:paraId="6894B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97" w:type="pct"/>
                  <w:vAlign w:val="center"/>
                </w:tcPr>
                <w:p w14:paraId="3165D9AD">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auto"/>
                      <w:sz w:val="21"/>
                      <w:szCs w:val="21"/>
                    </w:rPr>
                  </w:pPr>
                  <w:r>
                    <w:rPr>
                      <w:rFonts w:hint="eastAsia" w:ascii="Times New Roman" w:cs="Times New Roman"/>
                      <w:color w:val="auto"/>
                      <w:sz w:val="21"/>
                      <w:szCs w:val="21"/>
                      <w:lang w:eastAsia="zh-CN"/>
                    </w:rPr>
                    <w:t>发泡</w:t>
                  </w:r>
                  <w:r>
                    <w:rPr>
                      <w:rFonts w:hint="default" w:ascii="Times New Roman" w:hAnsi="Times New Roman" w:cs="Times New Roman"/>
                      <w:color w:val="auto"/>
                      <w:sz w:val="21"/>
                      <w:szCs w:val="21"/>
                    </w:rPr>
                    <w:t>机</w:t>
                  </w:r>
                </w:p>
              </w:tc>
              <w:tc>
                <w:tcPr>
                  <w:tcW w:w="615" w:type="pct"/>
                  <w:vAlign w:val="center"/>
                </w:tcPr>
                <w:p w14:paraId="2A61F980">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非甲烷总烃</w:t>
                  </w:r>
                </w:p>
              </w:tc>
              <w:tc>
                <w:tcPr>
                  <w:tcW w:w="550" w:type="pct"/>
                  <w:vAlign w:val="center"/>
                </w:tcPr>
                <w:p w14:paraId="3CC5E6AA">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有组织排放</w:t>
                  </w:r>
                </w:p>
              </w:tc>
              <w:tc>
                <w:tcPr>
                  <w:tcW w:w="1154" w:type="pct"/>
                  <w:vAlign w:val="center"/>
                </w:tcPr>
                <w:p w14:paraId="6CA831F3">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auto"/>
                      <w:sz w:val="21"/>
                      <w:szCs w:val="21"/>
                    </w:rPr>
                  </w:pPr>
                  <w:r>
                    <w:rPr>
                      <w:rFonts w:hint="eastAsia" w:ascii="Times New Roman" w:cs="Times New Roman"/>
                      <w:color w:val="auto"/>
                      <w:sz w:val="21"/>
                      <w:szCs w:val="21"/>
                      <w:lang w:val="en-US" w:eastAsia="zh-CN"/>
                    </w:rPr>
                    <w:t>喷淋、</w:t>
                  </w:r>
                  <w:r>
                    <w:rPr>
                      <w:rFonts w:hint="default" w:ascii="Times New Roman" w:hAnsi="Times New Roman" w:cs="Times New Roman"/>
                      <w:color w:val="auto"/>
                      <w:sz w:val="21"/>
                      <w:szCs w:val="21"/>
                    </w:rPr>
                    <w:t>吸附、</w:t>
                  </w:r>
                  <w:r>
                    <w:rPr>
                      <w:rFonts w:hint="eastAsia" w:ascii="Times New Roman" w:cs="Times New Roman"/>
                      <w:color w:val="auto"/>
                      <w:sz w:val="21"/>
                      <w:szCs w:val="21"/>
                      <w:lang w:val="en-US" w:eastAsia="zh-CN"/>
                    </w:rPr>
                    <w:t>吸附浓缩+热力燃烧/催化燃烧</w:t>
                  </w:r>
                </w:p>
              </w:tc>
              <w:tc>
                <w:tcPr>
                  <w:tcW w:w="935" w:type="pct"/>
                  <w:vAlign w:val="center"/>
                </w:tcPr>
                <w:p w14:paraId="596D5095">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本项目</w:t>
                  </w:r>
                  <w:r>
                    <w:rPr>
                      <w:rFonts w:hint="default" w:ascii="Times New Roman" w:hAnsi="Times New Roman" w:cs="Times New Roman"/>
                      <w:color w:val="auto"/>
                      <w:sz w:val="21"/>
                      <w:szCs w:val="21"/>
                    </w:rPr>
                    <w:t>采用</w:t>
                  </w:r>
                  <w:r>
                    <w:rPr>
                      <w:rFonts w:hint="eastAsia" w:ascii="Times New Roman" w:cs="Times New Roman"/>
                      <w:color w:val="auto"/>
                      <w:sz w:val="21"/>
                      <w:szCs w:val="21"/>
                      <w:lang w:eastAsia="zh-CN"/>
                    </w:rPr>
                    <w:t>活性炭吸附装置</w:t>
                  </w:r>
                </w:p>
              </w:tc>
              <w:tc>
                <w:tcPr>
                  <w:tcW w:w="1046" w:type="pct"/>
                  <w:vAlign w:val="center"/>
                </w:tcPr>
                <w:p w14:paraId="5EF8F5C9">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与推荐技术一致，为可行技术</w:t>
                  </w:r>
                </w:p>
              </w:tc>
            </w:tr>
            <w:tr w14:paraId="4A97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 w:hRule="atLeast"/>
                <w:jc w:val="center"/>
              </w:trPr>
              <w:tc>
                <w:tcPr>
                  <w:tcW w:w="697" w:type="pct"/>
                  <w:vAlign w:val="center"/>
                </w:tcPr>
                <w:p w14:paraId="7BE8E1F2">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生物质蒸汽发生器</w:t>
                  </w:r>
                </w:p>
              </w:tc>
              <w:tc>
                <w:tcPr>
                  <w:tcW w:w="615" w:type="pct"/>
                  <w:vAlign w:val="center"/>
                </w:tcPr>
                <w:p w14:paraId="5E969119">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eastAsia" w:ascii="Times New Roman" w:hAnsi="Times New Roman" w:eastAsia="宋体" w:cs="Times New Roman"/>
                      <w:bCs/>
                      <w:color w:val="auto"/>
                      <w:sz w:val="21"/>
                      <w:szCs w:val="21"/>
                      <w:lang w:val="en-US" w:eastAsia="zh-CN"/>
                    </w:rPr>
                  </w:pPr>
                  <w:r>
                    <w:rPr>
                      <w:rFonts w:hint="eastAsia" w:ascii="Times New Roman" w:cs="Times New Roman"/>
                      <w:bCs/>
                      <w:color w:val="auto"/>
                      <w:sz w:val="21"/>
                      <w:szCs w:val="21"/>
                      <w:lang w:val="en-US" w:eastAsia="zh-CN"/>
                    </w:rPr>
                    <w:t>颗粒物</w:t>
                  </w:r>
                </w:p>
              </w:tc>
              <w:tc>
                <w:tcPr>
                  <w:tcW w:w="550" w:type="pct"/>
                  <w:vAlign w:val="center"/>
                </w:tcPr>
                <w:p w14:paraId="7873A25C">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有组织排放</w:t>
                  </w:r>
                </w:p>
              </w:tc>
              <w:tc>
                <w:tcPr>
                  <w:tcW w:w="1154" w:type="pct"/>
                  <w:vAlign w:val="center"/>
                </w:tcPr>
                <w:p w14:paraId="5CAAA060">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cs="Times New Roman"/>
                      <w:color w:val="auto"/>
                      <w:sz w:val="21"/>
                      <w:szCs w:val="21"/>
                      <w:lang w:val="en-US" w:eastAsia="zh-CN"/>
                    </w:rPr>
                    <w:t>旋风除尘和布袋除尘组合技术</w:t>
                  </w:r>
                </w:p>
              </w:tc>
              <w:tc>
                <w:tcPr>
                  <w:tcW w:w="935" w:type="pct"/>
                  <w:vAlign w:val="center"/>
                </w:tcPr>
                <w:p w14:paraId="0082A6C3">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auto"/>
                      <w:sz w:val="21"/>
                      <w:szCs w:val="21"/>
                      <w:lang w:val="en-US" w:eastAsia="zh-CN"/>
                    </w:rPr>
                  </w:pPr>
                  <w:r>
                    <w:rPr>
                      <w:rFonts w:hint="eastAsia" w:ascii="Times New Roman" w:cs="Times New Roman"/>
                      <w:color w:val="auto"/>
                      <w:sz w:val="21"/>
                      <w:szCs w:val="21"/>
                      <w:lang w:val="en-US" w:eastAsia="zh-CN"/>
                    </w:rPr>
                    <w:t>本项目采用旋风除尘+布袋除尘</w:t>
                  </w:r>
                </w:p>
              </w:tc>
              <w:tc>
                <w:tcPr>
                  <w:tcW w:w="1046" w:type="pct"/>
                  <w:vAlign w:val="center"/>
                </w:tcPr>
                <w:p w14:paraId="65524153">
                  <w:pPr>
                    <w:pStyle w:val="45"/>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与推荐技术一致，为可行技术</w:t>
                  </w:r>
                </w:p>
              </w:tc>
            </w:tr>
          </w:tbl>
          <w:p w14:paraId="33E8A674">
            <w:pPr>
              <w:keepNext w:val="0"/>
              <w:keepLines/>
              <w:pageBreakBefore w:val="0"/>
              <w:kinsoku/>
              <w:overflowPunct/>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rPr>
              <w:t>根据上表对比分析可知，本项目</w:t>
            </w:r>
            <w:r>
              <w:rPr>
                <w:rFonts w:hint="eastAsia" w:ascii="Times New Roman" w:hAnsi="Times New Roman" w:eastAsia="宋体" w:cs="Times New Roman"/>
                <w:color w:val="auto"/>
                <w:sz w:val="24"/>
                <w:lang w:val="en-US" w:eastAsia="zh-CN"/>
              </w:rPr>
              <w:t>有机</w:t>
            </w:r>
            <w:r>
              <w:rPr>
                <w:rFonts w:hint="default" w:ascii="Times New Roman" w:hAnsi="Times New Roman" w:eastAsia="宋体" w:cs="Times New Roman"/>
                <w:color w:val="auto"/>
                <w:sz w:val="24"/>
              </w:rPr>
              <w:t>废气治理设施根据《排污许可证申请与核发技术规范 橡胶和塑料制品工业》（HJ1122-2020）的相关要求，为表</w:t>
            </w:r>
            <w:r>
              <w:rPr>
                <w:rFonts w:hint="eastAsia" w:ascii="Times New Roman" w:hAnsi="Times New Roman" w:eastAsia="宋体" w:cs="Times New Roman"/>
                <w:color w:val="auto"/>
                <w:sz w:val="24"/>
                <w:lang w:val="en-US" w:eastAsia="zh-CN"/>
              </w:rPr>
              <w:t>A.2</w:t>
            </w:r>
            <w:r>
              <w:rPr>
                <w:rFonts w:hint="default" w:ascii="Times New Roman" w:hAnsi="Times New Roman" w:eastAsia="宋体" w:cs="Times New Roman"/>
                <w:color w:val="auto"/>
                <w:sz w:val="24"/>
              </w:rPr>
              <w:t>要求中推荐的</w:t>
            </w:r>
            <w:r>
              <w:rPr>
                <w:rFonts w:hint="eastAsia" w:cs="Times New Roman"/>
                <w:color w:val="auto"/>
                <w:sz w:val="24"/>
                <w:lang w:eastAsia="zh-CN"/>
              </w:rPr>
              <w:t>“</w:t>
            </w:r>
            <w:r>
              <w:rPr>
                <w:rFonts w:hint="default" w:ascii="Times New Roman" w:hAnsi="Times New Roman" w:eastAsia="宋体" w:cs="Times New Roman"/>
                <w:color w:val="auto"/>
                <w:sz w:val="24"/>
              </w:rPr>
              <w:t>可行技术</w:t>
            </w:r>
            <w:r>
              <w:rPr>
                <w:rFonts w:hint="eastAsia" w:cs="Times New Roman"/>
                <w:color w:val="auto"/>
                <w:sz w:val="24"/>
                <w:lang w:eastAsia="zh-CN"/>
              </w:rPr>
              <w:t>”</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本项目</w:t>
            </w:r>
            <w:r>
              <w:rPr>
                <w:rFonts w:hint="eastAsia" w:cs="Times New Roman"/>
                <w:color w:val="auto"/>
                <w:sz w:val="24"/>
                <w:lang w:val="en-US" w:eastAsia="zh-CN"/>
              </w:rPr>
              <w:t>生物质蒸汽发生器</w:t>
            </w:r>
            <w:r>
              <w:rPr>
                <w:rFonts w:hint="eastAsia" w:ascii="Times New Roman" w:hAnsi="Times New Roman" w:eastAsia="宋体" w:cs="Times New Roman"/>
                <w:color w:val="auto"/>
                <w:sz w:val="24"/>
                <w:lang w:val="en-US" w:eastAsia="zh-CN"/>
              </w:rPr>
              <w:t>燃烧产生的废气治理设施根据《</w:t>
            </w:r>
            <w:r>
              <w:rPr>
                <w:rFonts w:hint="default" w:ascii="Times New Roman" w:hAnsi="Times New Roman" w:eastAsia="宋体" w:cs="Times New Roman"/>
                <w:color w:val="auto"/>
                <w:sz w:val="24"/>
              </w:rPr>
              <w:t xml:space="preserve">排污许可证申请与核发技术规范 </w:t>
            </w:r>
            <w:r>
              <w:rPr>
                <w:rFonts w:hint="eastAsia" w:ascii="Times New Roman" w:hAnsi="Times New Roman" w:eastAsia="宋体" w:cs="Times New Roman"/>
                <w:color w:val="auto"/>
                <w:sz w:val="24"/>
                <w:lang w:val="en-US" w:eastAsia="zh-CN"/>
              </w:rPr>
              <w:t>锅炉》</w:t>
            </w:r>
            <w:r>
              <w:rPr>
                <w:rFonts w:hint="default" w:ascii="Times New Roman" w:hAnsi="Times New Roman" w:eastAsia="宋体" w:cs="Times New Roman"/>
                <w:color w:val="auto"/>
                <w:sz w:val="24"/>
              </w:rPr>
              <w:t>（HJ</w:t>
            </w:r>
            <w:r>
              <w:rPr>
                <w:rFonts w:hint="eastAsia" w:ascii="Times New Roman" w:hAnsi="Times New Roman" w:eastAsia="宋体" w:cs="Times New Roman"/>
                <w:color w:val="auto"/>
                <w:sz w:val="24"/>
                <w:lang w:val="en-US" w:eastAsia="zh-CN"/>
              </w:rPr>
              <w:t>953</w:t>
            </w:r>
            <w:r>
              <w:rPr>
                <w:rFonts w:hint="default" w:ascii="Times New Roman" w:hAnsi="Times New Roman" w:eastAsia="宋体" w:cs="Times New Roman"/>
                <w:color w:val="auto"/>
                <w:sz w:val="24"/>
              </w:rPr>
              <w:t>-20</w:t>
            </w:r>
            <w:r>
              <w:rPr>
                <w:rFonts w:hint="eastAsia" w:ascii="Times New Roman" w:hAnsi="Times New Roman" w:eastAsia="宋体" w:cs="Times New Roman"/>
                <w:color w:val="auto"/>
                <w:sz w:val="24"/>
                <w:lang w:val="en-US" w:eastAsia="zh-CN"/>
              </w:rPr>
              <w:t>18</w:t>
            </w:r>
            <w:r>
              <w:rPr>
                <w:rFonts w:hint="default" w:ascii="Times New Roman" w:hAnsi="Times New Roman" w:eastAsia="宋体" w:cs="Times New Roman"/>
                <w:color w:val="auto"/>
                <w:sz w:val="24"/>
              </w:rPr>
              <w:t>）的相关要求，为表</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要求中推荐的</w:t>
            </w:r>
            <w:r>
              <w:rPr>
                <w:rFonts w:hint="eastAsia" w:cs="Times New Roman"/>
                <w:color w:val="auto"/>
                <w:sz w:val="24"/>
                <w:lang w:eastAsia="zh-CN"/>
              </w:rPr>
              <w:t>“</w:t>
            </w:r>
            <w:r>
              <w:rPr>
                <w:rFonts w:hint="default" w:ascii="Times New Roman" w:hAnsi="Times New Roman" w:eastAsia="宋体" w:cs="Times New Roman"/>
                <w:color w:val="auto"/>
                <w:sz w:val="24"/>
              </w:rPr>
              <w:t>可行技术</w:t>
            </w:r>
            <w:r>
              <w:rPr>
                <w:rFonts w:hint="eastAsia" w:cs="Times New Roman"/>
                <w:color w:val="auto"/>
                <w:sz w:val="24"/>
                <w:lang w:eastAsia="zh-CN"/>
              </w:rPr>
              <w:t>”</w:t>
            </w:r>
            <w:r>
              <w:rPr>
                <w:rFonts w:hint="default" w:ascii="Times New Roman" w:hAnsi="Times New Roman" w:eastAsia="宋体" w:cs="Times New Roman"/>
                <w:color w:val="auto"/>
                <w:sz w:val="24"/>
              </w:rPr>
              <w:t>，根据上文</w:t>
            </w:r>
            <w:r>
              <w:rPr>
                <w:rFonts w:hint="eastAsia" w:ascii="Times New Roman" w:hAnsi="Times New Roman" w:eastAsia="宋体" w:cs="Times New Roman"/>
                <w:color w:val="auto"/>
                <w:sz w:val="24"/>
                <w:lang w:val="en-US" w:eastAsia="zh-CN"/>
              </w:rPr>
              <w:t>分析可知</w:t>
            </w:r>
            <w:r>
              <w:rPr>
                <w:rFonts w:hint="default" w:ascii="Times New Roman" w:hAnsi="Times New Roman" w:eastAsia="宋体" w:cs="Times New Roman"/>
                <w:color w:val="auto"/>
                <w:sz w:val="24"/>
              </w:rPr>
              <w:t>，本项目产生的废气均能够实现达标排放</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因此，项目采用的废气处理设施是有效可行的。</w:t>
            </w:r>
          </w:p>
          <w:p w14:paraId="7046ACA0">
            <w:pPr>
              <w:keepNext w:val="0"/>
              <w:keepLines/>
              <w:pageBreakBefore w:val="0"/>
              <w:tabs>
                <w:tab w:val="left" w:pos="4830"/>
              </w:tabs>
              <w:kinsoku/>
              <w:overflowPunct/>
              <w:bidi w:val="0"/>
              <w:adjustRightInd/>
              <w:spacing w:line="360" w:lineRule="auto"/>
              <w:ind w:firstLine="482" w:firstLineChars="200"/>
              <w:rPr>
                <w:rFonts w:hint="default" w:ascii="Times New Roman" w:hAnsi="Times New Roman" w:cs="Times New Roman"/>
                <w:b/>
                <w:bCs/>
                <w:color w:val="auto"/>
                <w:sz w:val="24"/>
              </w:rPr>
            </w:pPr>
            <w:r>
              <w:rPr>
                <w:rFonts w:hint="eastAsia" w:cs="Times New Roman"/>
                <w:b/>
                <w:bCs/>
                <w:color w:val="auto"/>
                <w:sz w:val="24"/>
                <w:lang w:val="en-US" w:eastAsia="zh-CN"/>
              </w:rPr>
              <w:t>5、</w:t>
            </w:r>
            <w:r>
              <w:rPr>
                <w:rFonts w:hint="default" w:ascii="Times New Roman" w:hAnsi="Times New Roman" w:cs="Times New Roman"/>
                <w:b/>
                <w:bCs/>
                <w:color w:val="auto"/>
                <w:sz w:val="24"/>
              </w:rPr>
              <w:t>自行监测一览表</w:t>
            </w:r>
          </w:p>
          <w:p w14:paraId="02DA6486">
            <w:pPr>
              <w:keepNext w:val="0"/>
              <w:keepLines/>
              <w:pageBreakBefore w:val="0"/>
              <w:kinsoku/>
              <w:overflowPunct/>
              <w:bidi w:val="0"/>
              <w:adjustRightInd/>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根据《排污单位自行监测技术指南</w:t>
            </w:r>
            <w:r>
              <w:rPr>
                <w:rFonts w:hint="eastAsia" w:cs="Times New Roman"/>
                <w:color w:val="auto"/>
                <w:sz w:val="24"/>
                <w:lang w:val="en-US" w:eastAsia="zh-CN"/>
              </w:rPr>
              <w:t xml:space="preserve"> </w:t>
            </w:r>
            <w:r>
              <w:rPr>
                <w:rFonts w:hint="default" w:ascii="Times New Roman" w:hAnsi="Times New Roman" w:eastAsia="宋体" w:cs="Times New Roman"/>
                <w:color w:val="auto"/>
                <w:sz w:val="24"/>
              </w:rPr>
              <w:t>橡胶和塑料制品》（HJ1207—2021）中</w:t>
            </w:r>
            <w:r>
              <w:rPr>
                <w:rFonts w:hint="eastAsia" w:cs="Times New Roman"/>
                <w:color w:val="auto"/>
                <w:sz w:val="24"/>
                <w:lang w:val="en-US" w:eastAsia="zh-CN"/>
              </w:rPr>
              <w:t>表4</w:t>
            </w:r>
            <w:r>
              <w:rPr>
                <w:rFonts w:hint="default" w:ascii="Times New Roman" w:hAnsi="Times New Roman" w:eastAsia="宋体" w:cs="Times New Roman"/>
                <w:color w:val="auto"/>
                <w:sz w:val="24"/>
              </w:rPr>
              <w:t>的相关要求</w:t>
            </w:r>
            <w:r>
              <w:rPr>
                <w:rFonts w:hint="eastAsia" w:cs="Times New Roman"/>
                <w:color w:val="auto"/>
                <w:sz w:val="24"/>
                <w:lang w:val="en-US" w:eastAsia="zh-CN"/>
              </w:rPr>
              <w:t>和</w:t>
            </w:r>
            <w:r>
              <w:rPr>
                <w:color w:val="auto"/>
                <w:sz w:val="24"/>
                <w:lang w:bidi="ar"/>
              </w:rPr>
              <w:t>《排污单位自行监测技术指南 火力发电及锅炉》（HJ 820-2017）</w:t>
            </w:r>
            <w:r>
              <w:rPr>
                <w:rFonts w:hint="eastAsia"/>
                <w:color w:val="auto"/>
                <w:sz w:val="24"/>
                <w:lang w:val="en-US" w:eastAsia="zh-CN" w:bidi="ar"/>
              </w:rPr>
              <w:t>中表1（生物质蒸汽发生器参照燃煤锅炉）的相关要求</w:t>
            </w:r>
            <w:r>
              <w:rPr>
                <w:rFonts w:hint="default" w:ascii="Times New Roman" w:hAnsi="Times New Roman" w:eastAsia="宋体" w:cs="Times New Roman"/>
                <w:color w:val="auto"/>
                <w:sz w:val="24"/>
              </w:rPr>
              <w:t>，本项目废气自行监测</w:t>
            </w:r>
            <w:r>
              <w:rPr>
                <w:rFonts w:hint="eastAsia" w:cs="Times New Roman"/>
                <w:color w:val="auto"/>
                <w:sz w:val="24"/>
                <w:lang w:val="en-US" w:eastAsia="zh-CN"/>
              </w:rPr>
              <w:t>的</w:t>
            </w:r>
            <w:r>
              <w:rPr>
                <w:rFonts w:hint="default" w:ascii="Times New Roman" w:hAnsi="Times New Roman" w:eastAsia="宋体" w:cs="Times New Roman"/>
                <w:color w:val="auto"/>
                <w:sz w:val="24"/>
              </w:rPr>
              <w:t>相关内容详见下表。</w:t>
            </w:r>
          </w:p>
          <w:p w14:paraId="176CFE54">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w:t>
            </w:r>
            <w:r>
              <w:rPr>
                <w:rFonts w:hint="eastAsia" w:cs="Times New Roman"/>
                <w:b/>
                <w:color w:val="auto"/>
                <w:sz w:val="24"/>
                <w:szCs w:val="24"/>
                <w:lang w:val="en-US" w:eastAsia="zh-CN"/>
              </w:rPr>
              <w:t>11</w:t>
            </w:r>
            <w:r>
              <w:rPr>
                <w:rFonts w:hint="default" w:ascii="Times New Roman" w:hAnsi="Times New Roman" w:cs="Times New Roman"/>
                <w:b/>
                <w:color w:val="auto"/>
                <w:sz w:val="24"/>
                <w:szCs w:val="24"/>
              </w:rPr>
              <w:t xml:space="preserve">  项目废气自行监测一览表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818"/>
              <w:gridCol w:w="1100"/>
              <w:gridCol w:w="644"/>
              <w:gridCol w:w="2069"/>
              <w:gridCol w:w="719"/>
              <w:gridCol w:w="1410"/>
              <w:gridCol w:w="500"/>
            </w:tblGrid>
            <w:tr w14:paraId="1E409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365" w:type="pct"/>
                  <w:noWrap w:val="0"/>
                  <w:vAlign w:val="center"/>
                </w:tcPr>
                <w:p w14:paraId="3519E9D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类别</w:t>
                  </w:r>
                </w:p>
              </w:tc>
              <w:tc>
                <w:tcPr>
                  <w:tcW w:w="522" w:type="pct"/>
                  <w:noWrap w:val="0"/>
                  <w:vAlign w:val="center"/>
                </w:tcPr>
                <w:p w14:paraId="4E845A2F">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监测点位</w:t>
                  </w:r>
                </w:p>
              </w:tc>
              <w:tc>
                <w:tcPr>
                  <w:tcW w:w="702" w:type="pct"/>
                  <w:noWrap w:val="0"/>
                  <w:vAlign w:val="center"/>
                </w:tcPr>
                <w:p w14:paraId="31DFB7A7">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监测指标</w:t>
                  </w:r>
                </w:p>
              </w:tc>
              <w:tc>
                <w:tcPr>
                  <w:tcW w:w="411" w:type="pct"/>
                  <w:noWrap w:val="0"/>
                  <w:vAlign w:val="center"/>
                </w:tcPr>
                <w:p w14:paraId="62B05ACB">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监测频次</w:t>
                  </w:r>
                </w:p>
              </w:tc>
              <w:tc>
                <w:tcPr>
                  <w:tcW w:w="1320" w:type="pct"/>
                  <w:noWrap w:val="0"/>
                  <w:vAlign w:val="center"/>
                </w:tcPr>
                <w:p w14:paraId="70B6EB1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执行标准</w:t>
                  </w:r>
                </w:p>
              </w:tc>
              <w:tc>
                <w:tcPr>
                  <w:tcW w:w="1358" w:type="pct"/>
                  <w:gridSpan w:val="2"/>
                  <w:noWrap w:val="0"/>
                  <w:vAlign w:val="center"/>
                </w:tcPr>
                <w:p w14:paraId="01FDCDEF">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限值</w:t>
                  </w:r>
                </w:p>
              </w:tc>
              <w:tc>
                <w:tcPr>
                  <w:tcW w:w="319" w:type="pct"/>
                  <w:noWrap w:val="0"/>
                  <w:vAlign w:val="center"/>
                </w:tcPr>
                <w:p w14:paraId="429C6757">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bCs/>
                      <w:i w:val="0"/>
                      <w:iCs/>
                      <w:color w:val="auto"/>
                      <w:sz w:val="21"/>
                      <w:szCs w:val="21"/>
                      <w:vertAlign w:val="baseline"/>
                      <w:lang w:val="en-US" w:eastAsia="zh-CN"/>
                    </w:rPr>
                  </w:pPr>
                  <w:r>
                    <w:rPr>
                      <w:rFonts w:hint="default" w:ascii="Times New Roman" w:hAnsi="Times New Roman" w:cs="Times New Roman" w:eastAsiaTheme="minorEastAsia"/>
                      <w:b/>
                      <w:bCs/>
                      <w:i w:val="0"/>
                      <w:iCs/>
                      <w:color w:val="auto"/>
                      <w:sz w:val="21"/>
                      <w:szCs w:val="21"/>
                      <w:vertAlign w:val="baseline"/>
                      <w:lang w:val="en-US" w:eastAsia="zh-CN"/>
                    </w:rPr>
                    <w:t>备注</w:t>
                  </w:r>
                </w:p>
              </w:tc>
            </w:tr>
            <w:tr w14:paraId="79F38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365" w:type="pct"/>
                  <w:vMerge w:val="restart"/>
                  <w:noWrap w:val="0"/>
                  <w:vAlign w:val="center"/>
                </w:tcPr>
                <w:p w14:paraId="2D4D761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废气</w:t>
                  </w:r>
                </w:p>
              </w:tc>
              <w:tc>
                <w:tcPr>
                  <w:tcW w:w="522" w:type="pct"/>
                  <w:vMerge w:val="restart"/>
                  <w:noWrap w:val="0"/>
                  <w:vAlign w:val="center"/>
                </w:tcPr>
                <w:p w14:paraId="6EB50098">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DA001（排气筒高度为15m）</w:t>
                  </w:r>
                </w:p>
              </w:tc>
              <w:tc>
                <w:tcPr>
                  <w:tcW w:w="702" w:type="pct"/>
                  <w:noWrap w:val="0"/>
                  <w:vAlign w:val="center"/>
                </w:tcPr>
                <w:p w14:paraId="003661BD">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非甲烷总烃</w:t>
                  </w:r>
                </w:p>
              </w:tc>
              <w:tc>
                <w:tcPr>
                  <w:tcW w:w="411" w:type="pct"/>
                  <w:noWrap w:val="0"/>
                  <w:vAlign w:val="center"/>
                </w:tcPr>
                <w:p w14:paraId="6340C59B">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1次/半年</w:t>
                  </w:r>
                </w:p>
              </w:tc>
              <w:tc>
                <w:tcPr>
                  <w:tcW w:w="1320" w:type="pct"/>
                  <w:vMerge w:val="restart"/>
                  <w:noWrap w:val="0"/>
                  <w:vAlign w:val="center"/>
                </w:tcPr>
                <w:p w14:paraId="3431A81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执行GB31572-2015《合成树脂工业污染物排放标准》（含2024年修改单）表4标准</w:t>
                  </w:r>
                </w:p>
              </w:tc>
              <w:tc>
                <w:tcPr>
                  <w:tcW w:w="458" w:type="pct"/>
                  <w:noWrap w:val="0"/>
                  <w:vAlign w:val="center"/>
                </w:tcPr>
                <w:p w14:paraId="4CC12BED">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3C8B60C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100mg/m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restart"/>
                  <w:noWrap w:val="0"/>
                  <w:vAlign w:val="center"/>
                </w:tcPr>
                <w:p w14:paraId="2D3CA98B">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有组织排放</w:t>
                  </w:r>
                </w:p>
              </w:tc>
            </w:tr>
            <w:tr w14:paraId="3ECA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5" w:type="pct"/>
                  <w:vMerge w:val="continue"/>
                  <w:noWrap w:val="0"/>
                  <w:vAlign w:val="center"/>
                </w:tcPr>
                <w:p w14:paraId="0D38FEC7">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3B4827D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7E52872D">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rPr>
                    <w:t>苯乙烯</w:t>
                  </w:r>
                </w:p>
              </w:tc>
              <w:tc>
                <w:tcPr>
                  <w:tcW w:w="411" w:type="pct"/>
                  <w:vMerge w:val="restart"/>
                  <w:noWrap w:val="0"/>
                  <w:vAlign w:val="center"/>
                </w:tcPr>
                <w:p w14:paraId="6D9637DC">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1次/年</w:t>
                  </w:r>
                </w:p>
              </w:tc>
              <w:tc>
                <w:tcPr>
                  <w:tcW w:w="1320" w:type="pct"/>
                  <w:vMerge w:val="continue"/>
                  <w:noWrap w:val="0"/>
                  <w:vAlign w:val="center"/>
                </w:tcPr>
                <w:p w14:paraId="5AE69363">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58" w:type="pct"/>
                  <w:noWrap w:val="0"/>
                  <w:vAlign w:val="center"/>
                </w:tcPr>
                <w:p w14:paraId="74718EAA">
                  <w:pPr>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0410C3D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50mg/m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continue"/>
                  <w:noWrap w:val="0"/>
                  <w:vAlign w:val="center"/>
                </w:tcPr>
                <w:p w14:paraId="5748B27F">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16A7E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5" w:type="pct"/>
                  <w:vMerge w:val="continue"/>
                  <w:noWrap w:val="0"/>
                  <w:vAlign w:val="center"/>
                </w:tcPr>
                <w:p w14:paraId="6D31AB5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788510B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6586946B">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lang w:val="en-US" w:eastAsia="zh-CN"/>
                    </w:rPr>
                    <w:t>甲苯</w:t>
                  </w:r>
                </w:p>
              </w:tc>
              <w:tc>
                <w:tcPr>
                  <w:tcW w:w="411" w:type="pct"/>
                  <w:vMerge w:val="continue"/>
                  <w:noWrap w:val="0"/>
                  <w:vAlign w:val="center"/>
                </w:tcPr>
                <w:p w14:paraId="0F8BDBE1">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vMerge w:val="continue"/>
                  <w:noWrap w:val="0"/>
                  <w:vAlign w:val="center"/>
                </w:tcPr>
                <w:p w14:paraId="4EF5DFE4">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58" w:type="pct"/>
                  <w:noWrap w:val="0"/>
                  <w:vAlign w:val="center"/>
                </w:tcPr>
                <w:p w14:paraId="70A90FC8">
                  <w:pPr>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272D9F3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15mg/m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continue"/>
                  <w:noWrap w:val="0"/>
                  <w:vAlign w:val="center"/>
                </w:tcPr>
                <w:p w14:paraId="38C17DE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165D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365" w:type="pct"/>
                  <w:vMerge w:val="continue"/>
                  <w:noWrap w:val="0"/>
                  <w:vAlign w:val="center"/>
                </w:tcPr>
                <w:p w14:paraId="5DE8FEFD">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0A9F9D1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0BA4CEA5">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乙苯</w:t>
                  </w:r>
                </w:p>
              </w:tc>
              <w:tc>
                <w:tcPr>
                  <w:tcW w:w="411" w:type="pct"/>
                  <w:vMerge w:val="continue"/>
                  <w:noWrap w:val="0"/>
                  <w:vAlign w:val="center"/>
                </w:tcPr>
                <w:p w14:paraId="2DF2483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vMerge w:val="continue"/>
                  <w:noWrap w:val="0"/>
                  <w:vAlign w:val="center"/>
                </w:tcPr>
                <w:p w14:paraId="13BA4755">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58" w:type="pct"/>
                  <w:noWrap w:val="0"/>
                  <w:vAlign w:val="center"/>
                </w:tcPr>
                <w:p w14:paraId="6DDCD439">
                  <w:pPr>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kern w:val="2"/>
                      <w:sz w:val="21"/>
                      <w:szCs w:val="21"/>
                      <w:vertAlign w:val="baseline"/>
                      <w:lang w:val="en-US" w:eastAsia="zh-CN" w:bidi="ar-SA"/>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41C8CE44">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kern w:val="2"/>
                      <w:sz w:val="21"/>
                      <w:szCs w:val="21"/>
                      <w:vertAlign w:val="baseline"/>
                      <w:lang w:val="en-US" w:eastAsia="zh-CN" w:bidi="ar-SA"/>
                    </w:rPr>
                  </w:pPr>
                  <w:r>
                    <w:rPr>
                      <w:rFonts w:hint="default" w:ascii="Times New Roman" w:hAnsi="Times New Roman" w:cs="Times New Roman" w:eastAsiaTheme="minorEastAsia"/>
                      <w:b w:val="0"/>
                      <w:bCs w:val="0"/>
                      <w:i w:val="0"/>
                      <w:iCs/>
                      <w:color w:val="auto"/>
                      <w:sz w:val="21"/>
                      <w:szCs w:val="21"/>
                      <w:vertAlign w:val="baseline"/>
                      <w:lang w:val="en-US" w:eastAsia="zh-CN"/>
                    </w:rPr>
                    <w:t>100mg/m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continue"/>
                  <w:noWrap w:val="0"/>
                  <w:vAlign w:val="center"/>
                </w:tcPr>
                <w:p w14:paraId="66B10BA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4E58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65" w:type="pct"/>
                  <w:vMerge w:val="continue"/>
                  <w:noWrap w:val="0"/>
                  <w:vAlign w:val="center"/>
                </w:tcPr>
                <w:p w14:paraId="05217168">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363A5F2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0FE5B6B9">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臭气浓度</w:t>
                  </w:r>
                </w:p>
              </w:tc>
              <w:tc>
                <w:tcPr>
                  <w:tcW w:w="411" w:type="pct"/>
                  <w:vMerge w:val="continue"/>
                  <w:noWrap w:val="0"/>
                  <w:vAlign w:val="center"/>
                </w:tcPr>
                <w:p w14:paraId="32D04E17">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noWrap w:val="0"/>
                  <w:vAlign w:val="center"/>
                </w:tcPr>
                <w:p w14:paraId="7ED661B5">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rPr>
                    <w:t>执行</w:t>
                  </w:r>
                  <w:r>
                    <w:rPr>
                      <w:rFonts w:hint="default" w:ascii="Times New Roman" w:hAnsi="Times New Roman" w:cs="Times New Roman" w:eastAsiaTheme="minorEastAsia"/>
                      <w:b w:val="0"/>
                      <w:bCs w:val="0"/>
                      <w:i w:val="0"/>
                      <w:iCs/>
                      <w:color w:val="auto"/>
                      <w:sz w:val="21"/>
                      <w:szCs w:val="21"/>
                      <w:lang w:val="zh-CN"/>
                    </w:rPr>
                    <w:t>《恶臭污染物排放标准》（GB14554-93）</w:t>
                  </w:r>
                  <w:r>
                    <w:rPr>
                      <w:rFonts w:hint="default" w:ascii="Times New Roman" w:hAnsi="Times New Roman" w:cs="Times New Roman" w:eastAsiaTheme="minorEastAsia"/>
                      <w:b w:val="0"/>
                      <w:bCs w:val="0"/>
                      <w:i w:val="0"/>
                      <w:iCs/>
                      <w:color w:val="auto"/>
                      <w:sz w:val="21"/>
                      <w:szCs w:val="21"/>
                      <w:lang w:val="en-US" w:eastAsia="zh-CN"/>
                    </w:rPr>
                    <w:t>表2标准</w:t>
                  </w:r>
                </w:p>
              </w:tc>
              <w:tc>
                <w:tcPr>
                  <w:tcW w:w="458" w:type="pct"/>
                  <w:noWrap w:val="0"/>
                  <w:vAlign w:val="center"/>
                </w:tcPr>
                <w:p w14:paraId="7BCF7BA8">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排放量</w:t>
                  </w:r>
                </w:p>
              </w:tc>
              <w:tc>
                <w:tcPr>
                  <w:tcW w:w="900" w:type="pct"/>
                  <w:noWrap w:val="0"/>
                  <w:vAlign w:val="center"/>
                </w:tcPr>
                <w:p w14:paraId="1E2E660B">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2000（无量纲）</w:t>
                  </w:r>
                </w:p>
              </w:tc>
              <w:tc>
                <w:tcPr>
                  <w:tcW w:w="319" w:type="pct"/>
                  <w:vMerge w:val="continue"/>
                  <w:noWrap w:val="0"/>
                  <w:vAlign w:val="center"/>
                </w:tcPr>
                <w:p w14:paraId="218075BC">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6755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65" w:type="pct"/>
                  <w:vMerge w:val="continue"/>
                  <w:noWrap w:val="0"/>
                  <w:vAlign w:val="center"/>
                </w:tcPr>
                <w:p w14:paraId="13A1A57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restart"/>
                  <w:noWrap w:val="0"/>
                  <w:vAlign w:val="center"/>
                </w:tcPr>
                <w:p w14:paraId="0C30E18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DA002（排气筒高度为30m）</w:t>
                  </w:r>
                </w:p>
              </w:tc>
              <w:tc>
                <w:tcPr>
                  <w:tcW w:w="702" w:type="pct"/>
                  <w:noWrap w:val="0"/>
                  <w:vAlign w:val="center"/>
                </w:tcPr>
                <w:p w14:paraId="00AA7311">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颗粒物</w:t>
                  </w:r>
                </w:p>
              </w:tc>
              <w:tc>
                <w:tcPr>
                  <w:tcW w:w="411" w:type="pct"/>
                  <w:vMerge w:val="restart"/>
                  <w:noWrap w:val="0"/>
                  <w:vAlign w:val="center"/>
                </w:tcPr>
                <w:p w14:paraId="66A8F51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1月/次</w:t>
                  </w:r>
                </w:p>
              </w:tc>
              <w:tc>
                <w:tcPr>
                  <w:tcW w:w="1320" w:type="pct"/>
                  <w:vMerge w:val="restart"/>
                  <w:noWrap w:val="0"/>
                  <w:vAlign w:val="center"/>
                </w:tcPr>
                <w:p w14:paraId="46261951">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rPr>
                    <w:t>执行《锅炉大气污染物排放标准》（GB13271-2014）表2新建锅炉大气污染物排放浓度限值</w:t>
                  </w:r>
                </w:p>
              </w:tc>
              <w:tc>
                <w:tcPr>
                  <w:tcW w:w="458" w:type="pct"/>
                  <w:noWrap w:val="0"/>
                  <w:vAlign w:val="center"/>
                </w:tcPr>
                <w:p w14:paraId="278F75E3">
                  <w:pPr>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78E8A08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50mg/m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restart"/>
                  <w:noWrap w:val="0"/>
                  <w:vAlign w:val="center"/>
                </w:tcPr>
                <w:p w14:paraId="5326A21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有组织排放</w:t>
                  </w:r>
                </w:p>
              </w:tc>
            </w:tr>
            <w:tr w14:paraId="4827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65" w:type="pct"/>
                  <w:vMerge w:val="continue"/>
                  <w:noWrap w:val="0"/>
                  <w:vAlign w:val="center"/>
                </w:tcPr>
                <w:p w14:paraId="449DBCC8">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50F40011">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6C46AFA9">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二氧化硫</w:t>
                  </w:r>
                </w:p>
              </w:tc>
              <w:tc>
                <w:tcPr>
                  <w:tcW w:w="411" w:type="pct"/>
                  <w:vMerge w:val="continue"/>
                  <w:noWrap w:val="0"/>
                  <w:vAlign w:val="center"/>
                </w:tcPr>
                <w:p w14:paraId="0542EB34">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vMerge w:val="continue"/>
                  <w:noWrap w:val="0"/>
                  <w:vAlign w:val="center"/>
                </w:tcPr>
                <w:p w14:paraId="66D09AD5">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58" w:type="pct"/>
                  <w:noWrap w:val="0"/>
                  <w:vAlign w:val="center"/>
                </w:tcPr>
                <w:p w14:paraId="28AEDD79">
                  <w:pPr>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1AC9D7B3">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300mg/m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continue"/>
                  <w:noWrap w:val="0"/>
                  <w:vAlign w:val="center"/>
                </w:tcPr>
                <w:p w14:paraId="5A9047D2">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64972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5" w:type="pct"/>
                  <w:vMerge w:val="continue"/>
                  <w:noWrap w:val="0"/>
                  <w:vAlign w:val="center"/>
                </w:tcPr>
                <w:p w14:paraId="2BCFEED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2D26C11D">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shd w:val="clear" w:color="auto" w:fill="auto"/>
                  <w:noWrap w:val="0"/>
                  <w:vAlign w:val="center"/>
                </w:tcPr>
                <w:p w14:paraId="5B3716A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kern w:val="2"/>
                      <w:sz w:val="21"/>
                      <w:szCs w:val="21"/>
                      <w:lang w:val="en-US" w:eastAsia="zh-CN" w:bidi="ar-SA"/>
                    </w:rPr>
                  </w:pPr>
                  <w:r>
                    <w:rPr>
                      <w:rFonts w:hint="default" w:ascii="Times New Roman" w:hAnsi="Times New Roman" w:cs="Times New Roman" w:eastAsiaTheme="minorEastAsia"/>
                      <w:b w:val="0"/>
                      <w:bCs w:val="0"/>
                      <w:i w:val="0"/>
                      <w:iCs/>
                      <w:color w:val="auto"/>
                      <w:sz w:val="21"/>
                      <w:szCs w:val="21"/>
                      <w:lang w:val="en-US" w:eastAsia="zh-CN"/>
                    </w:rPr>
                    <w:t>氮氧化物</w:t>
                  </w:r>
                </w:p>
              </w:tc>
              <w:tc>
                <w:tcPr>
                  <w:tcW w:w="411" w:type="pct"/>
                  <w:vMerge w:val="continue"/>
                  <w:shd w:val="clear" w:color="auto" w:fill="auto"/>
                  <w:noWrap w:val="0"/>
                  <w:vAlign w:val="center"/>
                </w:tcPr>
                <w:p w14:paraId="01AED13D">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kern w:val="2"/>
                      <w:sz w:val="21"/>
                      <w:szCs w:val="21"/>
                      <w:vertAlign w:val="baseline"/>
                      <w:lang w:val="en-US" w:eastAsia="zh-CN" w:bidi="ar-SA"/>
                    </w:rPr>
                  </w:pPr>
                </w:p>
              </w:tc>
              <w:tc>
                <w:tcPr>
                  <w:tcW w:w="1320" w:type="pct"/>
                  <w:vMerge w:val="continue"/>
                  <w:shd w:val="clear" w:color="auto" w:fill="auto"/>
                  <w:noWrap w:val="0"/>
                  <w:vAlign w:val="center"/>
                </w:tcPr>
                <w:p w14:paraId="68BB52D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kern w:val="2"/>
                      <w:sz w:val="21"/>
                      <w:szCs w:val="21"/>
                      <w:vertAlign w:val="baseline"/>
                      <w:lang w:val="en-US" w:eastAsia="zh-CN" w:bidi="ar-SA"/>
                    </w:rPr>
                  </w:pPr>
                </w:p>
              </w:tc>
              <w:tc>
                <w:tcPr>
                  <w:tcW w:w="458" w:type="pct"/>
                  <w:shd w:val="clear" w:color="auto" w:fill="auto"/>
                  <w:noWrap w:val="0"/>
                  <w:vAlign w:val="center"/>
                </w:tcPr>
                <w:p w14:paraId="5E7495F0">
                  <w:pPr>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kern w:val="2"/>
                      <w:sz w:val="21"/>
                      <w:szCs w:val="21"/>
                      <w:vertAlign w:val="baseline"/>
                      <w:lang w:val="en-US" w:eastAsia="zh-CN" w:bidi="ar-SA"/>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2E466DE2">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300mg/m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continue"/>
                  <w:noWrap w:val="0"/>
                  <w:vAlign w:val="center"/>
                </w:tcPr>
                <w:p w14:paraId="7A87986C">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59CA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65" w:type="pct"/>
                  <w:vMerge w:val="continue"/>
                  <w:noWrap w:val="0"/>
                  <w:vAlign w:val="center"/>
                </w:tcPr>
                <w:p w14:paraId="13CE0ED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2F33E877">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2807EFBD">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烟气黑度</w:t>
                  </w:r>
                </w:p>
              </w:tc>
              <w:tc>
                <w:tcPr>
                  <w:tcW w:w="411" w:type="pct"/>
                  <w:vMerge w:val="continue"/>
                  <w:noWrap w:val="0"/>
                  <w:vAlign w:val="center"/>
                </w:tcPr>
                <w:p w14:paraId="0E8D9DA7">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vMerge w:val="continue"/>
                  <w:noWrap w:val="0"/>
                  <w:vAlign w:val="center"/>
                </w:tcPr>
                <w:p w14:paraId="49E19EA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58" w:type="pct"/>
                  <w:noWrap w:val="0"/>
                  <w:vAlign w:val="center"/>
                </w:tcPr>
                <w:p w14:paraId="31DBEAF9">
                  <w:pPr>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级</w:t>
                  </w:r>
                </w:p>
              </w:tc>
              <w:tc>
                <w:tcPr>
                  <w:tcW w:w="900" w:type="pct"/>
                  <w:noWrap w:val="0"/>
                  <w:vAlign w:val="center"/>
                </w:tcPr>
                <w:p w14:paraId="50AEC3EB">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w:t>
                  </w:r>
                </w:p>
              </w:tc>
              <w:tc>
                <w:tcPr>
                  <w:tcW w:w="319" w:type="pct"/>
                  <w:vMerge w:val="continue"/>
                  <w:noWrap w:val="0"/>
                  <w:vAlign w:val="center"/>
                </w:tcPr>
                <w:p w14:paraId="762C9AF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564C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65" w:type="pct"/>
                  <w:vMerge w:val="continue"/>
                  <w:noWrap w:val="0"/>
                  <w:vAlign w:val="center"/>
                </w:tcPr>
                <w:p w14:paraId="40990F7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restart"/>
                  <w:noWrap w:val="0"/>
                  <w:vAlign w:val="center"/>
                </w:tcPr>
                <w:p w14:paraId="66B3415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厂界</w:t>
                  </w:r>
                </w:p>
              </w:tc>
              <w:tc>
                <w:tcPr>
                  <w:tcW w:w="702" w:type="pct"/>
                  <w:noWrap w:val="0"/>
                  <w:vAlign w:val="center"/>
                </w:tcPr>
                <w:p w14:paraId="1E552D3F">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甲苯</w:t>
                  </w:r>
                </w:p>
              </w:tc>
              <w:tc>
                <w:tcPr>
                  <w:tcW w:w="411" w:type="pct"/>
                  <w:vMerge w:val="restart"/>
                  <w:noWrap w:val="0"/>
                  <w:vAlign w:val="center"/>
                </w:tcPr>
                <w:p w14:paraId="4710BB3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1次/年</w:t>
                  </w:r>
                </w:p>
              </w:tc>
              <w:tc>
                <w:tcPr>
                  <w:tcW w:w="1320" w:type="pct"/>
                  <w:vMerge w:val="restart"/>
                  <w:noWrap w:val="0"/>
                  <w:vAlign w:val="center"/>
                </w:tcPr>
                <w:p w14:paraId="51BE676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执行GB31572-2015《合成树脂工业污染物排放标准》（含2024年修改单）表9标准</w:t>
                  </w:r>
                </w:p>
              </w:tc>
              <w:tc>
                <w:tcPr>
                  <w:tcW w:w="458" w:type="pct"/>
                  <w:noWrap w:val="0"/>
                  <w:vAlign w:val="center"/>
                </w:tcPr>
                <w:p w14:paraId="341BC9E4">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645E58F3">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0.8mg/m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restart"/>
                  <w:noWrap w:val="0"/>
                  <w:vAlign w:val="center"/>
                </w:tcPr>
                <w:p w14:paraId="1CAA2CD2">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无组织排放</w:t>
                  </w:r>
                </w:p>
              </w:tc>
            </w:tr>
            <w:tr w14:paraId="1FC4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365" w:type="pct"/>
                  <w:vMerge w:val="continue"/>
                  <w:noWrap w:val="0"/>
                  <w:vAlign w:val="center"/>
                </w:tcPr>
                <w:p w14:paraId="15DF67D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212E55A9">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2CB808C3">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eastAsia" w:ascii="Times New Roman" w:hAnsi="Times New Roman" w:cs="Times New Roman" w:eastAsiaTheme="minorEastAsia"/>
                      <w:b w:val="0"/>
                      <w:bCs w:val="0"/>
                      <w:i w:val="0"/>
                      <w:iCs/>
                      <w:color w:val="auto"/>
                      <w:sz w:val="21"/>
                      <w:szCs w:val="21"/>
                      <w:vertAlign w:val="baseline"/>
                      <w:lang w:val="en-US" w:eastAsia="zh-CN"/>
                    </w:rPr>
                    <w:t>颗粒物</w:t>
                  </w:r>
                </w:p>
              </w:tc>
              <w:tc>
                <w:tcPr>
                  <w:tcW w:w="411" w:type="pct"/>
                  <w:vMerge w:val="continue"/>
                  <w:noWrap w:val="0"/>
                  <w:vAlign w:val="center"/>
                </w:tcPr>
                <w:p w14:paraId="188F5F45">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vMerge w:val="continue"/>
                  <w:noWrap w:val="0"/>
                  <w:vAlign w:val="center"/>
                </w:tcPr>
                <w:p w14:paraId="174D1F1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58" w:type="pct"/>
                  <w:noWrap w:val="0"/>
                  <w:vAlign w:val="center"/>
                </w:tcPr>
                <w:p w14:paraId="77222D4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eastAsia"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3F848A9F">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eastAsia" w:ascii="Times New Roman" w:hAnsi="Times New Roman" w:cs="Times New Roman" w:eastAsiaTheme="minorEastAsia"/>
                      <w:b w:val="0"/>
                      <w:bCs w:val="0"/>
                      <w:i w:val="0"/>
                      <w:iCs/>
                      <w:color w:val="auto"/>
                      <w:sz w:val="21"/>
                      <w:szCs w:val="21"/>
                      <w:vertAlign w:val="baseline"/>
                      <w:lang w:val="en-US" w:eastAsia="zh-CN"/>
                    </w:rPr>
                    <w:t>1</w:t>
                  </w:r>
                  <w:r>
                    <w:rPr>
                      <w:rFonts w:hint="default" w:ascii="Times New Roman" w:hAnsi="Times New Roman" w:cs="Times New Roman" w:eastAsiaTheme="minorEastAsia"/>
                      <w:b w:val="0"/>
                      <w:bCs w:val="0"/>
                      <w:i w:val="0"/>
                      <w:iCs/>
                      <w:color w:val="auto"/>
                      <w:sz w:val="21"/>
                      <w:szCs w:val="21"/>
                      <w:vertAlign w:val="baseline"/>
                      <w:lang w:val="en-US" w:eastAsia="zh-CN"/>
                    </w:rPr>
                    <w:t>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continue"/>
                  <w:noWrap w:val="0"/>
                  <w:vAlign w:val="center"/>
                </w:tcPr>
                <w:p w14:paraId="6957EA0A">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7273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5" w:type="pct"/>
                  <w:vMerge w:val="continue"/>
                  <w:noWrap w:val="0"/>
                  <w:vAlign w:val="center"/>
                </w:tcPr>
                <w:p w14:paraId="76CC7142">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57C02C7B">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13C8956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非甲烷总烃</w:t>
                  </w:r>
                </w:p>
              </w:tc>
              <w:tc>
                <w:tcPr>
                  <w:tcW w:w="411" w:type="pct"/>
                  <w:vMerge w:val="continue"/>
                  <w:noWrap w:val="0"/>
                  <w:vAlign w:val="center"/>
                </w:tcPr>
                <w:p w14:paraId="000A83D5">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vMerge w:val="continue"/>
                  <w:noWrap w:val="0"/>
                  <w:vAlign w:val="center"/>
                </w:tcPr>
                <w:p w14:paraId="7070FF94">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58" w:type="pct"/>
                  <w:noWrap w:val="0"/>
                  <w:vAlign w:val="center"/>
                </w:tcPr>
                <w:p w14:paraId="1B5DDCE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06F0F29C">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4mg/m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continue"/>
                  <w:noWrap w:val="0"/>
                  <w:vAlign w:val="center"/>
                </w:tcPr>
                <w:p w14:paraId="4F8B245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14B2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365" w:type="pct"/>
                  <w:vMerge w:val="continue"/>
                  <w:noWrap w:val="0"/>
                  <w:vAlign w:val="center"/>
                </w:tcPr>
                <w:p w14:paraId="10379C7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580B597B">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7D506D7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臭气浓度</w:t>
                  </w:r>
                </w:p>
              </w:tc>
              <w:tc>
                <w:tcPr>
                  <w:tcW w:w="411" w:type="pct"/>
                  <w:vMerge w:val="continue"/>
                  <w:noWrap w:val="0"/>
                  <w:vAlign w:val="center"/>
                </w:tcPr>
                <w:p w14:paraId="76721824">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vMerge w:val="restart"/>
                  <w:noWrap w:val="0"/>
                  <w:vAlign w:val="center"/>
                </w:tcPr>
                <w:p w14:paraId="3BDB9F0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rPr>
                    <w:t>执行《恶臭污染物排放标准》（GB14554-93）表1中二级标准限值</w:t>
                  </w:r>
                </w:p>
              </w:tc>
              <w:tc>
                <w:tcPr>
                  <w:tcW w:w="458" w:type="pct"/>
                  <w:noWrap w:val="0"/>
                  <w:vAlign w:val="center"/>
                </w:tcPr>
                <w:p w14:paraId="6877E0E7">
                  <w:pPr>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11A36FD1">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20mg/m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continue"/>
                  <w:noWrap w:val="0"/>
                  <w:vAlign w:val="center"/>
                </w:tcPr>
                <w:p w14:paraId="7138B569">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718F7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5" w:type="pct"/>
                  <w:vMerge w:val="continue"/>
                  <w:noWrap w:val="0"/>
                  <w:vAlign w:val="center"/>
                </w:tcPr>
                <w:p w14:paraId="05C78A45">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4BC193C3">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noWrap w:val="0"/>
                  <w:vAlign w:val="center"/>
                </w:tcPr>
                <w:p w14:paraId="73B5B438">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苯乙烯</w:t>
                  </w:r>
                </w:p>
              </w:tc>
              <w:tc>
                <w:tcPr>
                  <w:tcW w:w="411" w:type="pct"/>
                  <w:vMerge w:val="continue"/>
                  <w:noWrap w:val="0"/>
                  <w:vAlign w:val="center"/>
                </w:tcPr>
                <w:p w14:paraId="2D55145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vMerge w:val="continue"/>
                  <w:noWrap w:val="0"/>
                  <w:vAlign w:val="center"/>
                </w:tcPr>
                <w:p w14:paraId="2AE4777F">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58" w:type="pct"/>
                  <w:noWrap w:val="0"/>
                  <w:vAlign w:val="center"/>
                </w:tcPr>
                <w:p w14:paraId="1EF2F2D7">
                  <w:pPr>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3DCE7936">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5mg/m</w:t>
                  </w:r>
                  <w:r>
                    <w:rPr>
                      <w:rFonts w:hint="default" w:ascii="Times New Roman" w:hAnsi="Times New Roman" w:cs="Times New Roman" w:eastAsiaTheme="minorEastAsia"/>
                      <w:b w:val="0"/>
                      <w:bCs w:val="0"/>
                      <w:i w:val="0"/>
                      <w:iCs/>
                      <w:color w:val="auto"/>
                      <w:sz w:val="21"/>
                      <w:szCs w:val="21"/>
                      <w:vertAlign w:val="superscript"/>
                      <w:lang w:val="en-US" w:eastAsia="zh-CN"/>
                    </w:rPr>
                    <w:t>3</w:t>
                  </w:r>
                </w:p>
              </w:tc>
              <w:tc>
                <w:tcPr>
                  <w:tcW w:w="319" w:type="pct"/>
                  <w:vMerge w:val="continue"/>
                  <w:noWrap w:val="0"/>
                  <w:vAlign w:val="center"/>
                </w:tcPr>
                <w:p w14:paraId="5BE84D94">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104D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365" w:type="pct"/>
                  <w:vMerge w:val="continue"/>
                  <w:noWrap w:val="0"/>
                  <w:vAlign w:val="center"/>
                </w:tcPr>
                <w:p w14:paraId="78A66141">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restart"/>
                  <w:noWrap w:val="0"/>
                  <w:vAlign w:val="center"/>
                </w:tcPr>
                <w:p w14:paraId="6D719174">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厂区</w:t>
                  </w:r>
                </w:p>
              </w:tc>
              <w:tc>
                <w:tcPr>
                  <w:tcW w:w="702" w:type="pct"/>
                  <w:vMerge w:val="restart"/>
                  <w:noWrap w:val="0"/>
                  <w:vAlign w:val="center"/>
                </w:tcPr>
                <w:p w14:paraId="3A30A2F5">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非甲烷总烃</w:t>
                  </w:r>
                </w:p>
              </w:tc>
              <w:tc>
                <w:tcPr>
                  <w:tcW w:w="411" w:type="pct"/>
                  <w:vMerge w:val="restart"/>
                  <w:noWrap w:val="0"/>
                  <w:vAlign w:val="center"/>
                </w:tcPr>
                <w:p w14:paraId="7C35F8B1">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1次/年</w:t>
                  </w:r>
                </w:p>
              </w:tc>
              <w:tc>
                <w:tcPr>
                  <w:tcW w:w="1320" w:type="pct"/>
                  <w:vMerge w:val="restart"/>
                  <w:noWrap w:val="0"/>
                  <w:vAlign w:val="center"/>
                </w:tcPr>
                <w:p w14:paraId="4861509F">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lang w:val="en-US" w:eastAsia="zh-CN"/>
                    </w:rPr>
                    <w:t>执行</w:t>
                  </w:r>
                  <w:r>
                    <w:rPr>
                      <w:rFonts w:hint="default" w:ascii="Times New Roman" w:hAnsi="Times New Roman" w:cs="Times New Roman" w:eastAsiaTheme="minorEastAsia"/>
                      <w:b w:val="0"/>
                      <w:bCs w:val="0"/>
                      <w:i w:val="0"/>
                      <w:iCs/>
                      <w:color w:val="auto"/>
                      <w:sz w:val="21"/>
                      <w:szCs w:val="21"/>
                    </w:rPr>
                    <w:t>《挥发性有机物无组织排放控制标准》</w:t>
                  </w:r>
                  <w:r>
                    <w:rPr>
                      <w:rFonts w:hint="default" w:ascii="Times New Roman" w:hAnsi="Times New Roman" w:cs="Times New Roman" w:eastAsiaTheme="minorEastAsia"/>
                      <w:b w:val="0"/>
                      <w:bCs w:val="0"/>
                      <w:i w:val="0"/>
                      <w:iCs/>
                      <w:color w:val="auto"/>
                      <w:sz w:val="21"/>
                      <w:szCs w:val="21"/>
                      <w:lang w:eastAsia="zh-CN"/>
                    </w:rPr>
                    <w:t>（</w:t>
                  </w:r>
                  <w:r>
                    <w:rPr>
                      <w:rFonts w:hint="default" w:ascii="Times New Roman" w:hAnsi="Times New Roman" w:cs="Times New Roman" w:eastAsiaTheme="minorEastAsia"/>
                      <w:b w:val="0"/>
                      <w:bCs w:val="0"/>
                      <w:i w:val="0"/>
                      <w:iCs/>
                      <w:color w:val="auto"/>
                      <w:sz w:val="21"/>
                      <w:szCs w:val="21"/>
                    </w:rPr>
                    <w:t>GB37822-2019</w:t>
                  </w:r>
                  <w:r>
                    <w:rPr>
                      <w:rFonts w:hint="default" w:ascii="Times New Roman" w:hAnsi="Times New Roman" w:cs="Times New Roman" w:eastAsiaTheme="minorEastAsia"/>
                      <w:b w:val="0"/>
                      <w:bCs w:val="0"/>
                      <w:i w:val="0"/>
                      <w:iCs/>
                      <w:color w:val="auto"/>
                      <w:sz w:val="21"/>
                      <w:szCs w:val="21"/>
                      <w:lang w:eastAsia="zh-CN"/>
                    </w:rPr>
                    <w:t>）</w:t>
                  </w:r>
                  <w:r>
                    <w:rPr>
                      <w:rFonts w:hint="default" w:ascii="Times New Roman" w:hAnsi="Times New Roman" w:cs="Times New Roman" w:eastAsiaTheme="minorEastAsia"/>
                      <w:b w:val="0"/>
                      <w:bCs w:val="0"/>
                      <w:i w:val="0"/>
                      <w:iCs/>
                      <w:color w:val="auto"/>
                      <w:sz w:val="21"/>
                      <w:szCs w:val="21"/>
                      <w:vertAlign w:val="baseline"/>
                      <w:lang w:val="en-US" w:eastAsia="zh-CN"/>
                    </w:rPr>
                    <w:t>排放标准</w:t>
                  </w:r>
                </w:p>
              </w:tc>
              <w:tc>
                <w:tcPr>
                  <w:tcW w:w="458" w:type="pct"/>
                  <w:noWrap w:val="0"/>
                  <w:vAlign w:val="center"/>
                </w:tcPr>
                <w:p w14:paraId="2E1A1709">
                  <w:pPr>
                    <w:keepNext w:val="0"/>
                    <w:keepLines w:val="0"/>
                    <w:pageBreakBefore w:val="0"/>
                    <w:widowControl/>
                    <w:kinsoku/>
                    <w:wordWrap/>
                    <w:overflowPunct/>
                    <w:topLinePunct w:val="0"/>
                    <w:autoSpaceDE/>
                    <w:autoSpaceDN/>
                    <w:bidi w:val="0"/>
                    <w:adjustRightInd/>
                    <w:snapToGrid w:val="0"/>
                    <w:spacing w:before="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780AE407">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rPr>
                    <w:t>监控点外1h平均浓度</w:t>
                  </w:r>
                  <w:r>
                    <w:rPr>
                      <w:rFonts w:hint="default" w:ascii="Times New Roman" w:hAnsi="Times New Roman" w:cs="Times New Roman" w:eastAsiaTheme="minorEastAsia"/>
                      <w:b w:val="0"/>
                      <w:bCs w:val="0"/>
                      <w:i w:val="0"/>
                      <w:iCs/>
                      <w:color w:val="auto"/>
                      <w:sz w:val="21"/>
                      <w:szCs w:val="21"/>
                      <w:lang w:eastAsia="zh-CN"/>
                    </w:rPr>
                    <w:t>（</w:t>
                  </w:r>
                  <w:r>
                    <w:rPr>
                      <w:rFonts w:hint="default" w:ascii="Times New Roman" w:hAnsi="Times New Roman" w:cs="Times New Roman" w:eastAsiaTheme="minorEastAsia"/>
                      <w:b w:val="0"/>
                      <w:bCs w:val="0"/>
                      <w:i w:val="0"/>
                      <w:iCs/>
                      <w:color w:val="auto"/>
                      <w:sz w:val="21"/>
                      <w:szCs w:val="21"/>
                    </w:rPr>
                    <w:t>10</w:t>
                  </w:r>
                  <w:r>
                    <w:rPr>
                      <w:rFonts w:hint="default" w:ascii="Times New Roman" w:hAnsi="Times New Roman" w:cs="Times New Roman" w:eastAsiaTheme="minorEastAsia"/>
                      <w:b w:val="0"/>
                      <w:bCs w:val="0"/>
                      <w:i w:val="0"/>
                      <w:iCs/>
                      <w:color w:val="auto"/>
                      <w:sz w:val="21"/>
                      <w:szCs w:val="21"/>
                      <w:vertAlign w:val="baseline"/>
                      <w:lang w:val="en-US" w:eastAsia="zh-CN"/>
                    </w:rPr>
                    <w:t>mg/m</w:t>
                  </w:r>
                  <w:r>
                    <w:rPr>
                      <w:rFonts w:hint="default" w:ascii="Times New Roman" w:hAnsi="Times New Roman" w:cs="Times New Roman" w:eastAsiaTheme="minorEastAsia"/>
                      <w:b w:val="0"/>
                      <w:bCs w:val="0"/>
                      <w:i w:val="0"/>
                      <w:iCs/>
                      <w:color w:val="auto"/>
                      <w:sz w:val="21"/>
                      <w:szCs w:val="21"/>
                      <w:vertAlign w:val="superscript"/>
                      <w:lang w:val="en-US" w:eastAsia="zh-CN"/>
                    </w:rPr>
                    <w:t>3</w:t>
                  </w:r>
                  <w:r>
                    <w:rPr>
                      <w:rFonts w:hint="default" w:ascii="Times New Roman" w:hAnsi="Times New Roman" w:cs="Times New Roman" w:eastAsiaTheme="minorEastAsia"/>
                      <w:b w:val="0"/>
                      <w:bCs w:val="0"/>
                      <w:i w:val="0"/>
                      <w:iCs/>
                      <w:color w:val="auto"/>
                      <w:sz w:val="21"/>
                      <w:szCs w:val="21"/>
                      <w:lang w:eastAsia="zh-CN"/>
                    </w:rPr>
                    <w:t>）</w:t>
                  </w:r>
                </w:p>
              </w:tc>
              <w:tc>
                <w:tcPr>
                  <w:tcW w:w="319" w:type="pct"/>
                  <w:vMerge w:val="continue"/>
                  <w:noWrap w:val="0"/>
                  <w:vAlign w:val="center"/>
                </w:tcPr>
                <w:p w14:paraId="2CF0AC52">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36E7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365" w:type="pct"/>
                  <w:vMerge w:val="continue"/>
                  <w:noWrap w:val="0"/>
                  <w:vAlign w:val="center"/>
                </w:tcPr>
                <w:p w14:paraId="75D072E4">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522" w:type="pct"/>
                  <w:vMerge w:val="continue"/>
                  <w:noWrap w:val="0"/>
                  <w:vAlign w:val="center"/>
                </w:tcPr>
                <w:p w14:paraId="62AE0DB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702" w:type="pct"/>
                  <w:vMerge w:val="continue"/>
                  <w:noWrap w:val="0"/>
                  <w:vAlign w:val="center"/>
                </w:tcPr>
                <w:p w14:paraId="763D24B9">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11" w:type="pct"/>
                  <w:vMerge w:val="continue"/>
                  <w:noWrap w:val="0"/>
                  <w:vAlign w:val="center"/>
                </w:tcPr>
                <w:p w14:paraId="2812BF5D">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1320" w:type="pct"/>
                  <w:vMerge w:val="continue"/>
                  <w:noWrap w:val="0"/>
                  <w:vAlign w:val="center"/>
                </w:tcPr>
                <w:p w14:paraId="68CDF2D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c>
                <w:tcPr>
                  <w:tcW w:w="458" w:type="pct"/>
                  <w:noWrap w:val="0"/>
                  <w:vAlign w:val="center"/>
                </w:tcPr>
                <w:p w14:paraId="60CDA2B1">
                  <w:pPr>
                    <w:keepNext w:val="0"/>
                    <w:keepLines w:val="0"/>
                    <w:pageBreakBefore w:val="0"/>
                    <w:widowControl/>
                    <w:kinsoku/>
                    <w:wordWrap/>
                    <w:overflowPunct/>
                    <w:topLinePunct w:val="0"/>
                    <w:autoSpaceDE/>
                    <w:autoSpaceDN/>
                    <w:bidi w:val="0"/>
                    <w:adjustRightInd/>
                    <w:snapToGrid w:val="0"/>
                    <w:spacing w:before="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浓度</w:t>
                  </w:r>
                </w:p>
              </w:tc>
              <w:tc>
                <w:tcPr>
                  <w:tcW w:w="900" w:type="pct"/>
                  <w:noWrap w:val="0"/>
                  <w:vAlign w:val="center"/>
                </w:tcPr>
                <w:p w14:paraId="467FBEEE">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rPr>
                    <w:t>监控点处任意一次浓度值</w:t>
                  </w:r>
                  <w:r>
                    <w:rPr>
                      <w:rFonts w:hint="default" w:ascii="Times New Roman" w:hAnsi="Times New Roman" w:cs="Times New Roman" w:eastAsiaTheme="minorEastAsia"/>
                      <w:b w:val="0"/>
                      <w:bCs w:val="0"/>
                      <w:i w:val="0"/>
                      <w:iCs/>
                      <w:color w:val="auto"/>
                      <w:sz w:val="21"/>
                      <w:szCs w:val="21"/>
                      <w:lang w:eastAsia="zh-CN"/>
                    </w:rPr>
                    <w:t>（</w:t>
                  </w:r>
                  <w:r>
                    <w:rPr>
                      <w:rFonts w:hint="default" w:ascii="Times New Roman" w:hAnsi="Times New Roman" w:cs="Times New Roman" w:eastAsiaTheme="minorEastAsia"/>
                      <w:b w:val="0"/>
                      <w:bCs w:val="0"/>
                      <w:i w:val="0"/>
                      <w:iCs/>
                      <w:color w:val="auto"/>
                      <w:sz w:val="21"/>
                      <w:szCs w:val="21"/>
                      <w:lang w:val="en-US" w:eastAsia="zh-CN"/>
                    </w:rPr>
                    <w:t>30</w:t>
                  </w:r>
                  <w:r>
                    <w:rPr>
                      <w:rFonts w:hint="default" w:ascii="Times New Roman" w:hAnsi="Times New Roman" w:cs="Times New Roman" w:eastAsiaTheme="minorEastAsia"/>
                      <w:b w:val="0"/>
                      <w:bCs w:val="0"/>
                      <w:i w:val="0"/>
                      <w:iCs/>
                      <w:color w:val="auto"/>
                      <w:sz w:val="21"/>
                      <w:szCs w:val="21"/>
                      <w:vertAlign w:val="baseline"/>
                      <w:lang w:val="en-US" w:eastAsia="zh-CN"/>
                    </w:rPr>
                    <w:t>mg/m</w:t>
                  </w:r>
                  <w:r>
                    <w:rPr>
                      <w:rFonts w:hint="default" w:ascii="Times New Roman" w:hAnsi="Times New Roman" w:cs="Times New Roman" w:eastAsiaTheme="minorEastAsia"/>
                      <w:b w:val="0"/>
                      <w:bCs w:val="0"/>
                      <w:i w:val="0"/>
                      <w:iCs/>
                      <w:color w:val="auto"/>
                      <w:sz w:val="21"/>
                      <w:szCs w:val="21"/>
                      <w:vertAlign w:val="superscript"/>
                      <w:lang w:val="en-US" w:eastAsia="zh-CN"/>
                    </w:rPr>
                    <w:t>3</w:t>
                  </w:r>
                  <w:r>
                    <w:rPr>
                      <w:rFonts w:hint="default" w:ascii="Times New Roman" w:hAnsi="Times New Roman" w:cs="Times New Roman" w:eastAsiaTheme="minorEastAsia"/>
                      <w:b w:val="0"/>
                      <w:bCs w:val="0"/>
                      <w:i w:val="0"/>
                      <w:iCs/>
                      <w:color w:val="auto"/>
                      <w:sz w:val="21"/>
                      <w:szCs w:val="21"/>
                      <w:lang w:eastAsia="zh-CN"/>
                    </w:rPr>
                    <w:t>）</w:t>
                  </w:r>
                </w:p>
              </w:tc>
              <w:tc>
                <w:tcPr>
                  <w:tcW w:w="319" w:type="pct"/>
                  <w:vMerge w:val="continue"/>
                  <w:noWrap w:val="0"/>
                  <w:vAlign w:val="center"/>
                </w:tcPr>
                <w:p w14:paraId="765F8800">
                  <w:pPr>
                    <w:pStyle w:val="20"/>
                    <w:keepNext w:val="0"/>
                    <w:keepLines w:val="0"/>
                    <w:pageBreakBefore w:val="0"/>
                    <w:widowControl/>
                    <w:kinsoku/>
                    <w:wordWrap/>
                    <w:overflowPunct/>
                    <w:topLinePunct w:val="0"/>
                    <w:autoSpaceDE/>
                    <w:autoSpaceDN/>
                    <w:bidi w:val="0"/>
                    <w:adjustRightInd/>
                    <w:snapToGrid w:val="0"/>
                    <w:spacing w:before="0" w:after="0" w:line="240" w:lineRule="auto"/>
                    <w:ind w:left="0" w:leftChars="0" w:right="0" w:rightChars="0" w:firstLine="0" w:firstLineChars="0"/>
                    <w:jc w:val="center"/>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p>
              </w:tc>
            </w:tr>
            <w:tr w14:paraId="25A5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000" w:type="pct"/>
                  <w:gridSpan w:val="8"/>
                  <w:noWrap w:val="0"/>
                  <w:vAlign w:val="center"/>
                </w:tcPr>
                <w:p w14:paraId="4821D046">
                  <w:pPr>
                    <w:keepNext w:val="0"/>
                    <w:keepLines/>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val="0"/>
                      <w:i w:val="0"/>
                      <w:iCs/>
                      <w:color w:val="auto"/>
                      <w:sz w:val="21"/>
                      <w:szCs w:val="21"/>
                      <w:vertAlign w:val="baseline"/>
                      <w:lang w:val="en-US" w:eastAsia="zh-CN"/>
                    </w:rPr>
                  </w:pPr>
                  <w:r>
                    <w:rPr>
                      <w:rFonts w:hint="default" w:ascii="Times New Roman" w:hAnsi="Times New Roman" w:cs="Times New Roman" w:eastAsiaTheme="minorEastAsia"/>
                      <w:b w:val="0"/>
                      <w:bCs w:val="0"/>
                      <w:i w:val="0"/>
                      <w:iCs/>
                      <w:color w:val="auto"/>
                      <w:sz w:val="21"/>
                      <w:szCs w:val="21"/>
                      <w:vertAlign w:val="baseline"/>
                      <w:lang w:val="en-US" w:eastAsia="zh-CN"/>
                    </w:rPr>
                    <w:t>备注：</w:t>
                  </w:r>
                  <w:r>
                    <w:rPr>
                      <w:rFonts w:hint="default" w:ascii="Times New Roman" w:hAnsi="Times New Roman" w:cs="Times New Roman" w:eastAsiaTheme="minorEastAsia"/>
                      <w:b w:val="0"/>
                      <w:bCs w:val="0"/>
                      <w:i w:val="0"/>
                      <w:iCs/>
                      <w:color w:val="auto"/>
                      <w:sz w:val="21"/>
                      <w:szCs w:val="21"/>
                    </w:rPr>
                    <w:t>废气排放口规范化要求：排气筒应设置便于采样、监测的采样口，采样口的设置应符合《污染源监测技术规范》要求</w:t>
                  </w:r>
                </w:p>
              </w:tc>
            </w:tr>
          </w:tbl>
          <w:p w14:paraId="3E6CA633">
            <w:pPr>
              <w:keepNext w:val="0"/>
              <w:keepLines/>
              <w:pageBreakBefore w:val="0"/>
              <w:tabs>
                <w:tab w:val="left" w:pos="4830"/>
              </w:tabs>
              <w:kinsoku/>
              <w:overflowPunct/>
              <w:bidi w:val="0"/>
              <w:adjustRightInd/>
              <w:spacing w:line="360" w:lineRule="auto"/>
              <w:ind w:firstLine="482" w:firstLineChars="200"/>
              <w:rPr>
                <w:rFonts w:hint="default" w:ascii="Times New Roman" w:hAnsi="Times New Roman" w:cs="Times New Roman"/>
                <w:b/>
                <w:bCs/>
                <w:color w:val="auto"/>
                <w:sz w:val="24"/>
              </w:rPr>
            </w:pPr>
            <w:r>
              <w:rPr>
                <w:rFonts w:hint="eastAsia" w:eastAsia="宋体" w:cs="Times New Roman"/>
                <w:b/>
                <w:bCs/>
                <w:color w:val="auto"/>
                <w:sz w:val="24"/>
                <w:lang w:val="en-US" w:eastAsia="zh-CN"/>
              </w:rPr>
              <w:t>6、</w:t>
            </w:r>
            <w:r>
              <w:rPr>
                <w:rFonts w:hint="default" w:ascii="Times New Roman" w:hAnsi="Times New Roman" w:eastAsia="宋体" w:cs="Times New Roman"/>
                <w:b/>
                <w:bCs/>
                <w:color w:val="auto"/>
                <w:spacing w:val="-10"/>
                <w:sz w:val="24"/>
                <w:szCs w:val="24"/>
                <w:lang w:val="en-US" w:eastAsia="zh-CN"/>
              </w:rPr>
              <w:t>大气环境影响评价结论</w:t>
            </w:r>
          </w:p>
          <w:p w14:paraId="6EE54A07">
            <w:pPr>
              <w:pStyle w:val="19"/>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jc w:val="both"/>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bCs/>
                <w:color w:val="auto"/>
                <w:sz w:val="24"/>
              </w:rPr>
              <w:t>根据</w:t>
            </w:r>
            <w:r>
              <w:rPr>
                <w:rFonts w:hint="default" w:ascii="Times New Roman" w:hAnsi="Times New Roman" w:cs="Times New Roman" w:eastAsiaTheme="minorEastAsia"/>
                <w:color w:val="auto"/>
                <w:sz w:val="24"/>
                <w:szCs w:val="24"/>
                <w:lang w:eastAsia="zh-CN"/>
              </w:rPr>
              <w:t>红塔区</w:t>
            </w:r>
            <w:r>
              <w:rPr>
                <w:rFonts w:hint="default" w:ascii="Times New Roman" w:hAnsi="Times New Roman" w:cs="Times New Roman" w:eastAsiaTheme="minorEastAsia"/>
                <w:color w:val="auto"/>
                <w:sz w:val="24"/>
                <w:szCs w:val="24"/>
              </w:rPr>
              <w:t>环境空气质量自动监测站</w:t>
            </w:r>
            <w:r>
              <w:rPr>
                <w:rFonts w:hint="default" w:ascii="Times New Roman" w:hAnsi="Times New Roman" w:cs="Times New Roman" w:eastAsiaTheme="minorEastAsia"/>
                <w:color w:val="auto"/>
                <w:sz w:val="24"/>
                <w:szCs w:val="24"/>
                <w:lang w:val="en-US" w:eastAsia="zh-CN"/>
              </w:rPr>
              <w:t>2023年全年长期监测数据统计结果可知</w:t>
            </w:r>
            <w:r>
              <w:rPr>
                <w:rFonts w:hint="default" w:ascii="Times New Roman" w:hAnsi="Times New Roman" w:cs="Times New Roman" w:eastAsiaTheme="minorEastAsia"/>
                <w:bCs/>
                <w:color w:val="auto"/>
                <w:sz w:val="24"/>
                <w:lang w:eastAsia="zh-CN"/>
              </w:rPr>
              <w:t>，</w:t>
            </w:r>
            <w:r>
              <w:rPr>
                <w:rFonts w:hint="default" w:ascii="Times New Roman" w:hAnsi="Times New Roman" w:cs="Times New Roman" w:eastAsiaTheme="minorEastAsia"/>
                <w:bCs/>
                <w:color w:val="auto"/>
                <w:sz w:val="24"/>
                <w:lang w:val="en-US" w:eastAsia="zh-CN"/>
              </w:rPr>
              <w:t>项目所在地的</w:t>
            </w:r>
            <w:r>
              <w:rPr>
                <w:rFonts w:hint="default" w:ascii="Times New Roman" w:hAnsi="Times New Roman" w:cs="Times New Roman" w:eastAsiaTheme="minorEastAsia"/>
                <w:bCs/>
                <w:color w:val="auto"/>
                <w:sz w:val="24"/>
              </w:rPr>
              <w:t>环境空气PM</w:t>
            </w:r>
            <w:r>
              <w:rPr>
                <w:rFonts w:hint="default" w:ascii="Times New Roman" w:hAnsi="Times New Roman" w:cs="Times New Roman" w:eastAsiaTheme="minorEastAsia"/>
                <w:bCs/>
                <w:color w:val="auto"/>
                <w:sz w:val="24"/>
                <w:vertAlign w:val="subscript"/>
              </w:rPr>
              <w:t>10</w:t>
            </w:r>
            <w:r>
              <w:rPr>
                <w:rFonts w:hint="default" w:ascii="Times New Roman" w:hAnsi="Times New Roman" w:cs="Times New Roman" w:eastAsiaTheme="minorEastAsia"/>
                <w:bCs/>
                <w:color w:val="auto"/>
                <w:sz w:val="24"/>
              </w:rPr>
              <w:t>、PM</w:t>
            </w:r>
            <w:r>
              <w:rPr>
                <w:rFonts w:hint="default" w:ascii="Times New Roman" w:hAnsi="Times New Roman" w:cs="Times New Roman" w:eastAsiaTheme="minorEastAsia"/>
                <w:bCs/>
                <w:color w:val="auto"/>
                <w:sz w:val="24"/>
                <w:vertAlign w:val="subscript"/>
              </w:rPr>
              <w:t>2.5</w:t>
            </w:r>
            <w:r>
              <w:rPr>
                <w:rFonts w:hint="default" w:ascii="Times New Roman" w:hAnsi="Times New Roman" w:cs="Times New Roman" w:eastAsiaTheme="minorEastAsia"/>
                <w:bCs/>
                <w:color w:val="auto"/>
                <w:sz w:val="24"/>
              </w:rPr>
              <w:t>、SO</w:t>
            </w:r>
            <w:r>
              <w:rPr>
                <w:rFonts w:hint="default" w:ascii="Times New Roman" w:hAnsi="Times New Roman" w:cs="Times New Roman" w:eastAsiaTheme="minorEastAsia"/>
                <w:bCs/>
                <w:color w:val="auto"/>
                <w:sz w:val="24"/>
                <w:vertAlign w:val="subscript"/>
              </w:rPr>
              <w:t>2</w:t>
            </w:r>
            <w:r>
              <w:rPr>
                <w:rFonts w:hint="default" w:ascii="Times New Roman" w:hAnsi="Times New Roman" w:cs="Times New Roman" w:eastAsiaTheme="minorEastAsia"/>
                <w:bCs/>
                <w:color w:val="auto"/>
                <w:sz w:val="24"/>
              </w:rPr>
              <w:t>、NO</w:t>
            </w:r>
            <w:r>
              <w:rPr>
                <w:rFonts w:hint="default" w:ascii="Times New Roman" w:hAnsi="Times New Roman" w:cs="Times New Roman" w:eastAsiaTheme="minorEastAsia"/>
                <w:bCs/>
                <w:color w:val="auto"/>
                <w:sz w:val="24"/>
                <w:vertAlign w:val="subscript"/>
              </w:rPr>
              <w:t>2</w:t>
            </w:r>
            <w:r>
              <w:rPr>
                <w:rFonts w:hint="default" w:ascii="Times New Roman" w:hAnsi="Times New Roman" w:cs="Times New Roman" w:eastAsiaTheme="minorEastAsia"/>
                <w:bCs/>
                <w:color w:val="auto"/>
                <w:sz w:val="24"/>
              </w:rPr>
              <w:t>、CO、O</w:t>
            </w:r>
            <w:r>
              <w:rPr>
                <w:rFonts w:hint="default" w:ascii="Times New Roman" w:hAnsi="Times New Roman" w:cs="Times New Roman" w:eastAsiaTheme="minorEastAsia"/>
                <w:bCs/>
                <w:color w:val="auto"/>
                <w:sz w:val="24"/>
                <w:vertAlign w:val="subscript"/>
              </w:rPr>
              <w:t>3</w:t>
            </w:r>
            <w:r>
              <w:rPr>
                <w:rFonts w:hint="default" w:ascii="Times New Roman" w:hAnsi="Times New Roman" w:cs="Times New Roman" w:eastAsiaTheme="minorEastAsia"/>
                <w:bCs/>
                <w:color w:val="auto"/>
                <w:sz w:val="24"/>
              </w:rPr>
              <w:t>均达到《环境空气质量标准》（GB3095-2012）中的二级标准，</w:t>
            </w:r>
            <w:r>
              <w:rPr>
                <w:rFonts w:hint="default" w:ascii="Times New Roman" w:hAnsi="Times New Roman" w:cs="Times New Roman" w:eastAsiaTheme="minorEastAsia"/>
                <w:color w:val="auto"/>
                <w:sz w:val="24"/>
                <w:szCs w:val="24"/>
              </w:rPr>
              <w:t>所在区域环境空气质量达标，为达标区</w:t>
            </w:r>
            <w:r>
              <w:rPr>
                <w:rFonts w:hint="default" w:ascii="Times New Roman" w:hAnsi="Times New Roman" w:cs="Times New Roman" w:eastAsiaTheme="minorEastAsia"/>
                <w:color w:val="auto"/>
                <w:sz w:val="24"/>
              </w:rPr>
              <w:t>。本次评价对项目废气产排量及达标排放进行了分析，根据对比分析，</w:t>
            </w:r>
            <w:r>
              <w:rPr>
                <w:rFonts w:hint="default" w:ascii="Times New Roman" w:hAnsi="Times New Roman" w:cs="Times New Roman" w:eastAsiaTheme="minorEastAsia"/>
                <w:color w:val="auto"/>
                <w:sz w:val="24"/>
                <w:lang w:eastAsia="zh-CN"/>
              </w:rPr>
              <w:t>本项目采用的污染治理措施均为排污许可技术规范中的可行技术，</w:t>
            </w:r>
            <w:r>
              <w:rPr>
                <w:rFonts w:hint="default" w:ascii="Times New Roman" w:hAnsi="Times New Roman" w:cs="Times New Roman" w:eastAsiaTheme="minorEastAsia"/>
                <w:color w:val="auto"/>
                <w:sz w:val="24"/>
              </w:rPr>
              <w:t>项目运营期主要大气污染物均能达标排放</w:t>
            </w:r>
            <w:r>
              <w:rPr>
                <w:rFonts w:hint="default" w:ascii="Times New Roman" w:hAnsi="Times New Roman" w:cs="Times New Roman" w:eastAsiaTheme="minorEastAsia"/>
                <w:color w:val="auto"/>
                <w:sz w:val="24"/>
                <w:lang w:eastAsia="zh-CN"/>
              </w:rPr>
              <w:t>，因此</w:t>
            </w:r>
            <w:r>
              <w:rPr>
                <w:rFonts w:hint="default" w:ascii="Times New Roman" w:hAnsi="Times New Roman" w:cs="Times New Roman" w:eastAsiaTheme="minorEastAsia"/>
                <w:color w:val="auto"/>
                <w:sz w:val="24"/>
              </w:rPr>
              <w:t>环境空气影响</w:t>
            </w:r>
            <w:r>
              <w:rPr>
                <w:rFonts w:hint="default" w:ascii="Times New Roman" w:hAnsi="Times New Roman" w:cs="Times New Roman" w:eastAsiaTheme="minorEastAsia"/>
                <w:color w:val="auto"/>
                <w:sz w:val="24"/>
                <w:lang w:eastAsia="zh-CN"/>
              </w:rPr>
              <w:t>在</w:t>
            </w:r>
            <w:r>
              <w:rPr>
                <w:rFonts w:hint="default" w:ascii="Times New Roman" w:hAnsi="Times New Roman" w:cs="Times New Roman" w:eastAsiaTheme="minorEastAsia"/>
                <w:color w:val="auto"/>
                <w:sz w:val="24"/>
              </w:rPr>
              <w:t>可接受</w:t>
            </w:r>
            <w:r>
              <w:rPr>
                <w:rFonts w:hint="default" w:ascii="Times New Roman" w:hAnsi="Times New Roman" w:cs="Times New Roman" w:eastAsiaTheme="minorEastAsia"/>
                <w:color w:val="auto"/>
                <w:sz w:val="24"/>
                <w:lang w:eastAsia="zh-CN"/>
              </w:rPr>
              <w:t>范围内</w:t>
            </w:r>
            <w:r>
              <w:rPr>
                <w:rFonts w:hint="default" w:ascii="Times New Roman" w:hAnsi="Times New Roman" w:cs="Times New Roman" w:eastAsiaTheme="minorEastAsia"/>
                <w:color w:val="auto"/>
                <w:sz w:val="24"/>
              </w:rPr>
              <w:t>。</w:t>
            </w:r>
          </w:p>
          <w:p w14:paraId="35F736EC">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eastAsia" w:ascii="宋体" w:hAnsi="宋体" w:eastAsia="宋体" w:cs="宋体"/>
                <w:b/>
                <w:bCs/>
                <w:color w:val="auto"/>
                <w:sz w:val="24"/>
                <w:szCs w:val="24"/>
                <w:lang w:eastAsia="zh-CN"/>
              </w:rPr>
            </w:pPr>
            <w:r>
              <w:rPr>
                <w:rFonts w:hint="eastAsia" w:ascii="宋体" w:hAnsi="宋体" w:eastAsia="宋体" w:cs="宋体"/>
                <w:b/>
                <w:bCs w:val="0"/>
                <w:color w:val="auto"/>
                <w:spacing w:val="-10"/>
                <w:kern w:val="0"/>
                <w:sz w:val="24"/>
                <w:szCs w:val="24"/>
                <w:lang w:val="en-US" w:eastAsia="zh-CN" w:bidi="ar-SA"/>
              </w:rPr>
              <w:t>二、地表水</w:t>
            </w:r>
            <w:r>
              <w:rPr>
                <w:rFonts w:hint="default" w:ascii="宋体" w:hAnsi="宋体" w:eastAsia="宋体" w:cs="宋体"/>
                <w:b/>
                <w:bCs w:val="0"/>
                <w:color w:val="auto"/>
                <w:spacing w:val="-10"/>
                <w:kern w:val="0"/>
                <w:sz w:val="24"/>
                <w:szCs w:val="24"/>
                <w:lang w:val="en-US" w:eastAsia="zh-CN" w:bidi="ar-SA"/>
              </w:rPr>
              <w:t>环境影响和保护措施</w:t>
            </w:r>
          </w:p>
          <w:p w14:paraId="4E9D47FB">
            <w:pPr>
              <w:keepNext w:val="0"/>
              <w:keepLines/>
              <w:pageBreakBefore w:val="0"/>
              <w:widowControl w:val="0"/>
              <w:tabs>
                <w:tab w:val="left" w:pos="4830"/>
              </w:tabs>
              <w:kinsoku/>
              <w:overflowPunct/>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color w:val="auto"/>
                <w:sz w:val="24"/>
                <w:lang w:eastAsia="zh-CN"/>
              </w:rPr>
            </w:pPr>
            <w:r>
              <w:rPr>
                <w:rFonts w:hint="default" w:ascii="Times New Roman" w:hAnsi="Times New Roman" w:cs="Times New Roman" w:eastAsiaTheme="minorEastAsia"/>
                <w:b/>
                <w:color w:val="auto"/>
                <w:sz w:val="24"/>
                <w:lang w:val="en-US" w:eastAsia="zh-CN"/>
              </w:rPr>
              <w:t>1、</w:t>
            </w:r>
            <w:r>
              <w:rPr>
                <w:rFonts w:hint="default" w:ascii="Times New Roman" w:hAnsi="Times New Roman" w:cs="Times New Roman" w:eastAsiaTheme="minorEastAsia"/>
                <w:b/>
                <w:color w:val="auto"/>
                <w:sz w:val="24"/>
                <w:lang w:eastAsia="zh-CN"/>
              </w:rPr>
              <w:t>废水产排情况</w:t>
            </w:r>
          </w:p>
          <w:p w14:paraId="68A5A5CA">
            <w:pPr>
              <w:keepNext w:val="0"/>
              <w:keepLines/>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lang w:val="en-US" w:eastAsia="zh-CN"/>
              </w:rPr>
              <w:t>本</w:t>
            </w:r>
            <w:r>
              <w:rPr>
                <w:rFonts w:hint="default" w:ascii="Times New Roman" w:hAnsi="Times New Roman" w:cs="Times New Roman" w:eastAsiaTheme="minorEastAsia"/>
                <w:color w:val="auto"/>
              </w:rPr>
              <w:t>项目运营期废水主要为生产废水（软水制备废水、</w:t>
            </w:r>
            <w:r>
              <w:rPr>
                <w:rFonts w:hint="eastAsia" w:cs="Times New Roman" w:eastAsiaTheme="minorEastAsia"/>
                <w:color w:val="auto"/>
                <w:lang w:eastAsia="zh-CN"/>
              </w:rPr>
              <w:t>生物质蒸汽发生器</w:t>
            </w:r>
            <w:r>
              <w:rPr>
                <w:rFonts w:hint="default" w:ascii="Times New Roman" w:hAnsi="Times New Roman" w:cs="Times New Roman" w:eastAsiaTheme="minorEastAsia"/>
                <w:color w:val="auto"/>
              </w:rPr>
              <w:t>排污水）和</w:t>
            </w:r>
            <w:r>
              <w:rPr>
                <w:rFonts w:hint="default" w:ascii="Times New Roman" w:hAnsi="Times New Roman" w:cs="Times New Roman" w:eastAsiaTheme="minorEastAsia"/>
                <w:color w:val="auto"/>
                <w:lang w:val="en-US" w:eastAsia="zh-CN"/>
              </w:rPr>
              <w:t>生活污水</w:t>
            </w:r>
            <w:r>
              <w:rPr>
                <w:rFonts w:hint="default" w:ascii="Times New Roman" w:hAnsi="Times New Roman" w:cs="Times New Roman" w:eastAsiaTheme="minorEastAsia"/>
                <w:color w:val="auto"/>
              </w:rPr>
              <w:t>，项目废水产排</w:t>
            </w:r>
            <w:r>
              <w:rPr>
                <w:rFonts w:hint="default" w:ascii="Times New Roman" w:hAnsi="Times New Roman" w:cs="Times New Roman" w:eastAsiaTheme="minorEastAsia"/>
                <w:color w:val="auto"/>
                <w:lang w:eastAsia="zh-CN"/>
              </w:rPr>
              <w:t>情况</w:t>
            </w:r>
            <w:r>
              <w:rPr>
                <w:rFonts w:hint="default" w:ascii="Times New Roman" w:hAnsi="Times New Roman" w:cs="Times New Roman" w:eastAsiaTheme="minorEastAsia"/>
                <w:color w:val="auto"/>
              </w:rPr>
              <w:t>如下</w:t>
            </w:r>
            <w:r>
              <w:rPr>
                <w:rFonts w:hint="default" w:ascii="Times New Roman" w:hAnsi="Times New Roman" w:cs="Times New Roman" w:eastAsiaTheme="minorEastAsia"/>
                <w:color w:val="auto"/>
                <w:lang w:eastAsia="zh-CN"/>
              </w:rPr>
              <w:t>。</w:t>
            </w:r>
          </w:p>
          <w:p w14:paraId="66DB53F1">
            <w:pPr>
              <w:keepNext w:val="0"/>
              <w:keepLines/>
              <w:pageBreakBefore w:val="0"/>
              <w:widowControl w:val="0"/>
              <w:tabs>
                <w:tab w:val="left" w:pos="4830"/>
              </w:tabs>
              <w:kinsoku/>
              <w:overflowPunct/>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color w:val="auto"/>
                <w:sz w:val="24"/>
                <w:lang w:eastAsia="zh-CN"/>
              </w:rPr>
            </w:pPr>
            <w:r>
              <w:rPr>
                <w:rFonts w:hint="default" w:ascii="Times New Roman" w:hAnsi="Times New Roman" w:cs="Times New Roman" w:eastAsiaTheme="minorEastAsia"/>
                <w:b/>
                <w:color w:val="auto"/>
                <w:sz w:val="24"/>
                <w:lang w:eastAsia="zh-CN"/>
              </w:rPr>
              <w:t>（</w:t>
            </w:r>
            <w:r>
              <w:rPr>
                <w:rFonts w:hint="default" w:ascii="Times New Roman" w:hAnsi="Times New Roman" w:cs="Times New Roman" w:eastAsiaTheme="minorEastAsia"/>
                <w:b/>
                <w:color w:val="auto"/>
                <w:sz w:val="24"/>
                <w:lang w:val="en-US" w:eastAsia="zh-CN"/>
              </w:rPr>
              <w:t>1</w:t>
            </w:r>
            <w:r>
              <w:rPr>
                <w:rFonts w:hint="default" w:ascii="Times New Roman" w:hAnsi="Times New Roman" w:cs="Times New Roman" w:eastAsiaTheme="minorEastAsia"/>
                <w:b/>
                <w:color w:val="auto"/>
                <w:sz w:val="24"/>
                <w:lang w:eastAsia="zh-CN"/>
              </w:rPr>
              <w:t>）生活污水</w:t>
            </w:r>
          </w:p>
          <w:p w14:paraId="22124785">
            <w:pPr>
              <w:pStyle w:val="2"/>
              <w:jc w:val="both"/>
              <w:rPr>
                <w:rFonts w:hint="default"/>
                <w:color w:val="auto"/>
                <w:sz w:val="32"/>
                <w:szCs w:val="32"/>
                <w:lang w:val="en-US" w:eastAsia="zh-CN"/>
              </w:rPr>
            </w:pPr>
            <w:r>
              <w:rPr>
                <w:rFonts w:hint="default" w:ascii="Times New Roman" w:hAnsi="Times New Roman" w:cs="Times New Roman" w:eastAsiaTheme="minorEastAsia"/>
                <w:color w:val="auto"/>
                <w:sz w:val="24"/>
                <w:szCs w:val="24"/>
                <w:lang w:val="en-US" w:eastAsia="zh-CN"/>
              </w:rPr>
              <w:t>本项目劳动定员为5人，年工作300天，在项目区食宿，用水主要为办公生活用水和厨房用水。根据DB53/T168-2019《云南省地方标准用水定额》，本项目生活用水量参照农村居民生活用水量，按100L/(人•d)计</w:t>
            </w:r>
            <w:r>
              <w:rPr>
                <w:rFonts w:hint="default" w:ascii="Times New Roman" w:hAnsi="Times New Roman" w:cs="Times New Roman" w:eastAsiaTheme="minorEastAsia"/>
                <w:color w:val="auto"/>
                <w:sz w:val="24"/>
                <w:szCs w:val="24"/>
              </w:rPr>
              <w:t>（其中食堂废水量用水为20L/人·d）</w:t>
            </w:r>
            <w:r>
              <w:rPr>
                <w:rFonts w:hint="default" w:ascii="Times New Roman" w:hAnsi="Times New Roman" w:cs="Times New Roman" w:eastAsiaTheme="minorEastAsia"/>
                <w:color w:val="auto"/>
                <w:sz w:val="24"/>
                <w:szCs w:val="24"/>
                <w:lang w:val="en-US" w:eastAsia="zh-CN"/>
              </w:rPr>
              <w:t>，则生活用水量为0.5m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/d、75m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/a，产污系数按0.8计算，废水量为0.4m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/d、120m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rPr>
              <w:t>其中食堂废水量为</w:t>
            </w:r>
            <w:r>
              <w:rPr>
                <w:rFonts w:hint="default" w:ascii="Times New Roman" w:hAnsi="Times New Roman" w:cs="Times New Roman" w:eastAsiaTheme="minorEastAsia"/>
                <w:color w:val="auto"/>
                <w:sz w:val="24"/>
                <w:szCs w:val="24"/>
                <w:lang w:val="en-US" w:eastAsia="zh-CN"/>
              </w:rPr>
              <w:t>0.08</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24m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rPr>
              <w:t>食堂废水经油水分离器隔油后与其</w:t>
            </w:r>
            <w:r>
              <w:rPr>
                <w:rFonts w:hint="default" w:ascii="Times New Roman" w:hAnsi="Times New Roman" w:cs="Times New Roman" w:eastAsiaTheme="minorEastAsia"/>
                <w:color w:val="auto"/>
                <w:sz w:val="24"/>
                <w:szCs w:val="24"/>
                <w:lang w:val="en-US" w:eastAsia="zh-CN"/>
              </w:rPr>
              <w:t>它</w:t>
            </w:r>
            <w:r>
              <w:rPr>
                <w:rFonts w:hint="default" w:ascii="Times New Roman" w:hAnsi="Times New Roman" w:cs="Times New Roman" w:eastAsiaTheme="minorEastAsia"/>
                <w:color w:val="auto"/>
                <w:sz w:val="24"/>
                <w:szCs w:val="24"/>
              </w:rPr>
              <w:t>生活污水一起进入化粪池</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经化粪池（</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）预处理后，</w:t>
            </w:r>
            <w:r>
              <w:rPr>
                <w:rFonts w:hint="eastAsia" w:cs="Times New Roman" w:eastAsiaTheme="minorEastAsia"/>
                <w:color w:val="auto"/>
                <w:sz w:val="24"/>
                <w:szCs w:val="24"/>
                <w:lang w:val="en-US" w:eastAsia="zh-CN"/>
              </w:rPr>
              <w:t>通过泵输送至项目新建的2m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/d的一体化污水处理设施，经处理达标后，晴天回用于厂区绿化或道路清扫，不外排，雨天暂存于中水池，待晴天后，回用于厂区绿化或道路清扫，不外排</w:t>
            </w:r>
            <w:r>
              <w:rPr>
                <w:rFonts w:hint="default" w:ascii="Times New Roman" w:hAnsi="Times New Roman" w:cs="Times New Roman" w:eastAsiaTheme="minorEastAsia"/>
                <w:color w:val="auto"/>
                <w:sz w:val="32"/>
                <w:szCs w:val="32"/>
                <w:lang w:val="en-US" w:eastAsia="zh-CN"/>
              </w:rPr>
              <w:t>。</w:t>
            </w:r>
          </w:p>
          <w:p w14:paraId="16C7B0D1">
            <w:pPr>
              <w:keepNext w:val="0"/>
              <w:keepLines/>
              <w:pageBreakBefore w:val="0"/>
              <w:widowControl w:val="0"/>
              <w:tabs>
                <w:tab w:val="left" w:pos="4830"/>
              </w:tabs>
              <w:kinsoku/>
              <w:overflowPunct/>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b/>
                <w:color w:val="auto"/>
                <w:sz w:val="24"/>
                <w:lang w:eastAsia="zh-CN"/>
              </w:rPr>
            </w:pPr>
            <w:r>
              <w:rPr>
                <w:rFonts w:hint="default" w:ascii="Times New Roman" w:hAnsi="Times New Roman" w:cs="Times New Roman" w:eastAsiaTheme="minorEastAsia"/>
                <w:b/>
                <w:color w:val="auto"/>
                <w:sz w:val="24"/>
                <w:lang w:eastAsia="zh-CN"/>
              </w:rPr>
              <w:t>（</w:t>
            </w:r>
            <w:r>
              <w:rPr>
                <w:rFonts w:hint="default" w:ascii="Times New Roman" w:hAnsi="Times New Roman" w:cs="Times New Roman" w:eastAsiaTheme="minorEastAsia"/>
                <w:b/>
                <w:color w:val="auto"/>
                <w:sz w:val="24"/>
                <w:lang w:val="en-US" w:eastAsia="zh-CN"/>
              </w:rPr>
              <w:t>2</w:t>
            </w:r>
            <w:r>
              <w:rPr>
                <w:rFonts w:hint="default" w:ascii="Times New Roman" w:hAnsi="Times New Roman" w:cs="Times New Roman" w:eastAsiaTheme="minorEastAsia"/>
                <w:b/>
                <w:color w:val="auto"/>
                <w:sz w:val="24"/>
                <w:lang w:eastAsia="zh-CN"/>
              </w:rPr>
              <w:t>）生产废水</w:t>
            </w:r>
          </w:p>
          <w:p w14:paraId="3A30C16D">
            <w:pPr>
              <w:keepNext w:val="0"/>
              <w:pageBreakBefore w:val="0"/>
              <w:widowControl w:val="0"/>
              <w:kinsoku/>
              <w:overflowPunct/>
              <w:autoSpaceDE/>
              <w:autoSpaceDN/>
              <w:bidi w:val="0"/>
              <w:adjustRightInd/>
              <w:snapToGrid/>
              <w:spacing w:line="360" w:lineRule="auto"/>
              <w:ind w:firstLine="504" w:firstLineChars="200"/>
              <w:textAlignment w:val="auto"/>
              <w:rPr>
                <w:rFonts w:hint="default" w:ascii="Times New Roman" w:hAnsi="Times New Roman" w:cs="Times New Roman" w:eastAsiaTheme="minorEastAsia"/>
                <w:bCs/>
                <w:color w:val="auto"/>
                <w:spacing w:val="6"/>
                <w:sz w:val="24"/>
                <w:lang w:val="en-US" w:eastAsia="zh-CN"/>
              </w:rPr>
            </w:pPr>
            <w:r>
              <w:rPr>
                <w:rFonts w:hint="default" w:ascii="Times New Roman" w:hAnsi="Times New Roman" w:cs="Times New Roman" w:eastAsiaTheme="minorEastAsia"/>
                <w:bCs/>
                <w:color w:val="auto"/>
                <w:spacing w:val="6"/>
                <w:sz w:val="24"/>
              </w:rPr>
              <w:t>根据</w:t>
            </w:r>
            <w:r>
              <w:rPr>
                <w:rFonts w:hint="default" w:ascii="Times New Roman" w:hAnsi="Times New Roman" w:cs="Times New Roman" w:eastAsiaTheme="minorEastAsia"/>
                <w:bCs/>
                <w:color w:val="auto"/>
                <w:spacing w:val="6"/>
                <w:sz w:val="24"/>
                <w:lang w:val="en-US" w:eastAsia="zh-CN"/>
              </w:rPr>
              <w:t>工程分析可知，本项目</w:t>
            </w:r>
            <w:r>
              <w:rPr>
                <w:rFonts w:hint="eastAsia" w:cs="Times New Roman" w:eastAsiaTheme="minorEastAsia"/>
                <w:bCs/>
                <w:color w:val="auto"/>
                <w:spacing w:val="6"/>
                <w:sz w:val="24"/>
                <w:lang w:eastAsia="zh-CN"/>
              </w:rPr>
              <w:t>生物质蒸汽发生器</w:t>
            </w:r>
            <w:r>
              <w:rPr>
                <w:rFonts w:hint="default" w:ascii="Times New Roman" w:hAnsi="Times New Roman" w:cs="Times New Roman" w:eastAsiaTheme="minorEastAsia"/>
                <w:bCs/>
                <w:color w:val="auto"/>
                <w:spacing w:val="6"/>
                <w:sz w:val="24"/>
              </w:rPr>
              <w:t>排污水</w:t>
            </w:r>
            <w:r>
              <w:rPr>
                <w:rFonts w:hint="default" w:ascii="Times New Roman" w:hAnsi="Times New Roman" w:cs="Times New Roman" w:eastAsiaTheme="minorEastAsia"/>
                <w:bCs/>
                <w:color w:val="auto"/>
                <w:spacing w:val="6"/>
                <w:sz w:val="24"/>
                <w:lang w:val="en-US" w:eastAsia="zh-CN"/>
              </w:rPr>
              <w:t>为388.5m</w:t>
            </w:r>
            <w:r>
              <w:rPr>
                <w:rFonts w:hint="default" w:ascii="Times New Roman" w:hAnsi="Times New Roman" w:cs="Times New Roman" w:eastAsiaTheme="minorEastAsia"/>
                <w:bCs/>
                <w:color w:val="auto"/>
                <w:spacing w:val="6"/>
                <w:sz w:val="24"/>
                <w:vertAlign w:val="superscript"/>
                <w:lang w:val="en-US" w:eastAsia="zh-CN"/>
              </w:rPr>
              <w:t>3</w:t>
            </w:r>
            <w:r>
              <w:rPr>
                <w:rFonts w:hint="default" w:ascii="Times New Roman" w:hAnsi="Times New Roman" w:cs="Times New Roman" w:eastAsiaTheme="minorEastAsia"/>
                <w:bCs/>
                <w:color w:val="auto"/>
                <w:spacing w:val="6"/>
                <w:sz w:val="24"/>
                <w:lang w:val="en-US" w:eastAsia="zh-CN"/>
              </w:rPr>
              <w:t>/a，1.3m</w:t>
            </w:r>
            <w:r>
              <w:rPr>
                <w:rFonts w:hint="default" w:ascii="Times New Roman" w:hAnsi="Times New Roman" w:cs="Times New Roman" w:eastAsiaTheme="minorEastAsia"/>
                <w:bCs/>
                <w:color w:val="auto"/>
                <w:spacing w:val="6"/>
                <w:sz w:val="24"/>
                <w:vertAlign w:val="superscript"/>
                <w:lang w:val="en-US" w:eastAsia="zh-CN"/>
              </w:rPr>
              <w:t>3</w:t>
            </w:r>
            <w:r>
              <w:rPr>
                <w:rFonts w:hint="default" w:ascii="Times New Roman" w:hAnsi="Times New Roman" w:cs="Times New Roman" w:eastAsiaTheme="minorEastAsia"/>
                <w:bCs/>
                <w:color w:val="auto"/>
                <w:spacing w:val="6"/>
                <w:sz w:val="24"/>
                <w:lang w:val="en-US" w:eastAsia="zh-CN"/>
              </w:rPr>
              <w:t>/d，</w:t>
            </w:r>
            <w:r>
              <w:rPr>
                <w:rFonts w:hint="default" w:ascii="Times New Roman" w:hAnsi="Times New Roman" w:cs="Times New Roman" w:eastAsiaTheme="minorEastAsia"/>
                <w:bCs/>
                <w:color w:val="auto"/>
                <w:spacing w:val="6"/>
                <w:sz w:val="24"/>
              </w:rPr>
              <w:t>软水制备废水</w:t>
            </w:r>
            <w:r>
              <w:rPr>
                <w:rFonts w:hint="default" w:ascii="Times New Roman" w:hAnsi="Times New Roman" w:cs="Times New Roman" w:eastAsiaTheme="minorEastAsia"/>
                <w:bCs/>
                <w:color w:val="auto"/>
                <w:spacing w:val="6"/>
                <w:sz w:val="24"/>
                <w:lang w:val="en-US" w:eastAsia="zh-CN"/>
              </w:rPr>
              <w:t>产生量为145.5m</w:t>
            </w:r>
            <w:r>
              <w:rPr>
                <w:rFonts w:hint="default" w:ascii="Times New Roman" w:hAnsi="Times New Roman" w:cs="Times New Roman" w:eastAsiaTheme="minorEastAsia"/>
                <w:bCs/>
                <w:color w:val="auto"/>
                <w:spacing w:val="6"/>
                <w:sz w:val="24"/>
                <w:vertAlign w:val="superscript"/>
                <w:lang w:val="en-US" w:eastAsia="zh-CN"/>
              </w:rPr>
              <w:t>3</w:t>
            </w:r>
            <w:r>
              <w:rPr>
                <w:rFonts w:hint="default" w:ascii="Times New Roman" w:hAnsi="Times New Roman" w:cs="Times New Roman" w:eastAsiaTheme="minorEastAsia"/>
                <w:bCs/>
                <w:color w:val="auto"/>
                <w:spacing w:val="6"/>
                <w:sz w:val="24"/>
                <w:lang w:val="en-US" w:eastAsia="zh-CN"/>
              </w:rPr>
              <w:t>/a，0.5m</w:t>
            </w:r>
            <w:r>
              <w:rPr>
                <w:rFonts w:hint="default" w:ascii="Times New Roman" w:hAnsi="Times New Roman" w:cs="Times New Roman" w:eastAsiaTheme="minorEastAsia"/>
                <w:bCs/>
                <w:color w:val="auto"/>
                <w:spacing w:val="6"/>
                <w:sz w:val="24"/>
                <w:vertAlign w:val="superscript"/>
                <w:lang w:val="en-US" w:eastAsia="zh-CN"/>
              </w:rPr>
              <w:t>3</w:t>
            </w:r>
            <w:r>
              <w:rPr>
                <w:rFonts w:hint="default" w:ascii="Times New Roman" w:hAnsi="Times New Roman" w:cs="Times New Roman" w:eastAsiaTheme="minorEastAsia"/>
                <w:bCs/>
                <w:color w:val="auto"/>
                <w:spacing w:val="6"/>
                <w:sz w:val="24"/>
                <w:lang w:val="en-US" w:eastAsia="zh-CN"/>
              </w:rPr>
              <w:t>/d。项目产生的生产废水经容积为15m</w:t>
            </w:r>
            <w:r>
              <w:rPr>
                <w:rFonts w:hint="default" w:ascii="Times New Roman" w:hAnsi="Times New Roman" w:cs="Times New Roman" w:eastAsiaTheme="minorEastAsia"/>
                <w:bCs/>
                <w:color w:val="auto"/>
                <w:spacing w:val="6"/>
                <w:sz w:val="24"/>
                <w:vertAlign w:val="superscript"/>
                <w:lang w:val="en-US" w:eastAsia="zh-CN"/>
              </w:rPr>
              <w:t>3</w:t>
            </w:r>
            <w:r>
              <w:rPr>
                <w:rFonts w:hint="default" w:ascii="Times New Roman" w:hAnsi="Times New Roman" w:cs="Times New Roman" w:eastAsiaTheme="minorEastAsia"/>
                <w:bCs/>
                <w:color w:val="auto"/>
                <w:spacing w:val="6"/>
                <w:sz w:val="24"/>
                <w:lang w:val="en-US" w:eastAsia="zh-CN"/>
              </w:rPr>
              <w:t>的收集池收集暂存后，回用于厂区洒水降尘，不外排。</w:t>
            </w:r>
          </w:p>
          <w:p w14:paraId="61801CFD">
            <w:pPr>
              <w:keepNext w:val="0"/>
              <w:keepLines/>
              <w:pageBreakBefore w:val="0"/>
              <w:widowControl w:val="0"/>
              <w:kinsoku/>
              <w:wordWrap w:val="0"/>
              <w:overflowPunct/>
              <w:topLinePunct/>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rPr>
              <w:t>蒸汽在输送过程中会因冷凝、接口泄漏产生一定的损耗量，管道损失按蒸发量的3%计</w:t>
            </w:r>
            <w:r>
              <w:rPr>
                <w:rFonts w:hint="eastAsia"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损失量约为0.72</w:t>
            </w:r>
            <w:r>
              <w:rPr>
                <w:rFonts w:hint="default" w:ascii="Times New Roman" w:hAnsi="Times New Roman" w:cs="Times New Roman" w:eastAsiaTheme="minorEastAsia"/>
                <w:bCs/>
                <w:color w:val="auto"/>
                <w:spacing w:val="6"/>
                <w:sz w:val="24"/>
                <w:lang w:val="en-US" w:eastAsia="zh-CN"/>
              </w:rPr>
              <w:t>m</w:t>
            </w:r>
            <w:r>
              <w:rPr>
                <w:rFonts w:hint="default" w:ascii="Times New Roman" w:hAnsi="Times New Roman" w:cs="Times New Roman" w:eastAsiaTheme="minorEastAsia"/>
                <w:bCs/>
                <w:color w:val="auto"/>
                <w:spacing w:val="6"/>
                <w:sz w:val="24"/>
                <w:vertAlign w:val="superscript"/>
                <w:lang w:val="en-US" w:eastAsia="zh-CN"/>
              </w:rPr>
              <w:t>3</w:t>
            </w:r>
            <w:r>
              <w:rPr>
                <w:rFonts w:hint="default" w:ascii="Times New Roman" w:hAnsi="Times New Roman" w:cs="Times New Roman" w:eastAsiaTheme="minorEastAsia"/>
                <w:bCs/>
                <w:color w:val="auto"/>
                <w:spacing w:val="6"/>
                <w:sz w:val="24"/>
                <w:lang w:val="en-US" w:eastAsia="zh-CN"/>
              </w:rPr>
              <w:t>/d</w:t>
            </w:r>
            <w:r>
              <w:rPr>
                <w:rFonts w:hint="default" w:ascii="Times New Roman" w:hAnsi="Times New Roman" w:cs="Times New Roman" w:eastAsiaTheme="minorEastAsia"/>
                <w:color w:val="auto"/>
              </w:rPr>
              <w:t>，同时生物质蒸汽发生器供应给发泡工序的水蒸气10%蒸发损耗</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损耗</w:t>
            </w:r>
            <w:r>
              <w:rPr>
                <w:rFonts w:hint="default" w:ascii="Times New Roman" w:hAnsi="Times New Roman" w:cs="Times New Roman" w:eastAsiaTheme="minorEastAsia"/>
                <w:color w:val="auto"/>
                <w:lang w:val="en-US" w:eastAsia="zh-CN"/>
              </w:rPr>
              <w:t>量约为2.4</w:t>
            </w:r>
            <w:r>
              <w:rPr>
                <w:rFonts w:hint="default" w:ascii="Times New Roman" w:hAnsi="Times New Roman" w:cs="Times New Roman" w:eastAsiaTheme="minorEastAsia"/>
                <w:bCs/>
                <w:color w:val="auto"/>
                <w:spacing w:val="6"/>
                <w:sz w:val="24"/>
                <w:lang w:val="en-US" w:eastAsia="zh-CN"/>
              </w:rPr>
              <w:t>m</w:t>
            </w:r>
            <w:r>
              <w:rPr>
                <w:rFonts w:hint="default" w:ascii="Times New Roman" w:hAnsi="Times New Roman" w:cs="Times New Roman" w:eastAsiaTheme="minorEastAsia"/>
                <w:bCs/>
                <w:color w:val="auto"/>
                <w:spacing w:val="6"/>
                <w:sz w:val="24"/>
                <w:vertAlign w:val="superscript"/>
                <w:lang w:val="en-US" w:eastAsia="zh-CN"/>
              </w:rPr>
              <w:t>3</w:t>
            </w:r>
            <w:r>
              <w:rPr>
                <w:rFonts w:hint="default" w:ascii="Times New Roman" w:hAnsi="Times New Roman" w:cs="Times New Roman" w:eastAsiaTheme="minorEastAsia"/>
                <w:bCs/>
                <w:color w:val="auto"/>
                <w:spacing w:val="6"/>
                <w:sz w:val="24"/>
                <w:lang w:val="en-US" w:eastAsia="zh-CN"/>
              </w:rPr>
              <w:t>/d</w:t>
            </w:r>
            <w:r>
              <w:rPr>
                <w:rFonts w:hint="default" w:ascii="Times New Roman" w:hAnsi="Times New Roman" w:cs="Times New Roman" w:eastAsiaTheme="minorEastAsia"/>
                <w:color w:val="auto"/>
              </w:rPr>
              <w:t>，其余部分冷凝后形成冷凝水排出。</w:t>
            </w:r>
          </w:p>
          <w:p w14:paraId="4722FE8C">
            <w:pPr>
              <w:pStyle w:val="92"/>
              <w:keepNext w:val="0"/>
              <w:pageBreakBefore w:val="0"/>
              <w:widowControl w:val="0"/>
              <w:kinsoku/>
              <w:overflowPunct/>
              <w:autoSpaceDE/>
              <w:autoSpaceDN/>
              <w:bidi w:val="0"/>
              <w:adjustRightInd/>
              <w:snapToGrid/>
              <w:ind w:firstLine="480"/>
              <w:textAlignment w:val="auto"/>
              <w:rPr>
                <w:rFonts w:hint="eastAsia" w:ascii="Times New Roman" w:hAnsi="Times New Roman" w:cs="Times New Roman"/>
                <w:b/>
                <w:color w:val="auto"/>
                <w:sz w:val="24"/>
                <w:szCs w:val="24"/>
              </w:rPr>
            </w:pPr>
            <w:r>
              <w:rPr>
                <w:rFonts w:hint="default" w:ascii="Times New Roman" w:hAnsi="Times New Roman" w:cs="Times New Roman" w:eastAsiaTheme="minorEastAsia"/>
                <w:color w:val="auto"/>
              </w:rPr>
              <w:t>项目废水产生及处理方式情况见表4-1</w:t>
            </w:r>
            <w:r>
              <w:rPr>
                <w:rFonts w:hint="eastAsia" w:cs="Times New Roman" w:eastAsiaTheme="minorEastAsia"/>
                <w:color w:val="auto"/>
                <w:lang w:val="en-US" w:eastAsia="zh-CN"/>
              </w:rPr>
              <w:t>2</w:t>
            </w:r>
            <w:r>
              <w:rPr>
                <w:rFonts w:hint="default" w:ascii="Times New Roman" w:hAnsi="Times New Roman" w:cs="Times New Roman" w:eastAsiaTheme="minorEastAsia"/>
                <w:color w:val="auto"/>
              </w:rPr>
              <w:t>。</w:t>
            </w:r>
          </w:p>
          <w:p w14:paraId="6F1AE7E1">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4"/>
                <w:szCs w:val="24"/>
              </w:rPr>
            </w:pPr>
            <w:r>
              <w:rPr>
                <w:rFonts w:hint="eastAsia" w:ascii="Times New Roman" w:hAnsi="Times New Roman" w:cs="Times New Roman"/>
                <w:b/>
                <w:color w:val="auto"/>
                <w:sz w:val="24"/>
                <w:szCs w:val="24"/>
              </w:rPr>
              <w:t>表4-1</w:t>
            </w:r>
            <w:r>
              <w:rPr>
                <w:rFonts w:hint="eastAsia" w:cs="Times New Roman"/>
                <w:b/>
                <w:color w:val="auto"/>
                <w:sz w:val="24"/>
                <w:szCs w:val="24"/>
                <w:lang w:val="en-US" w:eastAsia="zh-CN"/>
              </w:rPr>
              <w:t>2</w:t>
            </w:r>
            <w:r>
              <w:rPr>
                <w:rFonts w:hint="eastAsia" w:ascii="Times New Roman" w:hAnsi="Times New Roman" w:cs="Times New Roman"/>
                <w:b/>
                <w:color w:val="auto"/>
                <w:sz w:val="24"/>
                <w:szCs w:val="24"/>
              </w:rPr>
              <w:t xml:space="preserve">  项目废水产生及处置措施一览表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063"/>
              <w:gridCol w:w="690"/>
              <w:gridCol w:w="659"/>
              <w:gridCol w:w="1179"/>
              <w:gridCol w:w="936"/>
              <w:gridCol w:w="2288"/>
            </w:tblGrid>
            <w:tr w14:paraId="0C93F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Merge w:val="restart"/>
                  <w:vAlign w:val="center"/>
                </w:tcPr>
                <w:p w14:paraId="1DD3BF63">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产污节点</w:t>
                  </w:r>
                </w:p>
              </w:tc>
              <w:tc>
                <w:tcPr>
                  <w:tcW w:w="678" w:type="pct"/>
                  <w:vMerge w:val="restart"/>
                  <w:vAlign w:val="center"/>
                </w:tcPr>
                <w:p w14:paraId="572D24F4">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w:t>
                  </w:r>
                </w:p>
              </w:tc>
              <w:tc>
                <w:tcPr>
                  <w:tcW w:w="860" w:type="pct"/>
                  <w:gridSpan w:val="2"/>
                  <w:vAlign w:val="center"/>
                </w:tcPr>
                <w:p w14:paraId="272EABEA">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产生情况</w:t>
                  </w:r>
                </w:p>
              </w:tc>
              <w:tc>
                <w:tcPr>
                  <w:tcW w:w="752" w:type="pct"/>
                  <w:vMerge w:val="restart"/>
                  <w:vAlign w:val="center"/>
                </w:tcPr>
                <w:p w14:paraId="3051A23D">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主要污染物（mg/L）</w:t>
                  </w:r>
                </w:p>
              </w:tc>
              <w:tc>
                <w:tcPr>
                  <w:tcW w:w="597" w:type="pct"/>
                  <w:vMerge w:val="restart"/>
                  <w:vAlign w:val="center"/>
                </w:tcPr>
                <w:p w14:paraId="48F0E686">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治理措施</w:t>
                  </w:r>
                </w:p>
              </w:tc>
              <w:tc>
                <w:tcPr>
                  <w:tcW w:w="1459" w:type="pct"/>
                  <w:vMerge w:val="restart"/>
                  <w:vAlign w:val="center"/>
                </w:tcPr>
                <w:p w14:paraId="4CFF254A">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排放方式及去向</w:t>
                  </w:r>
                </w:p>
              </w:tc>
            </w:tr>
            <w:tr w14:paraId="42E70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Merge w:val="continue"/>
                  <w:vAlign w:val="center"/>
                </w:tcPr>
                <w:p w14:paraId="404854AA">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p>
              </w:tc>
              <w:tc>
                <w:tcPr>
                  <w:tcW w:w="678" w:type="pct"/>
                  <w:vMerge w:val="continue"/>
                  <w:vAlign w:val="center"/>
                </w:tcPr>
                <w:p w14:paraId="542191A4">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p>
              </w:tc>
              <w:tc>
                <w:tcPr>
                  <w:tcW w:w="440" w:type="pct"/>
                  <w:vAlign w:val="center"/>
                </w:tcPr>
                <w:p w14:paraId="3F696097">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/d</w:t>
                  </w:r>
                </w:p>
              </w:tc>
              <w:tc>
                <w:tcPr>
                  <w:tcW w:w="419" w:type="pct"/>
                  <w:vAlign w:val="center"/>
                </w:tcPr>
                <w:p w14:paraId="68A2395B">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/a</w:t>
                  </w:r>
                </w:p>
              </w:tc>
              <w:tc>
                <w:tcPr>
                  <w:tcW w:w="752" w:type="pct"/>
                  <w:vMerge w:val="continue"/>
                  <w:vAlign w:val="center"/>
                </w:tcPr>
                <w:p w14:paraId="7B15E35B">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p>
              </w:tc>
              <w:tc>
                <w:tcPr>
                  <w:tcW w:w="597" w:type="pct"/>
                  <w:vMerge w:val="continue"/>
                  <w:vAlign w:val="center"/>
                </w:tcPr>
                <w:p w14:paraId="620B56E6">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p>
              </w:tc>
              <w:tc>
                <w:tcPr>
                  <w:tcW w:w="1459" w:type="pct"/>
                  <w:vMerge w:val="continue"/>
                  <w:vAlign w:val="center"/>
                </w:tcPr>
                <w:p w14:paraId="3F7B9D2E">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p>
              </w:tc>
            </w:tr>
            <w:tr w14:paraId="4EE72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Align w:val="center"/>
                </w:tcPr>
                <w:p w14:paraId="1A5531DB">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发泡工段</w:t>
                  </w:r>
                </w:p>
              </w:tc>
              <w:tc>
                <w:tcPr>
                  <w:tcW w:w="678" w:type="pct"/>
                  <w:vAlign w:val="center"/>
                </w:tcPr>
                <w:p w14:paraId="7400B75F">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蒸汽冷凝水</w:t>
                  </w:r>
                </w:p>
              </w:tc>
              <w:tc>
                <w:tcPr>
                  <w:tcW w:w="440" w:type="pct"/>
                  <w:vAlign w:val="center"/>
                </w:tcPr>
                <w:p w14:paraId="147C0B7F">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20.88</w:t>
                  </w:r>
                </w:p>
              </w:tc>
              <w:tc>
                <w:tcPr>
                  <w:tcW w:w="419" w:type="pct"/>
                  <w:vAlign w:val="center"/>
                </w:tcPr>
                <w:p w14:paraId="24DC4D40">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6264</w:t>
                  </w:r>
                </w:p>
              </w:tc>
              <w:tc>
                <w:tcPr>
                  <w:tcW w:w="752" w:type="pct"/>
                  <w:vAlign w:val="center"/>
                </w:tcPr>
                <w:p w14:paraId="295068DF">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597" w:type="pct"/>
                  <w:vAlign w:val="center"/>
                </w:tcPr>
                <w:p w14:paraId="0EBFCCF3">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p>
              </w:tc>
              <w:tc>
                <w:tcPr>
                  <w:tcW w:w="1459" w:type="pct"/>
                  <w:vAlign w:val="center"/>
                </w:tcPr>
                <w:p w14:paraId="164ED912">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蒸汽冷凝水用于</w:t>
                  </w:r>
                  <w:r>
                    <w:rPr>
                      <w:rFonts w:hint="eastAsia" w:cs="Times New Roman" w:eastAsiaTheme="minorEastAsia"/>
                      <w:color w:val="auto"/>
                      <w:sz w:val="21"/>
                      <w:szCs w:val="21"/>
                      <w:lang w:eastAsia="zh-CN"/>
                    </w:rPr>
                    <w:t>生物质蒸汽发生器</w:t>
                  </w:r>
                  <w:r>
                    <w:rPr>
                      <w:rFonts w:hint="default" w:ascii="Times New Roman" w:hAnsi="Times New Roman" w:cs="Times New Roman" w:eastAsiaTheme="minorEastAsia"/>
                      <w:color w:val="auto"/>
                      <w:sz w:val="21"/>
                      <w:szCs w:val="21"/>
                    </w:rPr>
                    <w:t>损耗补充水，不外排</w:t>
                  </w:r>
                </w:p>
              </w:tc>
            </w:tr>
            <w:tr w14:paraId="6775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Align w:val="center"/>
                </w:tcPr>
                <w:p w14:paraId="07B74063">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软水处理设备</w:t>
                  </w:r>
                </w:p>
              </w:tc>
              <w:tc>
                <w:tcPr>
                  <w:tcW w:w="678" w:type="pct"/>
                  <w:vAlign w:val="center"/>
                </w:tcPr>
                <w:p w14:paraId="560FA9B9">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软水系统排污水</w:t>
                  </w:r>
                </w:p>
              </w:tc>
              <w:tc>
                <w:tcPr>
                  <w:tcW w:w="440" w:type="pct"/>
                  <w:vAlign w:val="center"/>
                </w:tcPr>
                <w:p w14:paraId="647A9A99">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0.5</w:t>
                  </w:r>
                </w:p>
              </w:tc>
              <w:tc>
                <w:tcPr>
                  <w:tcW w:w="419" w:type="pct"/>
                  <w:vAlign w:val="center"/>
                </w:tcPr>
                <w:p w14:paraId="2AAAEBF5">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145.5</w:t>
                  </w:r>
                </w:p>
              </w:tc>
              <w:tc>
                <w:tcPr>
                  <w:tcW w:w="752" w:type="pct"/>
                  <w:vMerge w:val="restart"/>
                  <w:vAlign w:val="center"/>
                </w:tcPr>
                <w:p w14:paraId="4A052DCA">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SS：70</w:t>
                  </w:r>
                </w:p>
                <w:p w14:paraId="510F579D">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全盐量：1500</w:t>
                  </w:r>
                </w:p>
                <w:p w14:paraId="52D5F637">
                  <w:pPr>
                    <w:ind w:left="0" w:leftChars="0" w:firstLine="0" w:firstLineChars="0"/>
                    <w:rPr>
                      <w:rFonts w:hint="default" w:eastAsiaTheme="minorEastAsia"/>
                      <w:color w:val="auto"/>
                      <w:lang w:val="en-US" w:eastAsia="zh-CN"/>
                    </w:rPr>
                  </w:pPr>
                  <w:r>
                    <w:rPr>
                      <w:rFonts w:hint="eastAsia" w:cs="Times New Roman" w:eastAsiaTheme="minorEastAsia"/>
                      <w:color w:val="auto"/>
                      <w:sz w:val="21"/>
                      <w:szCs w:val="21"/>
                      <w:lang w:val="en-US" w:eastAsia="zh-CN"/>
                    </w:rPr>
                    <w:t>COD:200</w:t>
                  </w:r>
                </w:p>
              </w:tc>
              <w:tc>
                <w:tcPr>
                  <w:tcW w:w="597" w:type="pct"/>
                  <w:vMerge w:val="restart"/>
                  <w:vAlign w:val="center"/>
                </w:tcPr>
                <w:p w14:paraId="09E1FC48">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生产废水收集池收集</w:t>
                  </w:r>
                </w:p>
              </w:tc>
              <w:tc>
                <w:tcPr>
                  <w:tcW w:w="1459" w:type="pct"/>
                  <w:vMerge w:val="restart"/>
                  <w:vAlign w:val="center"/>
                </w:tcPr>
                <w:p w14:paraId="750D90EF">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经生产废水收集池收集后，晴天回用于厂区洒水降尘，雨天暂存于废水收集池，</w:t>
                  </w:r>
                  <w:r>
                    <w:rPr>
                      <w:rFonts w:hint="eastAsia" w:cs="Times New Roman" w:eastAsiaTheme="minorEastAsia"/>
                      <w:color w:val="auto"/>
                      <w:sz w:val="21"/>
                      <w:szCs w:val="21"/>
                      <w:lang w:eastAsia="zh-CN"/>
                    </w:rPr>
                    <w:t>待晴天后，</w:t>
                  </w:r>
                  <w:r>
                    <w:rPr>
                      <w:rFonts w:hint="default" w:ascii="Times New Roman" w:hAnsi="Times New Roman" w:cs="Times New Roman" w:eastAsiaTheme="minorEastAsia"/>
                      <w:color w:val="auto"/>
                      <w:sz w:val="21"/>
                      <w:szCs w:val="21"/>
                    </w:rPr>
                    <w:t>回用，不外排</w:t>
                  </w:r>
                </w:p>
              </w:tc>
            </w:tr>
            <w:tr w14:paraId="6957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Align w:val="center"/>
                </w:tcPr>
                <w:p w14:paraId="1F1491D0">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cs="Times New Roman" w:eastAsiaTheme="minorEastAsia"/>
                      <w:color w:val="auto"/>
                      <w:sz w:val="21"/>
                      <w:szCs w:val="21"/>
                      <w:lang w:eastAsia="zh-CN"/>
                    </w:rPr>
                  </w:pPr>
                  <w:r>
                    <w:rPr>
                      <w:rFonts w:hint="eastAsia" w:cs="Times New Roman" w:eastAsiaTheme="minorEastAsia"/>
                      <w:color w:val="auto"/>
                      <w:sz w:val="21"/>
                      <w:szCs w:val="21"/>
                      <w:lang w:eastAsia="zh-CN"/>
                    </w:rPr>
                    <w:t>生物质蒸汽发生器</w:t>
                  </w:r>
                </w:p>
              </w:tc>
              <w:tc>
                <w:tcPr>
                  <w:tcW w:w="678" w:type="pct"/>
                  <w:vAlign w:val="center"/>
                </w:tcPr>
                <w:p w14:paraId="38530715">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eastAsia" w:cs="Times New Roman" w:eastAsiaTheme="minorEastAsia"/>
                      <w:color w:val="auto"/>
                      <w:sz w:val="21"/>
                      <w:szCs w:val="21"/>
                      <w:lang w:eastAsia="zh-CN"/>
                    </w:rPr>
                    <w:t>生物质蒸汽发生器</w:t>
                  </w:r>
                  <w:r>
                    <w:rPr>
                      <w:rFonts w:hint="default" w:ascii="Times New Roman" w:hAnsi="Times New Roman" w:cs="Times New Roman" w:eastAsiaTheme="minorEastAsia"/>
                      <w:color w:val="auto"/>
                      <w:sz w:val="21"/>
                      <w:szCs w:val="21"/>
                    </w:rPr>
                    <w:t>排污水</w:t>
                  </w:r>
                </w:p>
              </w:tc>
              <w:tc>
                <w:tcPr>
                  <w:tcW w:w="440" w:type="pct"/>
                  <w:vAlign w:val="center"/>
                </w:tcPr>
                <w:p w14:paraId="1853FDA9">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1.3</w:t>
                  </w:r>
                </w:p>
              </w:tc>
              <w:tc>
                <w:tcPr>
                  <w:tcW w:w="419" w:type="pct"/>
                  <w:vAlign w:val="center"/>
                </w:tcPr>
                <w:p w14:paraId="4AC96AA9">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388.5</w:t>
                  </w:r>
                </w:p>
              </w:tc>
              <w:tc>
                <w:tcPr>
                  <w:tcW w:w="752" w:type="pct"/>
                  <w:vMerge w:val="continue"/>
                  <w:vAlign w:val="center"/>
                </w:tcPr>
                <w:p w14:paraId="036895E7">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both"/>
                    <w:textAlignment w:val="auto"/>
                    <w:rPr>
                      <w:rFonts w:hint="default" w:ascii="Times New Roman" w:hAnsi="Times New Roman" w:cs="Times New Roman" w:eastAsiaTheme="minorEastAsia"/>
                      <w:color w:val="auto"/>
                      <w:sz w:val="21"/>
                      <w:szCs w:val="21"/>
                    </w:rPr>
                  </w:pPr>
                </w:p>
              </w:tc>
              <w:tc>
                <w:tcPr>
                  <w:tcW w:w="597" w:type="pct"/>
                  <w:vMerge w:val="continue"/>
                  <w:vAlign w:val="center"/>
                </w:tcPr>
                <w:p w14:paraId="7EE8A05F">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p>
              </w:tc>
              <w:tc>
                <w:tcPr>
                  <w:tcW w:w="1459" w:type="pct"/>
                  <w:vMerge w:val="continue"/>
                  <w:vAlign w:val="center"/>
                </w:tcPr>
                <w:p w14:paraId="019AD199">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p>
              </w:tc>
            </w:tr>
            <w:tr w14:paraId="24A9C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1" w:type="pct"/>
                  <w:vAlign w:val="center"/>
                </w:tcPr>
                <w:p w14:paraId="07DB6884">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生活</w:t>
                  </w:r>
                </w:p>
              </w:tc>
              <w:tc>
                <w:tcPr>
                  <w:tcW w:w="678" w:type="pct"/>
                  <w:vAlign w:val="center"/>
                </w:tcPr>
                <w:p w14:paraId="5CA7A494">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eastAsia"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生活污水</w:t>
                  </w:r>
                  <w:r>
                    <w:rPr>
                      <w:rFonts w:hint="eastAsia" w:cs="Times New Roman" w:eastAsiaTheme="minorEastAsia"/>
                      <w:color w:val="auto"/>
                      <w:sz w:val="21"/>
                      <w:szCs w:val="21"/>
                      <w:lang w:eastAsia="zh-CN"/>
                    </w:rPr>
                    <w:t>（</w:t>
                  </w:r>
                  <w:r>
                    <w:rPr>
                      <w:rFonts w:hint="eastAsia" w:cs="Times New Roman" w:eastAsiaTheme="minorEastAsia"/>
                      <w:color w:val="auto"/>
                      <w:sz w:val="21"/>
                      <w:szCs w:val="21"/>
                      <w:lang w:val="en-US" w:eastAsia="zh-CN"/>
                    </w:rPr>
                    <w:t>包含食堂废水</w:t>
                  </w:r>
                  <w:r>
                    <w:rPr>
                      <w:rFonts w:hint="eastAsia" w:cs="Times New Roman" w:eastAsiaTheme="minorEastAsia"/>
                      <w:color w:val="auto"/>
                      <w:sz w:val="21"/>
                      <w:szCs w:val="21"/>
                      <w:lang w:eastAsia="zh-CN"/>
                    </w:rPr>
                    <w:t>）</w:t>
                  </w:r>
                </w:p>
              </w:tc>
              <w:tc>
                <w:tcPr>
                  <w:tcW w:w="440" w:type="pct"/>
                  <w:vAlign w:val="center"/>
                </w:tcPr>
                <w:p w14:paraId="46BE9B0F">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w:t>
                  </w:r>
                  <w:r>
                    <w:rPr>
                      <w:rFonts w:hint="eastAsia" w:cs="Times New Roman" w:eastAsiaTheme="minorEastAsia"/>
                      <w:color w:val="auto"/>
                      <w:sz w:val="21"/>
                      <w:szCs w:val="21"/>
                      <w:lang w:val="en-US" w:eastAsia="zh-CN"/>
                    </w:rPr>
                    <w:t>4</w:t>
                  </w:r>
                </w:p>
              </w:tc>
              <w:tc>
                <w:tcPr>
                  <w:tcW w:w="419" w:type="pct"/>
                  <w:vAlign w:val="center"/>
                </w:tcPr>
                <w:p w14:paraId="7A8EBB19">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w:t>
                  </w:r>
                  <w:r>
                    <w:rPr>
                      <w:rFonts w:hint="default" w:ascii="Times New Roman" w:hAnsi="Times New Roman" w:cs="Times New Roman" w:eastAsiaTheme="minorEastAsia"/>
                      <w:color w:val="auto"/>
                      <w:sz w:val="21"/>
                      <w:szCs w:val="21"/>
                      <w:lang w:val="en-US" w:eastAsia="zh-CN"/>
                    </w:rPr>
                    <w:t>0</w:t>
                  </w:r>
                </w:p>
              </w:tc>
              <w:tc>
                <w:tcPr>
                  <w:tcW w:w="752" w:type="pct"/>
                  <w:vAlign w:val="center"/>
                </w:tcPr>
                <w:p w14:paraId="42C3BEA0">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COD：350</w:t>
                  </w:r>
                </w:p>
                <w:p w14:paraId="76314EFA">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BOD</w:t>
                  </w:r>
                  <w:r>
                    <w:rPr>
                      <w:rFonts w:hint="default" w:ascii="Times New Roman" w:hAnsi="Times New Roman" w:cs="Times New Roman" w:eastAsiaTheme="minorEastAsia"/>
                      <w:color w:val="auto"/>
                      <w:sz w:val="21"/>
                      <w:szCs w:val="21"/>
                      <w:vertAlign w:val="subscript"/>
                    </w:rPr>
                    <w:t>5</w:t>
                  </w:r>
                  <w:r>
                    <w:rPr>
                      <w:rFonts w:hint="default" w:ascii="Times New Roman" w:hAnsi="Times New Roman" w:cs="Times New Roman" w:eastAsiaTheme="minorEastAsia"/>
                      <w:color w:val="auto"/>
                      <w:sz w:val="21"/>
                      <w:szCs w:val="21"/>
                    </w:rPr>
                    <w:t>：250</w:t>
                  </w:r>
                </w:p>
                <w:p w14:paraId="14D634C0">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NH</w:t>
                  </w:r>
                  <w:r>
                    <w:rPr>
                      <w:rFonts w:hint="default" w:ascii="Times New Roman" w:hAnsi="Times New Roman" w:cs="Times New Roman" w:eastAsiaTheme="minorEastAsia"/>
                      <w:color w:val="auto"/>
                      <w:sz w:val="21"/>
                      <w:szCs w:val="21"/>
                      <w:vertAlign w:val="subscript"/>
                    </w:rPr>
                    <w:t>3</w:t>
                  </w:r>
                  <w:r>
                    <w:rPr>
                      <w:rFonts w:hint="default" w:ascii="Times New Roman" w:hAnsi="Times New Roman" w:cs="Times New Roman" w:eastAsiaTheme="minorEastAsia"/>
                      <w:color w:val="auto"/>
                      <w:sz w:val="21"/>
                      <w:szCs w:val="21"/>
                    </w:rPr>
                    <w:t>-N：35</w:t>
                  </w:r>
                </w:p>
                <w:p w14:paraId="68C6F63F">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SS：200</w:t>
                  </w:r>
                </w:p>
                <w:p w14:paraId="2C7CD201">
                  <w:pPr>
                    <w:ind w:left="0" w:leftChars="0" w:firstLine="0" w:firstLineChars="0"/>
                    <w:rPr>
                      <w:rFonts w:hint="default" w:eastAsiaTheme="minorEastAsia"/>
                      <w:color w:val="auto"/>
                      <w:lang w:val="en-US" w:eastAsia="zh-CN"/>
                    </w:rPr>
                  </w:pPr>
                  <w:r>
                    <w:rPr>
                      <w:rFonts w:hint="eastAsia" w:cs="Times New Roman" w:eastAsiaTheme="minorEastAsia"/>
                      <w:color w:val="auto"/>
                      <w:sz w:val="21"/>
                      <w:szCs w:val="21"/>
                      <w:lang w:val="en-US" w:eastAsia="zh-CN"/>
                    </w:rPr>
                    <w:t>动植物油：20</w:t>
                  </w:r>
                </w:p>
              </w:tc>
              <w:tc>
                <w:tcPr>
                  <w:tcW w:w="597" w:type="pct"/>
                  <w:vAlign w:val="center"/>
                </w:tcPr>
                <w:p w14:paraId="24F566C5">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化粪池</w:t>
                  </w:r>
                </w:p>
              </w:tc>
              <w:tc>
                <w:tcPr>
                  <w:tcW w:w="1459" w:type="pct"/>
                  <w:vAlign w:val="center"/>
                </w:tcPr>
                <w:p w14:paraId="106F4DF2">
                  <w:pPr>
                    <w:pStyle w:val="112"/>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食堂废水经油水分离器隔油后与其</w:t>
                  </w:r>
                  <w:r>
                    <w:rPr>
                      <w:rFonts w:hint="default" w:ascii="Times New Roman" w:hAnsi="Times New Roman" w:cs="Times New Roman" w:eastAsiaTheme="minorEastAsia"/>
                      <w:color w:val="auto"/>
                      <w:sz w:val="21"/>
                      <w:szCs w:val="21"/>
                      <w:lang w:val="en-US" w:eastAsia="zh-CN"/>
                    </w:rPr>
                    <w:t>它</w:t>
                  </w:r>
                  <w:r>
                    <w:rPr>
                      <w:rFonts w:hint="default" w:ascii="Times New Roman" w:hAnsi="Times New Roman" w:cs="Times New Roman" w:eastAsiaTheme="minorEastAsia"/>
                      <w:color w:val="auto"/>
                      <w:sz w:val="21"/>
                      <w:szCs w:val="21"/>
                    </w:rPr>
                    <w:t>生活污水一起进入化粪池</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经化粪池（</w:t>
                  </w:r>
                  <w:r>
                    <w:rPr>
                      <w:rFonts w:hint="eastAsia"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）预处理后，</w:t>
                  </w:r>
                  <w:r>
                    <w:rPr>
                      <w:rFonts w:hint="eastAsia" w:cs="Times New Roman" w:eastAsiaTheme="minorEastAsia"/>
                      <w:color w:val="auto"/>
                      <w:sz w:val="21"/>
                      <w:szCs w:val="21"/>
                      <w:lang w:val="en-US" w:eastAsia="zh-CN"/>
                    </w:rPr>
                    <w:t>通过泵输送至项目新建的2m</w:t>
                  </w:r>
                  <w:r>
                    <w:rPr>
                      <w:rFonts w:hint="eastAsia" w:cs="Times New Roman" w:eastAsiaTheme="minorEastAsia"/>
                      <w:color w:val="auto"/>
                      <w:sz w:val="21"/>
                      <w:szCs w:val="21"/>
                      <w:vertAlign w:val="superscript"/>
                      <w:lang w:val="en-US" w:eastAsia="zh-CN"/>
                    </w:rPr>
                    <w:t>3</w:t>
                  </w:r>
                  <w:r>
                    <w:rPr>
                      <w:rFonts w:hint="eastAsia" w:cs="Times New Roman" w:eastAsiaTheme="minorEastAsia"/>
                      <w:color w:val="auto"/>
                      <w:sz w:val="21"/>
                      <w:szCs w:val="21"/>
                      <w:lang w:val="en-US" w:eastAsia="zh-CN"/>
                    </w:rPr>
                    <w:t>/d的一体化污水处理设施，经处理达标后，晴天回用于厂区绿化或道路清扫，不外排，雨天暂存于中水池，待晴天后，回用于厂区绿化或道路清扫，不外排</w:t>
                  </w:r>
                </w:p>
              </w:tc>
            </w:tr>
          </w:tbl>
          <w:p w14:paraId="67BC58EA">
            <w:pPr>
              <w:keepNext w:val="0"/>
              <w:keepLines/>
              <w:pageBreakBefore w:val="0"/>
              <w:kinsoku/>
              <w:wordWrap w:val="0"/>
              <w:overflowPunct/>
              <w:topLinePunct/>
              <w:bidi w:val="0"/>
              <w:adjustRightInd/>
              <w:spacing w:line="360" w:lineRule="auto"/>
              <w:ind w:firstLine="480" w:firstLineChars="200"/>
              <w:rPr>
                <w:rFonts w:hint="default" w:ascii="Times New Roman" w:hAnsi="Times New Roman" w:eastAsia="宋体"/>
                <w:color w:val="auto"/>
                <w:sz w:val="32"/>
                <w:szCs w:val="32"/>
                <w:lang w:val="en-US" w:eastAsia="zh-CN"/>
              </w:rPr>
            </w:pPr>
            <w:r>
              <w:rPr>
                <w:rFonts w:hint="eastAsia"/>
                <w:color w:val="auto"/>
              </w:rPr>
              <w:t>综上所述，</w:t>
            </w:r>
            <w:r>
              <w:rPr>
                <w:color w:val="auto"/>
              </w:rPr>
              <w:t>本项目实施雨污分流制，雨水经厂区雨水沟收集后排入附近排水沟；项目</w:t>
            </w:r>
            <w:r>
              <w:rPr>
                <w:rFonts w:hint="eastAsia"/>
                <w:color w:val="auto"/>
                <w:lang w:val="en-US" w:eastAsia="zh-CN"/>
              </w:rPr>
              <w:t>软水</w:t>
            </w:r>
            <w:r>
              <w:rPr>
                <w:color w:val="auto"/>
              </w:rPr>
              <w:t>制备废水及</w:t>
            </w:r>
            <w:r>
              <w:rPr>
                <w:rFonts w:hint="eastAsia"/>
                <w:color w:val="auto"/>
                <w:lang w:eastAsia="zh-CN"/>
              </w:rPr>
              <w:t>生物质蒸汽发生器</w:t>
            </w:r>
            <w:r>
              <w:rPr>
                <w:color w:val="auto"/>
              </w:rPr>
              <w:t>排污水经收集后回用于厂区洒水降尘，发泡工段蒸汽冷凝水用于</w:t>
            </w:r>
            <w:r>
              <w:rPr>
                <w:rFonts w:hint="eastAsia"/>
                <w:color w:val="auto"/>
                <w:lang w:eastAsia="zh-CN"/>
              </w:rPr>
              <w:t>生物质蒸汽发生器</w:t>
            </w:r>
            <w:r>
              <w:rPr>
                <w:color w:val="auto"/>
              </w:rPr>
              <w:t>损耗补充水</w:t>
            </w:r>
            <w:r>
              <w:rPr>
                <w:rFonts w:hint="eastAsia"/>
                <w:color w:val="auto"/>
                <w:lang w:eastAsia="zh-CN"/>
              </w:rPr>
              <w:t>，</w:t>
            </w:r>
            <w:r>
              <w:rPr>
                <w:color w:val="auto"/>
              </w:rPr>
              <w:t>项目生产废</w:t>
            </w:r>
            <w:r>
              <w:rPr>
                <w:rFonts w:ascii="Times New Roman" w:hAnsi="Times New Roman" w:eastAsia="宋体"/>
                <w:color w:val="auto"/>
              </w:rPr>
              <w:t>水不外排。</w:t>
            </w:r>
            <w:r>
              <w:rPr>
                <w:rFonts w:hint="default" w:ascii="Times New Roman" w:hAnsi="Times New Roman" w:eastAsia="宋体"/>
                <w:color w:val="auto"/>
              </w:rPr>
              <w:t>食堂废水经油水分离器隔油后与其</w:t>
            </w:r>
            <w:r>
              <w:rPr>
                <w:rFonts w:hint="default" w:ascii="Times New Roman" w:hAnsi="Times New Roman" w:eastAsia="宋体"/>
                <w:color w:val="auto"/>
                <w:lang w:val="en-US" w:eastAsia="zh-CN"/>
              </w:rPr>
              <w:t>它</w:t>
            </w:r>
            <w:r>
              <w:rPr>
                <w:rFonts w:hint="default" w:ascii="Times New Roman" w:hAnsi="Times New Roman" w:eastAsia="宋体"/>
                <w:color w:val="auto"/>
              </w:rPr>
              <w:t>生活污水一起进入化粪池</w:t>
            </w:r>
            <w:r>
              <w:rPr>
                <w:rFonts w:hint="default" w:ascii="Times New Roman" w:hAnsi="Times New Roman" w:eastAsia="宋体"/>
                <w:color w:val="auto"/>
                <w:lang w:eastAsia="zh-CN"/>
              </w:rPr>
              <w:t>，</w:t>
            </w:r>
            <w:r>
              <w:rPr>
                <w:rFonts w:hint="default" w:ascii="Times New Roman" w:hAnsi="Times New Roman" w:eastAsia="宋体"/>
                <w:color w:val="auto"/>
              </w:rPr>
              <w:t>经化粪池（</w:t>
            </w:r>
            <w:r>
              <w:rPr>
                <w:rFonts w:hint="eastAsia"/>
                <w:color w:val="auto"/>
                <w:lang w:val="en-US" w:eastAsia="zh-CN"/>
              </w:rPr>
              <w:t>2</w:t>
            </w:r>
            <w:r>
              <w:rPr>
                <w:rFonts w:hint="default" w:ascii="Times New Roman" w:hAnsi="Times New Roman" w:eastAsia="宋体"/>
                <w:color w:val="auto"/>
              </w:rPr>
              <w:t>m</w:t>
            </w:r>
            <w:r>
              <w:rPr>
                <w:rFonts w:hint="default" w:ascii="Times New Roman" w:hAnsi="Times New Roman" w:eastAsia="宋体"/>
                <w:color w:val="auto"/>
                <w:vertAlign w:val="superscript"/>
              </w:rPr>
              <w:t>3</w:t>
            </w:r>
            <w:r>
              <w:rPr>
                <w:rFonts w:hint="default" w:ascii="Times New Roman" w:hAnsi="Times New Roman" w:eastAsia="宋体"/>
                <w:color w:val="auto"/>
              </w:rPr>
              <w:t>）预处理后，</w:t>
            </w:r>
            <w:r>
              <w:rPr>
                <w:rFonts w:hint="eastAsia" w:cs="Times New Roman" w:eastAsiaTheme="minorEastAsia"/>
                <w:color w:val="auto"/>
                <w:sz w:val="24"/>
                <w:szCs w:val="24"/>
                <w:lang w:val="en-US" w:eastAsia="zh-CN"/>
              </w:rPr>
              <w:t>通过泵输送至项目新建的2m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/d的一体化污水处理设施，经处理达标后，晴天回用于厂区绿化或道路清扫，不外排，雨天暂存于中水池，待晴天后，回用于厂区绿化或道路清扫，不外排</w:t>
            </w:r>
            <w:r>
              <w:rPr>
                <w:rFonts w:hint="eastAsia" w:ascii="Times New Roman" w:hAnsi="Times New Roman" w:eastAsia="宋体"/>
                <w:color w:val="auto"/>
                <w:sz w:val="32"/>
                <w:szCs w:val="32"/>
                <w:lang w:val="en-US" w:eastAsia="zh-CN"/>
              </w:rPr>
              <w:t>。</w:t>
            </w:r>
          </w:p>
          <w:p w14:paraId="22F1FB1E">
            <w:pPr>
              <w:keepNext w:val="0"/>
              <w:keepLines/>
              <w:pageBreakBefore w:val="0"/>
              <w:tabs>
                <w:tab w:val="left" w:pos="4830"/>
              </w:tabs>
              <w:kinsoku/>
              <w:overflowPunct/>
              <w:bidi w:val="0"/>
              <w:adjustRightInd/>
              <w:snapToGrid/>
              <w:spacing w:line="360" w:lineRule="auto"/>
              <w:ind w:firstLine="482" w:firstLineChars="200"/>
              <w:jc w:val="left"/>
              <w:rPr>
                <w:rFonts w:hint="default" w:ascii="Times New Roman" w:hAnsi="Times New Roman" w:eastAsia="宋体" w:cs="Times New Roman"/>
                <w:b/>
                <w:color w:val="auto"/>
                <w:sz w:val="24"/>
                <w:lang w:eastAsia="zh-CN"/>
              </w:rPr>
            </w:pPr>
            <w:r>
              <w:rPr>
                <w:rFonts w:hint="eastAsia" w:cs="Times New Roman"/>
                <w:b/>
                <w:color w:val="auto"/>
                <w:sz w:val="24"/>
                <w:lang w:val="en-US" w:eastAsia="zh-CN"/>
              </w:rPr>
              <w:t>2、</w:t>
            </w:r>
            <w:r>
              <w:rPr>
                <w:rFonts w:hint="default" w:ascii="Times New Roman" w:hAnsi="Times New Roman" w:eastAsia="宋体" w:cs="Times New Roman"/>
                <w:b/>
                <w:color w:val="auto"/>
                <w:sz w:val="24"/>
                <w:lang w:eastAsia="zh-CN"/>
              </w:rPr>
              <w:t>废水处置可行性分析</w:t>
            </w:r>
          </w:p>
          <w:p w14:paraId="19122800">
            <w:pPr>
              <w:keepNext w:val="0"/>
              <w:keepLines/>
              <w:pageBreakBefore w:val="0"/>
              <w:widowControl/>
              <w:suppressLineNumbers w:val="0"/>
              <w:kinsoku/>
              <w:wordWrap/>
              <w:overflowPunct/>
              <w:topLinePunct w:val="0"/>
              <w:autoSpaceDE/>
              <w:autoSpaceDN/>
              <w:bidi w:val="0"/>
              <w:adjustRightInd/>
              <w:jc w:val="left"/>
              <w:textAlignment w:val="auto"/>
              <w:outlineLvl w:val="9"/>
              <w:rPr>
                <w:rFonts w:hint="default" w:ascii="Times New Roman" w:hAnsi="Times New Roman" w:cs="Times New Roman" w:eastAsiaTheme="minorEastAsia"/>
                <w:b/>
                <w:bCs/>
                <w:color w:val="auto"/>
                <w:kern w:val="0"/>
                <w:sz w:val="24"/>
                <w:szCs w:val="24"/>
                <w:lang w:val="en-US" w:eastAsia="zh-CN" w:bidi="ar"/>
              </w:rPr>
            </w:pPr>
            <w:r>
              <w:rPr>
                <w:rFonts w:hint="default" w:ascii="Times New Roman" w:hAnsi="Times New Roman" w:cs="Times New Roman" w:eastAsiaTheme="minorEastAsia"/>
                <w:b/>
                <w:bCs/>
                <w:color w:val="auto"/>
                <w:kern w:val="0"/>
                <w:sz w:val="24"/>
                <w:szCs w:val="24"/>
                <w:lang w:val="en-US" w:eastAsia="zh-CN" w:bidi="ar"/>
              </w:rPr>
              <w:t>（1）生产废水收集池设置合理性分析</w:t>
            </w:r>
          </w:p>
          <w:p w14:paraId="511C25AF">
            <w:pPr>
              <w:keepNext w:val="0"/>
              <w:keepLines/>
              <w:pageBreakBefore w:val="0"/>
              <w:widowControl/>
              <w:suppressLineNumbers w:val="0"/>
              <w:kinsoku/>
              <w:wordWrap/>
              <w:overflowPunct/>
              <w:topLinePunct w:val="0"/>
              <w:autoSpaceDE/>
              <w:autoSpaceDN/>
              <w:bidi w:val="0"/>
              <w:adjustRightInd/>
              <w:jc w:val="both"/>
              <w:textAlignment w:val="auto"/>
              <w:outlineLvl w:val="9"/>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rPr>
              <w:t>项目</w:t>
            </w:r>
            <w:r>
              <w:rPr>
                <w:rFonts w:hint="eastAsia" w:ascii="Times New Roman" w:hAnsi="Times New Roman" w:cs="Times New Roman" w:eastAsiaTheme="minorEastAsia"/>
                <w:color w:val="auto"/>
                <w:lang w:eastAsia="zh-CN"/>
              </w:rPr>
              <w:t>软水</w:t>
            </w:r>
            <w:r>
              <w:rPr>
                <w:rFonts w:hint="default" w:ascii="Times New Roman" w:hAnsi="Times New Roman" w:cs="Times New Roman" w:eastAsiaTheme="minorEastAsia"/>
                <w:color w:val="auto"/>
              </w:rPr>
              <w:t>制备废水</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0.5m</w:t>
            </w:r>
            <w:r>
              <w:rPr>
                <w:rFonts w:hint="default" w:ascii="Times New Roman" w:hAnsi="Times New Roman" w:cs="Times New Roman" w:eastAsiaTheme="minorEastAsia"/>
                <w:color w:val="auto"/>
                <w:vertAlign w:val="superscript"/>
                <w:lang w:val="en-US" w:eastAsia="zh-CN"/>
              </w:rPr>
              <w:t>3</w:t>
            </w:r>
            <w:r>
              <w:rPr>
                <w:rFonts w:hint="default" w:ascii="Times New Roman" w:hAnsi="Times New Roman" w:cs="Times New Roman" w:eastAsiaTheme="minorEastAsia"/>
                <w:color w:val="auto"/>
                <w:lang w:val="en-US" w:eastAsia="zh-CN"/>
              </w:rPr>
              <w:t>/d</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及</w:t>
            </w:r>
            <w:r>
              <w:rPr>
                <w:rFonts w:hint="eastAsia" w:cs="Times New Roman" w:eastAsiaTheme="minorEastAsia"/>
                <w:color w:val="auto"/>
                <w:lang w:eastAsia="zh-CN"/>
              </w:rPr>
              <w:t>生物质蒸汽发生器</w:t>
            </w:r>
            <w:r>
              <w:rPr>
                <w:rFonts w:hint="default" w:ascii="Times New Roman" w:hAnsi="Times New Roman" w:cs="Times New Roman" w:eastAsiaTheme="minorEastAsia"/>
                <w:color w:val="auto"/>
              </w:rPr>
              <w:t>排污水</w:t>
            </w:r>
            <w:r>
              <w:rPr>
                <w:rFonts w:hint="default" w:ascii="Times New Roman" w:hAnsi="Times New Roman" w:cs="Times New Roman" w:eastAsiaTheme="minorEastAsia"/>
                <w:color w:val="auto"/>
                <w:lang w:val="en-US" w:eastAsia="zh-CN"/>
              </w:rPr>
              <w:t>（1.3m</w:t>
            </w:r>
            <w:r>
              <w:rPr>
                <w:rFonts w:hint="default" w:ascii="Times New Roman" w:hAnsi="Times New Roman" w:cs="Times New Roman" w:eastAsiaTheme="minorEastAsia"/>
                <w:color w:val="auto"/>
                <w:vertAlign w:val="superscript"/>
                <w:lang w:val="en-US" w:eastAsia="zh-CN"/>
              </w:rPr>
              <w:t>3</w:t>
            </w:r>
            <w:r>
              <w:rPr>
                <w:rFonts w:hint="default" w:ascii="Times New Roman" w:hAnsi="Times New Roman" w:cs="Times New Roman" w:eastAsiaTheme="minorEastAsia"/>
                <w:color w:val="auto"/>
                <w:lang w:val="en-US" w:eastAsia="zh-CN"/>
              </w:rPr>
              <w:t>/d）</w:t>
            </w:r>
            <w:r>
              <w:rPr>
                <w:rFonts w:hint="default" w:ascii="Times New Roman" w:hAnsi="Times New Roman" w:cs="Times New Roman" w:eastAsiaTheme="minorEastAsia"/>
                <w:color w:val="auto"/>
              </w:rPr>
              <w:t>经生产废水收集池收集后回用于厂区洒水降尘</w:t>
            </w:r>
            <w:r>
              <w:rPr>
                <w:rFonts w:hint="eastAsia" w:ascii="Times New Roman" w:hAnsi="Times New Roman" w:cs="Times New Roman" w:eastAsiaTheme="minorEastAsia"/>
                <w:color w:val="auto"/>
                <w:lang w:eastAsia="zh-CN"/>
              </w:rPr>
              <w:t>，软水</w:t>
            </w:r>
            <w:r>
              <w:rPr>
                <w:rFonts w:hint="default" w:ascii="Times New Roman" w:hAnsi="Times New Roman" w:cs="Times New Roman" w:eastAsiaTheme="minorEastAsia"/>
                <w:color w:val="auto"/>
              </w:rPr>
              <w:t>制备废水及</w:t>
            </w:r>
            <w:r>
              <w:rPr>
                <w:rFonts w:hint="eastAsia" w:cs="Times New Roman" w:eastAsiaTheme="minorEastAsia"/>
                <w:color w:val="auto"/>
                <w:lang w:eastAsia="zh-CN"/>
              </w:rPr>
              <w:t>生物质蒸汽发生器</w:t>
            </w:r>
            <w:r>
              <w:rPr>
                <w:rFonts w:hint="default" w:ascii="Times New Roman" w:hAnsi="Times New Roman" w:cs="Times New Roman" w:eastAsiaTheme="minorEastAsia"/>
                <w:color w:val="auto"/>
              </w:rPr>
              <w:t>排污水产生量为</w:t>
            </w:r>
            <w:r>
              <w:rPr>
                <w:rFonts w:hint="default" w:ascii="Times New Roman" w:hAnsi="Times New Roman" w:cs="Times New Roman" w:eastAsiaTheme="minorEastAsia"/>
                <w:color w:val="auto"/>
                <w:lang w:val="en-US" w:eastAsia="zh-CN"/>
              </w:rPr>
              <w:t>1.8</w:t>
            </w: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/d，雨天容积按连续7天降雨时废水排放量计算为</w:t>
            </w:r>
            <w:r>
              <w:rPr>
                <w:rFonts w:hint="default" w:ascii="Times New Roman" w:hAnsi="Times New Roman" w:cs="Times New Roman" w:eastAsiaTheme="minorEastAsia"/>
                <w:color w:val="auto"/>
                <w:lang w:val="en-US" w:eastAsia="zh-CN"/>
              </w:rPr>
              <w:t>12.6</w:t>
            </w: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，项目拟设置一个</w:t>
            </w:r>
            <w:r>
              <w:rPr>
                <w:rFonts w:hint="default" w:ascii="Times New Roman" w:hAnsi="Times New Roman" w:cs="Times New Roman" w:eastAsiaTheme="minorEastAsia"/>
                <w:color w:val="auto"/>
                <w:lang w:val="en-US" w:eastAsia="zh-CN"/>
              </w:rPr>
              <w:t>15</w:t>
            </w: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lang w:val="en-US" w:eastAsia="zh-CN"/>
              </w:rPr>
              <w:t>的</w:t>
            </w:r>
            <w:r>
              <w:rPr>
                <w:rFonts w:hint="default" w:ascii="Times New Roman" w:hAnsi="Times New Roman" w:cs="Times New Roman" w:eastAsiaTheme="minorEastAsia"/>
                <w:color w:val="auto"/>
              </w:rPr>
              <w:t>生产废水收集池，可足够存下雨天所产生的全部废水，</w:t>
            </w:r>
            <w:r>
              <w:rPr>
                <w:rFonts w:hint="eastAsia" w:cs="Times New Roman" w:eastAsiaTheme="minorEastAsia"/>
                <w:color w:val="auto"/>
                <w:lang w:eastAsia="zh-CN"/>
              </w:rPr>
              <w:t>待晴天后，</w:t>
            </w:r>
            <w:r>
              <w:rPr>
                <w:rFonts w:hint="default" w:ascii="Times New Roman" w:hAnsi="Times New Roman" w:cs="Times New Roman" w:eastAsiaTheme="minorEastAsia"/>
                <w:color w:val="auto"/>
              </w:rPr>
              <w:t>回用于</w:t>
            </w:r>
            <w:r>
              <w:rPr>
                <w:rFonts w:hint="default" w:ascii="Times New Roman" w:hAnsi="Times New Roman" w:cs="Times New Roman" w:eastAsiaTheme="minorEastAsia"/>
                <w:color w:val="auto"/>
                <w:lang w:val="en-US" w:eastAsia="zh-CN"/>
              </w:rPr>
              <w:t>厂区洒水降尘</w:t>
            </w:r>
            <w:r>
              <w:rPr>
                <w:rFonts w:hint="default" w:ascii="Times New Roman" w:hAnsi="Times New Roman" w:cs="Times New Roman" w:eastAsiaTheme="minorEastAsia"/>
                <w:color w:val="auto"/>
              </w:rPr>
              <w:t>，</w:t>
            </w:r>
            <w:r>
              <w:rPr>
                <w:rFonts w:hint="eastAsia" w:cs="Times New Roman" w:eastAsiaTheme="minorEastAsia"/>
                <w:color w:val="auto"/>
                <w:lang w:val="en-US" w:eastAsia="zh-CN"/>
              </w:rPr>
              <w:t>不外排，</w:t>
            </w:r>
            <w:r>
              <w:rPr>
                <w:rFonts w:hint="default" w:ascii="Times New Roman" w:hAnsi="Times New Roman" w:cs="Times New Roman" w:eastAsiaTheme="minorEastAsia"/>
                <w:color w:val="auto"/>
                <w:lang w:val="en-US" w:eastAsia="zh-CN"/>
              </w:rPr>
              <w:t>故</w:t>
            </w:r>
            <w:r>
              <w:rPr>
                <w:rFonts w:hint="default" w:ascii="Times New Roman" w:hAnsi="Times New Roman" w:cs="Times New Roman" w:eastAsiaTheme="minorEastAsia"/>
                <w:color w:val="auto"/>
                <w:kern w:val="0"/>
                <w:sz w:val="24"/>
                <w:szCs w:val="24"/>
                <w:lang w:val="en-US" w:eastAsia="zh-CN" w:bidi="ar"/>
              </w:rPr>
              <w:t>，本项目拟设置的废水池可以满足生产废水的暂存。</w:t>
            </w:r>
          </w:p>
          <w:p w14:paraId="03C4CD9E">
            <w:pPr>
              <w:keepNext w:val="0"/>
              <w:keepLines/>
              <w:pageBreakBefore w:val="0"/>
              <w:widowControl/>
              <w:suppressLineNumbers w:val="0"/>
              <w:kinsoku/>
              <w:wordWrap/>
              <w:overflowPunct/>
              <w:topLinePunct w:val="0"/>
              <w:autoSpaceDE/>
              <w:autoSpaceDN/>
              <w:bidi w:val="0"/>
              <w:adjustRightInd/>
              <w:jc w:val="left"/>
              <w:textAlignment w:val="auto"/>
              <w:outlineLvl w:val="9"/>
              <w:rPr>
                <w:rFonts w:hint="eastAsia" w:ascii="Times New Roman" w:hAnsi="Times New Roman" w:cs="Times New Roman" w:eastAsiaTheme="minorEastAsia"/>
                <w:b/>
                <w:bCs/>
                <w:color w:val="auto"/>
                <w:kern w:val="0"/>
                <w:sz w:val="24"/>
                <w:szCs w:val="24"/>
                <w:lang w:val="en-US" w:eastAsia="zh-CN" w:bidi="ar"/>
              </w:rPr>
            </w:pPr>
            <w:r>
              <w:rPr>
                <w:rFonts w:hint="eastAsia" w:ascii="Times New Roman" w:hAnsi="Times New Roman" w:cs="Times New Roman" w:eastAsiaTheme="minorEastAsia"/>
                <w:b/>
                <w:bCs/>
                <w:color w:val="auto"/>
                <w:kern w:val="0"/>
                <w:sz w:val="24"/>
                <w:szCs w:val="24"/>
                <w:lang w:val="en-US" w:eastAsia="zh-CN" w:bidi="ar"/>
              </w:rPr>
              <w:t>（2）冷凝水收集池</w:t>
            </w:r>
            <w:r>
              <w:rPr>
                <w:rFonts w:hint="default" w:ascii="Times New Roman" w:hAnsi="Times New Roman" w:cs="Times New Roman" w:eastAsiaTheme="minorEastAsia"/>
                <w:b/>
                <w:bCs/>
                <w:color w:val="auto"/>
                <w:kern w:val="0"/>
                <w:sz w:val="24"/>
                <w:szCs w:val="24"/>
                <w:lang w:val="en-US" w:eastAsia="zh-CN" w:bidi="ar"/>
              </w:rPr>
              <w:t>设置合理性分析</w:t>
            </w:r>
          </w:p>
          <w:p w14:paraId="622D7CDE">
            <w:pPr>
              <w:keepNext w:val="0"/>
              <w:keepLines/>
              <w:pageBreakBefore w:val="0"/>
              <w:widowControl/>
              <w:suppressLineNumbers w:val="0"/>
              <w:kinsoku/>
              <w:wordWrap/>
              <w:overflowPunct/>
              <w:topLinePunct w:val="0"/>
              <w:autoSpaceDE/>
              <w:autoSpaceDN/>
              <w:bidi w:val="0"/>
              <w:adjustRightInd/>
              <w:jc w:val="both"/>
              <w:textAlignment w:val="auto"/>
              <w:outlineLvl w:val="9"/>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根据项目水平衡图2-2可知，本项目产生的冷凝水为20.88m</w:t>
            </w:r>
            <w:r>
              <w:rPr>
                <w:rFonts w:hint="eastAsia" w:ascii="Times New Roman" w:hAnsi="Times New Roman" w:cs="Times New Roman" w:eastAsiaTheme="minorEastAsia"/>
                <w:color w:val="auto"/>
                <w:vertAlign w:val="superscript"/>
                <w:lang w:val="en-US" w:eastAsia="zh-CN"/>
              </w:rPr>
              <w:t>3</w:t>
            </w:r>
            <w:r>
              <w:rPr>
                <w:rFonts w:hint="eastAsia" w:ascii="Times New Roman" w:hAnsi="Times New Roman" w:cs="Times New Roman" w:eastAsiaTheme="minorEastAsia"/>
                <w:color w:val="auto"/>
                <w:lang w:val="en-US" w:eastAsia="zh-CN"/>
              </w:rPr>
              <w:t>/d，本项目拟设置一个容积为25m</w:t>
            </w:r>
            <w:r>
              <w:rPr>
                <w:rFonts w:hint="eastAsia" w:ascii="Times New Roman" w:hAnsi="Times New Roman" w:cs="Times New Roman" w:eastAsiaTheme="minorEastAsia"/>
                <w:color w:val="auto"/>
                <w:vertAlign w:val="superscript"/>
                <w:lang w:val="en-US" w:eastAsia="zh-CN"/>
              </w:rPr>
              <w:t>3</w:t>
            </w:r>
            <w:r>
              <w:rPr>
                <w:rFonts w:hint="eastAsia" w:ascii="Times New Roman" w:hAnsi="Times New Roman" w:cs="Times New Roman" w:eastAsiaTheme="minorEastAsia"/>
                <w:color w:val="auto"/>
                <w:lang w:val="en-US" w:eastAsia="zh-CN"/>
              </w:rPr>
              <w:t>的冷凝水收集池，</w:t>
            </w:r>
            <w:r>
              <w:rPr>
                <w:rFonts w:hint="default" w:ascii="Times New Roman" w:hAnsi="Times New Roman" w:cs="Times New Roman" w:eastAsiaTheme="minorEastAsia"/>
                <w:color w:val="auto"/>
                <w:lang w:val="en-US" w:eastAsia="zh-CN"/>
              </w:rPr>
              <w:t>可以满足</w:t>
            </w:r>
            <w:r>
              <w:rPr>
                <w:rFonts w:hint="eastAsia" w:ascii="Times New Roman" w:hAnsi="Times New Roman" w:cs="Times New Roman" w:eastAsiaTheme="minorEastAsia"/>
                <w:color w:val="auto"/>
                <w:lang w:val="en-US" w:eastAsia="zh-CN"/>
              </w:rPr>
              <w:t>收集暂存项目产生的冷凝水，</w:t>
            </w:r>
            <w:r>
              <w:rPr>
                <w:rFonts w:hint="default" w:ascii="Times New Roman" w:hAnsi="Times New Roman" w:cs="Times New Roman" w:eastAsiaTheme="minorEastAsia"/>
                <w:color w:val="auto"/>
                <w:lang w:val="en-US" w:eastAsia="zh-CN"/>
              </w:rPr>
              <w:t>故，本项目拟设置的</w:t>
            </w:r>
            <w:r>
              <w:rPr>
                <w:rFonts w:hint="eastAsia" w:ascii="Times New Roman" w:hAnsi="Times New Roman" w:cs="Times New Roman" w:eastAsiaTheme="minorEastAsia"/>
                <w:color w:val="auto"/>
                <w:lang w:val="en-US" w:eastAsia="zh-CN"/>
              </w:rPr>
              <w:t>冷凝水收集</w:t>
            </w:r>
            <w:r>
              <w:rPr>
                <w:rFonts w:hint="default" w:ascii="Times New Roman" w:hAnsi="Times New Roman" w:cs="Times New Roman" w:eastAsiaTheme="minorEastAsia"/>
                <w:color w:val="auto"/>
                <w:lang w:val="en-US" w:eastAsia="zh-CN"/>
              </w:rPr>
              <w:t>池</w:t>
            </w:r>
            <w:r>
              <w:rPr>
                <w:rFonts w:hint="eastAsia" w:cs="Times New Roman" w:eastAsiaTheme="minorEastAsia"/>
                <w:color w:val="auto"/>
                <w:lang w:val="en-US" w:eastAsia="zh-CN"/>
              </w:rPr>
              <w:t>是合理可行的</w:t>
            </w:r>
            <w:r>
              <w:rPr>
                <w:rFonts w:hint="default" w:ascii="Times New Roman" w:hAnsi="Times New Roman" w:cs="Times New Roman" w:eastAsiaTheme="minorEastAsia"/>
                <w:color w:val="auto"/>
                <w:lang w:val="en-US" w:eastAsia="zh-CN"/>
              </w:rPr>
              <w:t>。</w:t>
            </w:r>
          </w:p>
          <w:p w14:paraId="3F35D2A6">
            <w:pPr>
              <w:keepNext w:val="0"/>
              <w:keepLines/>
              <w:pageBreakBefore w:val="0"/>
              <w:widowControl/>
              <w:suppressLineNumbers w:val="0"/>
              <w:kinsoku/>
              <w:wordWrap/>
              <w:overflowPunct/>
              <w:topLinePunct w:val="0"/>
              <w:autoSpaceDE/>
              <w:autoSpaceDN/>
              <w:bidi w:val="0"/>
              <w:adjustRightInd/>
              <w:jc w:val="left"/>
              <w:textAlignment w:val="auto"/>
              <w:outlineLvl w:val="9"/>
              <w:rPr>
                <w:rFonts w:hint="default" w:ascii="Times New Roman" w:hAnsi="Times New Roman" w:cs="Times New Roman" w:eastAsiaTheme="minorEastAsia"/>
                <w:b/>
                <w:bCs/>
                <w:color w:val="auto"/>
                <w:kern w:val="0"/>
                <w:sz w:val="24"/>
                <w:szCs w:val="24"/>
                <w:lang w:val="en-US" w:eastAsia="zh-CN" w:bidi="ar"/>
              </w:rPr>
            </w:pPr>
            <w:r>
              <w:rPr>
                <w:rFonts w:hint="default" w:ascii="Times New Roman" w:hAnsi="Times New Roman" w:cs="Times New Roman" w:eastAsiaTheme="minorEastAsia"/>
                <w:b/>
                <w:bCs/>
                <w:color w:val="auto"/>
                <w:kern w:val="0"/>
                <w:sz w:val="24"/>
                <w:szCs w:val="24"/>
                <w:lang w:val="en-US" w:eastAsia="zh-CN" w:bidi="ar"/>
              </w:rPr>
              <w:t>（</w:t>
            </w:r>
            <w:r>
              <w:rPr>
                <w:rFonts w:hint="eastAsia" w:ascii="Times New Roman" w:hAnsi="Times New Roman" w:cs="Times New Roman" w:eastAsiaTheme="minorEastAsia"/>
                <w:b/>
                <w:bCs/>
                <w:color w:val="auto"/>
                <w:kern w:val="0"/>
                <w:sz w:val="24"/>
                <w:szCs w:val="24"/>
                <w:lang w:val="en-US" w:eastAsia="zh-CN" w:bidi="ar"/>
              </w:rPr>
              <w:t>3</w:t>
            </w:r>
            <w:r>
              <w:rPr>
                <w:rFonts w:hint="default" w:ascii="Times New Roman" w:hAnsi="Times New Roman" w:cs="Times New Roman" w:eastAsiaTheme="minorEastAsia"/>
                <w:b/>
                <w:bCs/>
                <w:color w:val="auto"/>
                <w:kern w:val="0"/>
                <w:sz w:val="24"/>
                <w:szCs w:val="24"/>
                <w:lang w:val="en-US" w:eastAsia="zh-CN" w:bidi="ar"/>
              </w:rPr>
              <w:t>）</w:t>
            </w:r>
            <w:r>
              <w:rPr>
                <w:rFonts w:hint="eastAsia" w:cs="Times New Roman" w:eastAsiaTheme="minorEastAsia"/>
                <w:b/>
                <w:bCs/>
                <w:color w:val="auto"/>
                <w:kern w:val="0"/>
                <w:sz w:val="24"/>
                <w:szCs w:val="24"/>
                <w:lang w:val="en-US" w:eastAsia="zh-CN" w:bidi="ar"/>
              </w:rPr>
              <w:t>化粪池</w:t>
            </w:r>
            <w:r>
              <w:rPr>
                <w:rFonts w:hint="default" w:ascii="Times New Roman" w:hAnsi="Times New Roman" w:cs="Times New Roman" w:eastAsiaTheme="minorEastAsia"/>
                <w:b/>
                <w:bCs/>
                <w:color w:val="auto"/>
                <w:kern w:val="0"/>
                <w:sz w:val="24"/>
                <w:szCs w:val="24"/>
                <w:lang w:val="en-US" w:eastAsia="zh-CN" w:bidi="ar"/>
              </w:rPr>
              <w:t>设置合理性分析</w:t>
            </w:r>
          </w:p>
          <w:p w14:paraId="05A9BBD7">
            <w:pPr>
              <w:keepNext w:val="0"/>
              <w:keepLines/>
              <w:pageBreakBefore w:val="0"/>
              <w:kinsoku/>
              <w:wordWrap w:val="0"/>
              <w:overflowPunct/>
              <w:topLinePunct/>
              <w:bidi w:val="0"/>
              <w:adjustRightInd/>
              <w:spacing w:line="360" w:lineRule="auto"/>
              <w:ind w:firstLine="480" w:firstLineChars="200"/>
              <w:rPr>
                <w:rFonts w:hint="default" w:ascii="Times New Roman" w:hAnsi="Times New Roman" w:cs="Times New Roman" w:eastAsiaTheme="minorEastAsia"/>
                <w:color w:val="auto"/>
                <w:kern w:val="0"/>
                <w:sz w:val="24"/>
                <w:szCs w:val="24"/>
                <w:lang w:val="en-US" w:eastAsia="zh-CN" w:bidi="ar"/>
              </w:rPr>
            </w:pPr>
            <w:r>
              <w:rPr>
                <w:rFonts w:hint="default" w:ascii="Times New Roman" w:hAnsi="Times New Roman" w:cs="Times New Roman" w:eastAsiaTheme="minorEastAsia"/>
                <w:color w:val="auto"/>
                <w:sz w:val="24"/>
                <w:szCs w:val="24"/>
              </w:rPr>
              <w:t>化粪池采用钢筋混凝土，池底、池壁混凝土抗渗等级为S6，内</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外壁20mm厚1</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3水泥砂浆（掺5%防水剂）抹面设计，</w:t>
            </w:r>
            <w:r>
              <w:rPr>
                <w:rFonts w:hint="default" w:ascii="Times New Roman" w:hAnsi="Times New Roman" w:cs="Times New Roman" w:eastAsiaTheme="minorEastAsia"/>
                <w:color w:val="auto"/>
                <w:sz w:val="24"/>
                <w:szCs w:val="24"/>
                <w:lang w:val="en-US" w:eastAsia="zh-CN"/>
              </w:rPr>
              <w:t>本</w:t>
            </w:r>
            <w:r>
              <w:rPr>
                <w:rFonts w:hint="default" w:ascii="Times New Roman" w:hAnsi="Times New Roman" w:cs="Times New Roman" w:eastAsiaTheme="minorEastAsia"/>
                <w:color w:val="auto"/>
                <w:sz w:val="24"/>
                <w:szCs w:val="24"/>
              </w:rPr>
              <w:t>项目生活污水产生量为</w:t>
            </w:r>
            <w:r>
              <w:rPr>
                <w:rFonts w:hint="default" w:ascii="Times New Roman" w:hAnsi="Times New Roman" w:cs="Times New Roman" w:eastAsiaTheme="minorEastAsia"/>
                <w:color w:val="auto"/>
                <w:sz w:val="24"/>
                <w:szCs w:val="24"/>
                <w:lang w:val="en-US" w:eastAsia="zh-CN"/>
              </w:rPr>
              <w:t>0.</w:t>
            </w:r>
            <w:r>
              <w:rPr>
                <w:rFonts w:hint="eastAsia"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w:t>
            </w:r>
            <w:r>
              <w:rPr>
                <w:rFonts w:hint="eastAsia" w:cs="Times New Roman" w:eastAsiaTheme="minorEastAsia"/>
                <w:color w:val="auto"/>
                <w:sz w:val="24"/>
                <w:szCs w:val="24"/>
                <w:lang w:val="en-US" w:eastAsia="zh-CN"/>
              </w:rPr>
              <w:t>12</w:t>
            </w:r>
            <w:r>
              <w:rPr>
                <w:rFonts w:hint="default" w:ascii="Times New Roman" w:hAnsi="Times New Roman" w:cs="Times New Roman" w:eastAsiaTheme="minorEastAsia"/>
                <w:color w:val="auto"/>
                <w:sz w:val="24"/>
                <w:szCs w:val="24"/>
                <w:lang w:val="en-US" w:eastAsia="zh-CN"/>
              </w:rPr>
              <w:t>0m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/a</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本项目拟布设1个容积为</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的化粪池，满足暂存生活污水</w:t>
            </w:r>
            <w:r>
              <w:rPr>
                <w:rFonts w:hint="eastAsia"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val="en-US" w:eastAsia="zh-CN"/>
              </w:rPr>
              <w:t>d的量（</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），且项目产生的生活污水经化粪池（</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）预处理后，</w:t>
            </w:r>
            <w:r>
              <w:rPr>
                <w:rFonts w:hint="eastAsia" w:cs="Times New Roman" w:eastAsiaTheme="minorEastAsia"/>
                <w:color w:val="auto"/>
                <w:sz w:val="24"/>
                <w:szCs w:val="24"/>
                <w:lang w:val="en-US" w:eastAsia="zh-CN"/>
              </w:rPr>
              <w:t>通过泵输送至项目新建的2m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/d的一体化污水处理设施，经处理达标后，回用于厂区绿化或道路清扫，不外排</w:t>
            </w:r>
            <w:r>
              <w:rPr>
                <w:rFonts w:hint="default" w:ascii="Times New Roman" w:hAnsi="Times New Roman" w:cs="Times New Roman" w:eastAsiaTheme="minorEastAsia"/>
                <w:color w:val="auto"/>
                <w:sz w:val="24"/>
                <w:szCs w:val="24"/>
                <w:lang w:val="en-US" w:eastAsia="zh-CN"/>
              </w:rPr>
              <w:t>，故项目化粪池</w:t>
            </w:r>
            <w:r>
              <w:rPr>
                <w:rFonts w:hint="default" w:ascii="Times New Roman" w:hAnsi="Times New Roman" w:cs="Times New Roman" w:eastAsiaTheme="minorEastAsia"/>
                <w:color w:val="auto"/>
                <w:sz w:val="24"/>
                <w:szCs w:val="24"/>
              </w:rPr>
              <w:t>设置合理可行</w:t>
            </w:r>
            <w:r>
              <w:rPr>
                <w:rFonts w:hint="default" w:ascii="Times New Roman" w:hAnsi="Times New Roman" w:cs="Times New Roman" w:eastAsiaTheme="minorEastAsia"/>
                <w:color w:val="auto"/>
                <w:kern w:val="0"/>
                <w:sz w:val="24"/>
                <w:szCs w:val="24"/>
                <w:lang w:val="en-US" w:eastAsia="zh-CN" w:bidi="ar"/>
              </w:rPr>
              <w:t>。</w:t>
            </w:r>
          </w:p>
          <w:p w14:paraId="28F628B7">
            <w:pPr>
              <w:keepNext w:val="0"/>
              <w:keepLines/>
              <w:pageBreakBefore w:val="0"/>
              <w:widowControl/>
              <w:suppressLineNumbers w:val="0"/>
              <w:kinsoku/>
              <w:wordWrap/>
              <w:overflowPunct/>
              <w:topLinePunct w:val="0"/>
              <w:autoSpaceDE/>
              <w:autoSpaceDN/>
              <w:bidi w:val="0"/>
              <w:adjustRightInd/>
              <w:jc w:val="left"/>
              <w:textAlignment w:val="auto"/>
              <w:outlineLvl w:val="9"/>
              <w:rPr>
                <w:rFonts w:hint="eastAsia" w:ascii="Times New Roman" w:hAnsi="Times New Roman" w:cs="Times New Roman" w:eastAsiaTheme="minorEastAsia"/>
                <w:b/>
                <w:bCs/>
                <w:color w:val="auto"/>
                <w:kern w:val="0"/>
                <w:sz w:val="24"/>
                <w:szCs w:val="24"/>
                <w:lang w:val="en-US" w:eastAsia="zh-CN" w:bidi="ar"/>
              </w:rPr>
            </w:pPr>
            <w:r>
              <w:rPr>
                <w:rFonts w:hint="eastAsia" w:ascii="Times New Roman" w:hAnsi="Times New Roman" w:cs="Times New Roman" w:eastAsiaTheme="minorEastAsia"/>
                <w:b/>
                <w:bCs/>
                <w:color w:val="auto"/>
                <w:kern w:val="0"/>
                <w:sz w:val="24"/>
                <w:szCs w:val="24"/>
                <w:lang w:val="en-US" w:eastAsia="zh-CN" w:bidi="ar"/>
              </w:rPr>
              <w:t>（4）中水池设置合理性分析</w:t>
            </w:r>
          </w:p>
          <w:p w14:paraId="4786BF77">
            <w:pPr>
              <w:ind w:firstLine="480"/>
              <w:rPr>
                <w:rFonts w:hint="default" w:cs="Times New Roman" w:eastAsiaTheme="minorEastAsia"/>
                <w:color w:val="auto"/>
                <w:kern w:val="0"/>
                <w:sz w:val="24"/>
                <w:szCs w:val="24"/>
                <w:lang w:val="en-US" w:eastAsia="zh-CN" w:bidi="ar"/>
              </w:rPr>
            </w:pPr>
            <w:r>
              <w:rPr>
                <w:rFonts w:hint="eastAsia" w:cs="Times New Roman" w:eastAsiaTheme="minorEastAsia"/>
                <w:color w:val="auto"/>
                <w:kern w:val="0"/>
                <w:sz w:val="24"/>
                <w:szCs w:val="24"/>
                <w:lang w:val="en-US" w:eastAsia="zh-CN" w:bidi="ar"/>
              </w:rPr>
              <w:t xml:space="preserve">  </w:t>
            </w:r>
            <w:r>
              <w:rPr>
                <w:rFonts w:hint="default" w:ascii="Times New Roman" w:hAnsi="Times New Roman" w:eastAsia="宋体" w:cs="Times New Roman"/>
                <w:color w:val="auto"/>
              </w:rPr>
              <w:t>项目生活污水产生量为</w:t>
            </w:r>
            <w:r>
              <w:rPr>
                <w:rFonts w:hint="default" w:ascii="Times New Roman" w:hAnsi="Times New Roman" w:eastAsia="宋体" w:cs="Times New Roman"/>
                <w:color w:val="auto"/>
                <w:lang w:val="en-US" w:eastAsia="zh-CN"/>
              </w:rPr>
              <w:t>0.</w:t>
            </w:r>
            <w:r>
              <w:rPr>
                <w:rFonts w:hint="eastAsia" w:eastAsia="宋体" w:cs="Times New Roman"/>
                <w:color w:val="auto"/>
                <w:lang w:val="en-US" w:eastAsia="zh-CN"/>
              </w:rPr>
              <w:t>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default" w:ascii="Times New Roman" w:hAnsi="Times New Roman" w:eastAsia="宋体" w:cs="Times New Roman"/>
                <w:color w:val="auto"/>
                <w:lang w:val="en-US" w:eastAsia="zh-CN"/>
              </w:rPr>
              <w:t>考虑污水至少停留7d计，则废水总量为</w:t>
            </w:r>
            <w:r>
              <w:rPr>
                <w:rFonts w:hint="eastAsia" w:eastAsia="宋体" w:cs="Times New Roman"/>
                <w:color w:val="auto"/>
                <w:lang w:val="en-US" w:eastAsia="zh-CN"/>
              </w:rPr>
              <w:t>2.8</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lang w:val="en-US" w:eastAsia="zh-CN"/>
              </w:rPr>
              <w:t>，本项目拟新建1个容积</w:t>
            </w:r>
            <w:r>
              <w:rPr>
                <w:rFonts w:hint="eastAsia" w:eastAsia="宋体" w:cs="Times New Roman"/>
                <w:color w:val="auto"/>
                <w:lang w:val="en-US" w:eastAsia="zh-CN"/>
              </w:rPr>
              <w:t>为3</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的中水池，</w:t>
            </w:r>
            <w:r>
              <w:rPr>
                <w:rFonts w:hint="default" w:ascii="Times New Roman" w:hAnsi="Times New Roman" w:eastAsia="宋体" w:cs="Times New Roman"/>
                <w:color w:val="auto"/>
              </w:rPr>
              <w:t>可以收集连续7天以上</w:t>
            </w:r>
            <w:r>
              <w:rPr>
                <w:rFonts w:hint="default" w:ascii="Times New Roman" w:hAnsi="Times New Roman" w:eastAsia="宋体" w:cs="Times New Roman"/>
                <w:color w:val="auto"/>
                <w:lang w:val="en-US" w:eastAsia="zh-CN"/>
              </w:rPr>
              <w:t>收集储存</w:t>
            </w:r>
            <w:r>
              <w:rPr>
                <w:rFonts w:hint="default" w:ascii="Times New Roman" w:hAnsi="Times New Roman" w:eastAsia="宋体" w:cs="Times New Roman"/>
                <w:color w:val="auto"/>
              </w:rPr>
              <w:t>处理过的</w:t>
            </w:r>
            <w:r>
              <w:rPr>
                <w:rFonts w:hint="eastAsia" w:eastAsia="宋体" w:cs="Times New Roman"/>
                <w:color w:val="auto"/>
                <w:lang w:val="en-US" w:eastAsia="zh-CN"/>
              </w:rPr>
              <w:t>生活污水</w:t>
            </w:r>
            <w:r>
              <w:rPr>
                <w:rFonts w:hint="default" w:ascii="Times New Roman" w:hAnsi="Times New Roman" w:eastAsia="宋体" w:cs="Times New Roman"/>
                <w:color w:val="auto"/>
              </w:rPr>
              <w:t>，确保经处理达标后的中水可全部回用，不外排</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设置</w:t>
            </w:r>
            <w:r>
              <w:rPr>
                <w:rFonts w:hint="default" w:ascii="Times New Roman" w:hAnsi="Times New Roman" w:eastAsia="宋体" w:cs="Times New Roman"/>
                <w:color w:val="auto"/>
                <w:lang w:val="en-US" w:eastAsia="zh-CN"/>
              </w:rPr>
              <w:t>的中水池（</w:t>
            </w:r>
            <w:r>
              <w:rPr>
                <w:rFonts w:hint="eastAsia" w:eastAsia="宋体" w:cs="Times New Roman"/>
                <w:color w:val="auto"/>
                <w:lang w:val="en-US" w:eastAsia="zh-CN"/>
              </w:rPr>
              <w:t>3</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合理可行</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满足</w:t>
            </w:r>
            <w:r>
              <w:rPr>
                <w:rFonts w:hint="eastAsia"/>
                <w:color w:val="auto"/>
              </w:rPr>
              <w:t>雨天储存在中水池内，</w:t>
            </w:r>
            <w:r>
              <w:rPr>
                <w:rFonts w:hint="eastAsia"/>
                <w:color w:val="auto"/>
                <w:lang w:val="en-US" w:eastAsia="zh-CN"/>
              </w:rPr>
              <w:t>晴天回用于厂区绿化</w:t>
            </w:r>
            <w:r>
              <w:rPr>
                <w:rFonts w:hint="eastAsia" w:cs="Times New Roman" w:eastAsiaTheme="minorEastAsia"/>
                <w:color w:val="auto"/>
                <w:sz w:val="24"/>
                <w:szCs w:val="24"/>
                <w:lang w:val="en-US" w:eastAsia="zh-CN"/>
              </w:rPr>
              <w:t>或道路清扫，不外排</w:t>
            </w:r>
            <w:r>
              <w:rPr>
                <w:rFonts w:hint="eastAsia"/>
                <w:color w:val="auto"/>
                <w:lang w:eastAsia="zh-CN"/>
              </w:rPr>
              <w:t>。</w:t>
            </w:r>
          </w:p>
          <w:p w14:paraId="2F5B2743">
            <w:pPr>
              <w:keepNext w:val="0"/>
              <w:keepLines/>
              <w:pageBreakBefore w:val="0"/>
              <w:widowControl/>
              <w:suppressLineNumbers w:val="0"/>
              <w:kinsoku/>
              <w:wordWrap/>
              <w:overflowPunct/>
              <w:topLinePunct w:val="0"/>
              <w:autoSpaceDE/>
              <w:autoSpaceDN/>
              <w:bidi w:val="0"/>
              <w:adjustRightInd/>
              <w:jc w:val="left"/>
              <w:textAlignment w:val="auto"/>
              <w:outlineLvl w:val="9"/>
              <w:rPr>
                <w:rFonts w:hint="default" w:ascii="Times New Roman" w:hAnsi="Times New Roman" w:cs="Times New Roman" w:eastAsiaTheme="minorEastAsia"/>
                <w:b/>
                <w:bCs/>
                <w:color w:val="auto"/>
                <w:kern w:val="0"/>
                <w:sz w:val="24"/>
                <w:szCs w:val="24"/>
                <w:lang w:val="en-US" w:eastAsia="zh-CN" w:bidi="ar"/>
              </w:rPr>
            </w:pPr>
            <w:r>
              <w:rPr>
                <w:rFonts w:hint="default" w:ascii="Times New Roman" w:hAnsi="Times New Roman" w:cs="Times New Roman" w:eastAsiaTheme="minorEastAsia"/>
                <w:b/>
                <w:bCs/>
                <w:color w:val="auto"/>
                <w:kern w:val="0"/>
                <w:sz w:val="24"/>
                <w:szCs w:val="24"/>
                <w:lang w:val="en-US" w:eastAsia="zh-CN" w:bidi="ar"/>
              </w:rPr>
              <w:t>（</w:t>
            </w:r>
            <w:r>
              <w:rPr>
                <w:rFonts w:hint="eastAsia" w:cs="Times New Roman" w:eastAsiaTheme="minorEastAsia"/>
                <w:b/>
                <w:bCs/>
                <w:color w:val="auto"/>
                <w:kern w:val="0"/>
                <w:sz w:val="24"/>
                <w:szCs w:val="24"/>
                <w:lang w:val="en-US" w:eastAsia="zh-CN" w:bidi="ar"/>
              </w:rPr>
              <w:t>5</w:t>
            </w:r>
            <w:r>
              <w:rPr>
                <w:rFonts w:hint="default" w:ascii="Times New Roman" w:hAnsi="Times New Roman" w:cs="Times New Roman" w:eastAsiaTheme="minorEastAsia"/>
                <w:b/>
                <w:bCs/>
                <w:color w:val="auto"/>
                <w:kern w:val="0"/>
                <w:sz w:val="24"/>
                <w:szCs w:val="24"/>
                <w:lang w:val="en-US" w:eastAsia="zh-CN" w:bidi="ar"/>
              </w:rPr>
              <w:t>）一体化污水处理设施设置合理性分析</w:t>
            </w:r>
          </w:p>
          <w:p w14:paraId="6F9340ED">
            <w:pPr>
              <w:keepNext w:val="0"/>
              <w:keepLines/>
              <w:pageBreakBefore w:val="0"/>
              <w:widowControl/>
              <w:suppressLineNumbers w:val="0"/>
              <w:kinsoku/>
              <w:wordWrap/>
              <w:overflowPunct/>
              <w:topLinePunct w:val="0"/>
              <w:autoSpaceDE/>
              <w:autoSpaceDN/>
              <w:bidi w:val="0"/>
              <w:adjustRightInd/>
              <w:jc w:val="left"/>
              <w:textAlignment w:val="auto"/>
              <w:outlineLvl w:val="9"/>
              <w:rPr>
                <w:rFonts w:hint="default" w:ascii="Times New Roman" w:hAnsi="Times New Roman" w:cs="Times New Roman" w:eastAsiaTheme="minorEastAsia"/>
                <w:color w:val="auto"/>
                <w:sz w:val="24"/>
                <w:lang w:val="en-US" w:eastAsia="zh-CN"/>
              </w:rPr>
            </w:pPr>
            <w:r>
              <w:rPr>
                <w:rFonts w:hint="default" w:ascii="Times New Roman" w:hAnsi="Times New Roman" w:cs="Times New Roman" w:eastAsiaTheme="minorEastAsia"/>
                <w:color w:val="auto"/>
                <w:lang w:val="en-US" w:eastAsia="zh-CN"/>
              </w:rPr>
              <w:t>本项目生活污水产生量为0.</w:t>
            </w:r>
            <w:r>
              <w:rPr>
                <w:rFonts w:hint="eastAsia" w:cs="Times New Roman" w:eastAsiaTheme="minorEastAsia"/>
                <w:color w:val="auto"/>
                <w:lang w:val="en-US" w:eastAsia="zh-CN"/>
              </w:rPr>
              <w:t>4</w:t>
            </w:r>
            <w:r>
              <w:rPr>
                <w:rFonts w:hint="default" w:ascii="Times New Roman" w:hAnsi="Times New Roman" w:cs="Times New Roman" w:eastAsiaTheme="minorEastAsia"/>
                <w:color w:val="auto"/>
              </w:rPr>
              <w:t>m</w:t>
            </w:r>
            <w:r>
              <w:rPr>
                <w:rFonts w:hint="default" w:ascii="Times New Roman" w:hAnsi="Times New Roman" w:cs="Times New Roman" w:eastAsiaTheme="minorEastAsia"/>
                <w:color w:val="auto"/>
                <w:vertAlign w:val="superscript"/>
              </w:rPr>
              <w:t>3</w:t>
            </w:r>
            <w:r>
              <w:rPr>
                <w:rFonts w:hint="default" w:ascii="Times New Roman" w:hAnsi="Times New Roman" w:cs="Times New Roman" w:eastAsiaTheme="minorEastAsia"/>
                <w:color w:val="auto"/>
              </w:rPr>
              <w:t>/d</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sz w:val="24"/>
                <w:lang w:val="en-US" w:eastAsia="zh-CN"/>
              </w:rPr>
              <w:t>项目拟设置1座处理能力为2m</w:t>
            </w:r>
            <w:r>
              <w:rPr>
                <w:rFonts w:hint="default" w:ascii="Times New Roman" w:hAnsi="Times New Roman" w:cs="Times New Roman" w:eastAsiaTheme="minorEastAsia"/>
                <w:color w:val="auto"/>
                <w:sz w:val="24"/>
                <w:vertAlign w:val="superscript"/>
                <w:lang w:val="en-US" w:eastAsia="zh-CN"/>
              </w:rPr>
              <w:t>3</w:t>
            </w:r>
            <w:r>
              <w:rPr>
                <w:rFonts w:hint="default" w:ascii="Times New Roman" w:hAnsi="Times New Roman" w:cs="Times New Roman" w:eastAsiaTheme="minorEastAsia"/>
                <w:color w:val="auto"/>
                <w:sz w:val="24"/>
                <w:lang w:val="en-US" w:eastAsia="zh-CN"/>
              </w:rPr>
              <w:t>/d的一体化污水处理设施，可以满足处理项目产生的生活污水，保证生活污水不外排。</w:t>
            </w:r>
          </w:p>
          <w:p w14:paraId="54A8D889">
            <w:pPr>
              <w:pStyle w:val="113"/>
              <w:keepNext w:val="0"/>
              <w:keepLines w:val="0"/>
              <w:pageBreakBefore w:val="0"/>
              <w:widowControl w:val="0"/>
              <w:kinsoku/>
              <w:wordWrap/>
              <w:overflowPunct/>
              <w:topLinePunct w:val="0"/>
              <w:autoSpaceDE/>
              <w:autoSpaceDN/>
              <w:bidi w:val="0"/>
              <w:adjustRightInd w:val="0"/>
              <w:snapToGrid w:val="0"/>
              <w:spacing w:before="0" w:beforeAutospacing="0" w:line="360" w:lineRule="auto"/>
              <w:ind w:left="0" w:leftChars="0" w:firstLine="480" w:firstLineChars="200"/>
              <w:jc w:val="both"/>
              <w:textAlignment w:val="auto"/>
              <w:outlineLvl w:val="9"/>
              <w:rPr>
                <w:rFonts w:hint="default" w:ascii="Times New Roman" w:hAnsi="Times New Roman" w:cs="Times New Roman" w:eastAsiaTheme="minorEastAsia"/>
                <w:bCs w:val="0"/>
                <w:color w:val="auto"/>
                <w:kern w:val="2"/>
                <w:sz w:val="24"/>
                <w:szCs w:val="24"/>
                <w:lang w:val="en-US" w:eastAsia="zh-CN" w:bidi="ar-SA"/>
              </w:rPr>
            </w:pPr>
            <w:r>
              <w:rPr>
                <w:rFonts w:hint="default" w:ascii="Times New Roman" w:hAnsi="Times New Roman" w:cs="Times New Roman" w:eastAsiaTheme="minorEastAsia"/>
                <w:bCs w:val="0"/>
                <w:color w:val="auto"/>
                <w:kern w:val="2"/>
                <w:sz w:val="24"/>
                <w:szCs w:val="24"/>
                <w:lang w:val="en-US" w:eastAsia="zh-CN" w:bidi="ar-SA"/>
              </w:rPr>
              <w:t>1）一体化污水处理设施处理工艺流程</w:t>
            </w:r>
          </w:p>
          <w:p w14:paraId="76605A9E">
            <w:pPr>
              <w:pStyle w:val="113"/>
              <w:keepNext w:val="0"/>
              <w:keepLines w:val="0"/>
              <w:pageBreakBefore w:val="0"/>
              <w:widowControl w:val="0"/>
              <w:kinsoku/>
              <w:wordWrap/>
              <w:overflowPunct/>
              <w:topLinePunct w:val="0"/>
              <w:autoSpaceDE/>
              <w:autoSpaceDN/>
              <w:bidi w:val="0"/>
              <w:adjustRightInd w:val="0"/>
              <w:snapToGrid w:val="0"/>
              <w:spacing w:before="0" w:beforeAutospacing="0" w:line="360" w:lineRule="auto"/>
              <w:ind w:left="0" w:leftChars="0" w:firstLine="480" w:firstLineChars="200"/>
              <w:jc w:val="both"/>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本环评建议项目采取一体化污水处理设施进行处理，采用A/O法生物处理工艺。A级是缺氧生物处理，兼氧微生物利用有机碳源作为电子供体，能将污水中的NO</w:t>
            </w:r>
            <w:r>
              <w:rPr>
                <w:rFonts w:hint="default" w:ascii="Times New Roman" w:hAnsi="Times New Roman" w:cs="Times New Roman" w:eastAsiaTheme="minorEastAsia"/>
                <w:color w:val="auto"/>
                <w:sz w:val="24"/>
                <w:szCs w:val="24"/>
                <w:vertAlign w:val="subscript"/>
              </w:rPr>
              <w:t>2</w:t>
            </w:r>
            <w:r>
              <w:rPr>
                <w:rFonts w:hint="default" w:ascii="Times New Roman" w:hAnsi="Times New Roman" w:cs="Times New Roman" w:eastAsiaTheme="minorEastAsia"/>
                <w:color w:val="auto"/>
                <w:sz w:val="24"/>
                <w:szCs w:val="24"/>
              </w:rPr>
              <w:t>-N、NO</w:t>
            </w:r>
            <w:r>
              <w:rPr>
                <w:rFonts w:hint="default" w:ascii="Times New Roman" w:hAnsi="Times New Roman" w:cs="Times New Roman" w:eastAsiaTheme="minorEastAsia"/>
                <w:color w:val="auto"/>
                <w:sz w:val="24"/>
                <w:szCs w:val="24"/>
                <w:vertAlign w:val="subscript"/>
              </w:rPr>
              <w:t>3</w:t>
            </w:r>
            <w:r>
              <w:rPr>
                <w:rFonts w:hint="default" w:ascii="Times New Roman" w:hAnsi="Times New Roman" w:cs="Times New Roman" w:eastAsiaTheme="minorEastAsia"/>
                <w:color w:val="auto"/>
                <w:sz w:val="24"/>
                <w:szCs w:val="24"/>
              </w:rPr>
              <w:t>-N转化成N</w:t>
            </w:r>
            <w:r>
              <w:rPr>
                <w:rFonts w:hint="default" w:ascii="Times New Roman" w:hAnsi="Times New Roman" w:cs="Times New Roman" w:eastAsiaTheme="minorEastAsia"/>
                <w:color w:val="auto"/>
                <w:sz w:val="24"/>
                <w:szCs w:val="24"/>
                <w:vertAlign w:val="subscript"/>
              </w:rPr>
              <w:t>2</w:t>
            </w:r>
            <w:r>
              <w:rPr>
                <w:rFonts w:hint="default" w:ascii="Times New Roman" w:hAnsi="Times New Roman" w:cs="Times New Roman" w:eastAsiaTheme="minorEastAsia"/>
                <w:color w:val="auto"/>
                <w:sz w:val="24"/>
                <w:szCs w:val="24"/>
              </w:rPr>
              <w:t>达到脱氮的目的，从而消除了氮的富营养化污染，同时又去除了部分有机物。通常厌氧消化对生化性较好的废水中的COD去除率可达60%左右。O级是好氧生物处理，是为了使有机物得到进一步氧化分解，同时在碳化作用趋于完成的情况下，使硝化作用能顺利进行，在O级池中主要存在好氧微生物和自养型细菌（硝化菌）。其中好氧微生物将有机物分解成CO</w:t>
            </w:r>
            <w:r>
              <w:rPr>
                <w:rFonts w:hint="default" w:ascii="Times New Roman" w:hAnsi="Times New Roman" w:cs="Times New Roman" w:eastAsiaTheme="minorEastAsia"/>
                <w:color w:val="auto"/>
                <w:sz w:val="24"/>
                <w:szCs w:val="24"/>
                <w:vertAlign w:val="subscript"/>
              </w:rPr>
              <w:t>2</w:t>
            </w:r>
            <w:r>
              <w:rPr>
                <w:rFonts w:hint="default" w:ascii="Times New Roman" w:hAnsi="Times New Roman" w:cs="Times New Roman" w:eastAsiaTheme="minorEastAsia"/>
                <w:color w:val="auto"/>
                <w:sz w:val="24"/>
                <w:szCs w:val="24"/>
              </w:rPr>
              <w:t>和H</w:t>
            </w:r>
            <w:r>
              <w:rPr>
                <w:rFonts w:hint="default" w:ascii="Times New Roman" w:hAnsi="Times New Roman" w:cs="Times New Roman" w:eastAsiaTheme="minorEastAsia"/>
                <w:color w:val="auto"/>
                <w:sz w:val="24"/>
                <w:szCs w:val="24"/>
                <w:vertAlign w:val="subscript"/>
              </w:rPr>
              <w:t>2</w:t>
            </w:r>
            <w:r>
              <w:rPr>
                <w:rFonts w:hint="default" w:ascii="Times New Roman" w:hAnsi="Times New Roman" w:cs="Times New Roman" w:eastAsiaTheme="minorEastAsia"/>
                <w:color w:val="auto"/>
                <w:sz w:val="24"/>
                <w:szCs w:val="24"/>
              </w:rPr>
              <w:t>O；自养型细菌（硝化菌）能将污水中NH</w:t>
            </w:r>
            <w:r>
              <w:rPr>
                <w:rFonts w:hint="default" w:ascii="Times New Roman" w:hAnsi="Times New Roman" w:cs="Times New Roman" w:eastAsiaTheme="minorEastAsia"/>
                <w:color w:val="auto"/>
                <w:sz w:val="24"/>
                <w:szCs w:val="24"/>
                <w:vertAlign w:val="subscript"/>
              </w:rPr>
              <w:t>3</w:t>
            </w:r>
            <w:r>
              <w:rPr>
                <w:rFonts w:hint="default" w:ascii="Times New Roman" w:hAnsi="Times New Roman" w:cs="Times New Roman" w:eastAsiaTheme="minorEastAsia"/>
                <w:color w:val="auto"/>
                <w:sz w:val="24"/>
                <w:szCs w:val="24"/>
              </w:rPr>
              <w:t>-N转化为NO</w:t>
            </w:r>
            <w:r>
              <w:rPr>
                <w:rFonts w:hint="default" w:ascii="Times New Roman" w:hAnsi="Times New Roman" w:cs="Times New Roman" w:eastAsiaTheme="minorEastAsia"/>
                <w:color w:val="auto"/>
                <w:sz w:val="24"/>
                <w:szCs w:val="24"/>
                <w:vertAlign w:val="subscript"/>
              </w:rPr>
              <w:t>2</w:t>
            </w:r>
            <w:r>
              <w:rPr>
                <w:rFonts w:hint="default" w:ascii="Times New Roman" w:hAnsi="Times New Roman" w:cs="Times New Roman" w:eastAsiaTheme="minorEastAsia"/>
                <w:color w:val="auto"/>
                <w:sz w:val="24"/>
                <w:szCs w:val="24"/>
              </w:rPr>
              <w:t>-N、NO</w:t>
            </w:r>
            <w:r>
              <w:rPr>
                <w:rFonts w:hint="default" w:ascii="Times New Roman" w:hAnsi="Times New Roman" w:cs="Times New Roman" w:eastAsiaTheme="minorEastAsia"/>
                <w:color w:val="auto"/>
                <w:sz w:val="24"/>
                <w:szCs w:val="24"/>
                <w:vertAlign w:val="subscript"/>
              </w:rPr>
              <w:t>3</w:t>
            </w:r>
            <w:r>
              <w:rPr>
                <w:rFonts w:hint="default" w:ascii="Times New Roman" w:hAnsi="Times New Roman" w:cs="Times New Roman" w:eastAsiaTheme="minorEastAsia"/>
                <w:color w:val="auto"/>
                <w:sz w:val="24"/>
                <w:szCs w:val="24"/>
              </w:rPr>
              <w:t>-N。O级池的出水部分回流到A级，为A级池提供电子接受体，通过硝化作用最终消除氮污染。项目实施时具体采用的污水处理工艺可由建设单位委托有资质的单位设计施工，保证出水水质达到《城市污水再生利用  城市杂用水水质》（GB/T 18920-2020）标准中</w:t>
            </w:r>
            <w:r>
              <w:rPr>
                <w:rFonts w:hint="default" w:ascii="Times New Roman" w:hAnsi="Times New Roman" w:cs="Times New Roman" w:eastAsiaTheme="minorEastAsia"/>
                <w:color w:val="auto"/>
                <w:sz w:val="24"/>
                <w:szCs w:val="24"/>
                <w:lang w:val="en-US" w:eastAsia="zh-CN"/>
              </w:rPr>
              <w:t>绿化</w:t>
            </w:r>
            <w:r>
              <w:rPr>
                <w:rFonts w:hint="default" w:ascii="Times New Roman" w:hAnsi="Times New Roman" w:cs="Times New Roman" w:eastAsiaTheme="minorEastAsia"/>
                <w:color w:val="auto"/>
                <w:sz w:val="24"/>
                <w:szCs w:val="24"/>
              </w:rPr>
              <w:t>标准。本项目一体化生活污水处理设施工艺流程见</w:t>
            </w:r>
            <w:r>
              <w:rPr>
                <w:rFonts w:hint="default" w:ascii="Times New Roman" w:hAnsi="Times New Roman" w:cs="Times New Roman" w:eastAsiaTheme="minorEastAsia"/>
                <w:color w:val="auto"/>
                <w:sz w:val="24"/>
                <w:szCs w:val="24"/>
                <w:lang w:val="en-US" w:eastAsia="zh-CN"/>
              </w:rPr>
              <w:t>下图4-1。</w:t>
            </w:r>
          </w:p>
          <w:p w14:paraId="725C8829">
            <w:pPr>
              <w:pStyle w:val="113"/>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firstLine="0" w:firstLineChars="0"/>
              <w:jc w:val="center"/>
              <w:textAlignment w:val="auto"/>
              <w:outlineLvl w:val="9"/>
              <w:rPr>
                <w:color w:val="auto"/>
              </w:rPr>
            </w:pPr>
            <w:r>
              <w:rPr>
                <w:color w:val="auto"/>
              </w:rPr>
              <w:object>
                <v:shape id="_x0000_i1030" o:spt="75" type="#_x0000_t75" style="height:98.55pt;width:383.75pt;" o:ole="t" filled="f" o:preferrelative="t" stroked="f" coordsize="21600,21600">
                  <v:path/>
                  <v:fill on="f" focussize="0,0"/>
                  <v:stroke on="f"/>
                  <v:imagedata r:id="rId32" o:title=""/>
                  <o:lock v:ext="edit" aspectratio="t"/>
                  <w10:wrap type="none"/>
                  <w10:anchorlock/>
                </v:shape>
                <o:OLEObject Type="Embed" ProgID="Visio.Drawing.11" ShapeID="_x0000_i1030" DrawAspect="Content" ObjectID="_1468075730" r:id="rId31">
                  <o:LockedField>false</o:LockedField>
                </o:OLEObject>
              </w:object>
            </w:r>
          </w:p>
          <w:p w14:paraId="38A8BD30">
            <w:pPr>
              <w:pStyle w:val="113"/>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firstLine="0" w:firstLineChars="0"/>
              <w:jc w:val="center"/>
              <w:textAlignment w:val="auto"/>
              <w:outlineLvl w:val="9"/>
              <w:rPr>
                <w:b/>
                <w:color w:val="auto"/>
              </w:rPr>
            </w:pPr>
            <w:r>
              <w:rPr>
                <w:b/>
                <w:bCs/>
                <w:color w:val="auto"/>
              </w:rPr>
              <w:t>图</w:t>
            </w:r>
            <w:r>
              <w:rPr>
                <w:rFonts w:hint="eastAsia"/>
                <w:b/>
                <w:bCs/>
                <w:color w:val="auto"/>
                <w:lang w:val="en-US" w:eastAsia="zh-CN"/>
              </w:rPr>
              <w:t>4-1 一体化污水</w:t>
            </w:r>
            <w:r>
              <w:rPr>
                <w:b/>
                <w:bCs/>
                <w:color w:val="auto"/>
              </w:rPr>
              <w:t>处理设施</w:t>
            </w:r>
            <w:r>
              <w:rPr>
                <w:rFonts w:hint="eastAsia"/>
                <w:b/>
                <w:bCs/>
                <w:color w:val="auto"/>
                <w:lang w:val="en-US" w:eastAsia="zh-CN"/>
              </w:rPr>
              <w:t>处理</w:t>
            </w:r>
            <w:r>
              <w:rPr>
                <w:b/>
                <w:bCs/>
                <w:color w:val="auto"/>
              </w:rPr>
              <w:t>工艺流程图</w:t>
            </w:r>
          </w:p>
          <w:p w14:paraId="7DB5DE62">
            <w:pPr>
              <w:pStyle w:val="113"/>
              <w:keepNext w:val="0"/>
              <w:keepLines w:val="0"/>
              <w:pageBreakBefore w:val="0"/>
              <w:widowControl w:val="0"/>
              <w:kinsoku/>
              <w:wordWrap/>
              <w:overflowPunct/>
              <w:topLinePunct w:val="0"/>
              <w:autoSpaceDE/>
              <w:autoSpaceDN/>
              <w:bidi w:val="0"/>
              <w:adjustRightInd/>
              <w:snapToGrid/>
              <w:spacing w:before="0" w:beforeAutospacing="0" w:line="360" w:lineRule="auto"/>
              <w:ind w:left="0" w:leftChars="0" w:firstLine="480" w:firstLineChars="200"/>
              <w:jc w:val="both"/>
              <w:textAlignment w:val="auto"/>
              <w:outlineLvl w:val="9"/>
              <w:rPr>
                <w:rFonts w:hint="default" w:ascii="Times New Roman" w:hAnsi="Times New Roman" w:cs="Times New Roman" w:eastAsiaTheme="minorEastAsia"/>
                <w:bCs w:val="0"/>
                <w:color w:val="auto"/>
                <w:kern w:val="2"/>
                <w:sz w:val="24"/>
                <w:szCs w:val="24"/>
                <w:lang w:val="en-US" w:eastAsia="zh-CN" w:bidi="ar-SA"/>
              </w:rPr>
            </w:pPr>
            <w:r>
              <w:rPr>
                <w:rFonts w:hint="default" w:ascii="Times New Roman" w:hAnsi="Times New Roman" w:cs="Times New Roman" w:eastAsiaTheme="minorEastAsia"/>
                <w:bCs w:val="0"/>
                <w:color w:val="auto"/>
                <w:kern w:val="2"/>
                <w:sz w:val="24"/>
                <w:szCs w:val="24"/>
                <w:lang w:val="en-US" w:eastAsia="zh-CN" w:bidi="ar-SA"/>
              </w:rPr>
              <w:t>2）生活污水处理达标情况</w:t>
            </w:r>
          </w:p>
          <w:p w14:paraId="38D6900F">
            <w:pPr>
              <w:keepNext w:val="0"/>
              <w:keepLines w:val="0"/>
              <w:pageBreakBefore w:val="0"/>
              <w:widowControl w:val="0"/>
              <w:kinsoku/>
              <w:wordWrap/>
              <w:overflowPunct/>
              <w:topLinePunct w:val="0"/>
              <w:autoSpaceDE/>
              <w:autoSpaceDN/>
              <w:bidi w:val="0"/>
              <w:adjustRightInd/>
              <w:snapToGrid/>
              <w:ind w:firstLine="480" w:firstLineChars="200"/>
              <w:jc w:val="left"/>
              <w:textAlignment w:val="auto"/>
              <w:outlineLvl w:val="9"/>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rPr>
              <w:t>类比同类项目，本项目采取的一体化污水处理设施对废水中污染物的综合去除效率约为：COD去除效率为90%、BOD</w:t>
            </w:r>
            <w:r>
              <w:rPr>
                <w:rFonts w:hint="default" w:ascii="Times New Roman" w:hAnsi="Times New Roman" w:cs="Times New Roman" w:eastAsiaTheme="minorEastAsia"/>
                <w:color w:val="auto"/>
                <w:vertAlign w:val="subscript"/>
              </w:rPr>
              <w:t>5</w:t>
            </w:r>
            <w:r>
              <w:rPr>
                <w:rFonts w:hint="default" w:ascii="Times New Roman" w:hAnsi="Times New Roman" w:cs="Times New Roman" w:eastAsiaTheme="minorEastAsia"/>
                <w:color w:val="auto"/>
              </w:rPr>
              <w:t>去除效率为9</w:t>
            </w:r>
            <w:r>
              <w:rPr>
                <w:rFonts w:hint="default" w:ascii="Times New Roman" w:hAnsi="Times New Roman" w:cs="Times New Roman" w:eastAsiaTheme="minorEastAsia"/>
                <w:color w:val="auto"/>
                <w:lang w:val="en-US" w:eastAsia="zh-CN"/>
              </w:rPr>
              <w:t>3</w:t>
            </w:r>
            <w:r>
              <w:rPr>
                <w:rFonts w:hint="default" w:ascii="Times New Roman" w:hAnsi="Times New Roman" w:cs="Times New Roman" w:eastAsiaTheme="minorEastAsia"/>
                <w:color w:val="auto"/>
              </w:rPr>
              <w:t>%、NH</w:t>
            </w:r>
            <w:r>
              <w:rPr>
                <w:rFonts w:hint="default" w:ascii="Times New Roman" w:hAnsi="Times New Roman" w:cs="Times New Roman" w:eastAsiaTheme="minorEastAsia"/>
                <w:color w:val="auto"/>
                <w:vertAlign w:val="subscript"/>
              </w:rPr>
              <w:t>3</w:t>
            </w:r>
            <w:r>
              <w:rPr>
                <w:rFonts w:hint="default" w:ascii="Times New Roman" w:hAnsi="Times New Roman" w:cs="Times New Roman" w:eastAsiaTheme="minorEastAsia"/>
                <w:color w:val="auto"/>
              </w:rPr>
              <w:t>-N去除效率为</w:t>
            </w:r>
            <w:r>
              <w:rPr>
                <w:rFonts w:hint="default" w:ascii="Times New Roman" w:hAnsi="Times New Roman" w:cs="Times New Roman" w:eastAsiaTheme="minorEastAsia"/>
                <w:color w:val="auto"/>
                <w:lang w:val="en-US" w:eastAsia="zh-CN"/>
              </w:rPr>
              <w:t>8</w:t>
            </w:r>
            <w:r>
              <w:rPr>
                <w:rFonts w:hint="default" w:ascii="Times New Roman" w:hAnsi="Times New Roman" w:cs="Times New Roman" w:eastAsiaTheme="minorEastAsia"/>
                <w:color w:val="auto"/>
              </w:rPr>
              <w:t>0%、SS去除效率为90%</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处理效率和出水水质详见下表</w:t>
            </w:r>
            <w:r>
              <w:rPr>
                <w:rFonts w:hint="default" w:ascii="Times New Roman" w:hAnsi="Times New Roman" w:cs="Times New Roman" w:eastAsiaTheme="minorEastAsia"/>
                <w:color w:val="auto"/>
                <w:lang w:val="en-US" w:eastAsia="zh-CN"/>
              </w:rPr>
              <w:t>4-</w:t>
            </w:r>
            <w:r>
              <w:rPr>
                <w:rFonts w:hint="eastAsia" w:cs="Times New Roman" w:eastAsiaTheme="minorEastAsia"/>
                <w:color w:val="auto"/>
                <w:lang w:val="en-US" w:eastAsia="zh-CN"/>
              </w:rPr>
              <w:t>13</w:t>
            </w:r>
            <w:r>
              <w:rPr>
                <w:rFonts w:hint="default" w:ascii="Times New Roman" w:hAnsi="Times New Roman" w:cs="Times New Roman" w:eastAsiaTheme="minorEastAsia"/>
                <w:color w:val="auto"/>
                <w:lang w:val="en-US" w:eastAsia="zh-CN"/>
              </w:rPr>
              <w:t>。</w:t>
            </w:r>
          </w:p>
          <w:p w14:paraId="4C646432">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4"/>
                <w:szCs w:val="24"/>
                <w:lang w:val="en-US" w:eastAsia="zh-CN"/>
              </w:rPr>
            </w:pPr>
            <w:r>
              <w:rPr>
                <w:rFonts w:hint="default" w:ascii="Times New Roman" w:hAnsi="Times New Roman" w:cs="Times New Roman"/>
                <w:b/>
                <w:color w:val="auto"/>
                <w:sz w:val="24"/>
                <w:szCs w:val="24"/>
                <w:lang w:val="en-US" w:eastAsia="zh-CN"/>
              </w:rPr>
              <w:t>表4-</w:t>
            </w:r>
            <w:r>
              <w:rPr>
                <w:rFonts w:hint="eastAsia" w:ascii="Times New Roman" w:hAnsi="Times New Roman" w:cs="Times New Roman"/>
                <w:b/>
                <w:color w:val="auto"/>
                <w:sz w:val="24"/>
                <w:szCs w:val="24"/>
                <w:lang w:val="en-US" w:eastAsia="zh-CN"/>
              </w:rPr>
              <w:t>1</w:t>
            </w:r>
            <w:r>
              <w:rPr>
                <w:rFonts w:hint="eastAsia" w:cs="Times New Roman"/>
                <w:b/>
                <w:color w:val="auto"/>
                <w:sz w:val="24"/>
                <w:szCs w:val="24"/>
                <w:lang w:val="en-US" w:eastAsia="zh-CN"/>
              </w:rPr>
              <w:t>3</w:t>
            </w:r>
            <w:r>
              <w:rPr>
                <w:rFonts w:hint="default" w:ascii="Times New Roman" w:hAnsi="Times New Roman" w:cs="Times New Roman"/>
                <w:b/>
                <w:color w:val="auto"/>
                <w:sz w:val="24"/>
                <w:szCs w:val="24"/>
                <w:lang w:val="en-US" w:eastAsia="zh-CN"/>
              </w:rPr>
              <w:t xml:space="preserve"> 一体化污水处理设施出水水质情况一览表</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50"/>
              <w:gridCol w:w="1029"/>
              <w:gridCol w:w="1705"/>
              <w:gridCol w:w="887"/>
              <w:gridCol w:w="721"/>
              <w:gridCol w:w="616"/>
              <w:gridCol w:w="961"/>
              <w:gridCol w:w="964"/>
            </w:tblGrid>
            <w:tr w14:paraId="4CC8C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02" w:hRule="atLeast"/>
                <w:tblHeader/>
                <w:jc w:val="center"/>
              </w:trPr>
              <w:tc>
                <w:tcPr>
                  <w:tcW w:w="607" w:type="pct"/>
                  <w:vMerge w:val="restart"/>
                  <w:tcBorders>
                    <w:top w:val="single" w:color="auto" w:sz="4" w:space="0"/>
                    <w:left w:val="single" w:color="auto" w:sz="4" w:space="0"/>
                    <w:bottom w:val="single" w:color="auto" w:sz="4" w:space="0"/>
                    <w:right w:val="single" w:color="auto" w:sz="4" w:space="0"/>
                  </w:tcBorders>
                  <w:noWrap w:val="0"/>
                  <w:vAlign w:val="center"/>
                </w:tcPr>
                <w:p w14:paraId="2AA5BC45">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项目</w:t>
                  </w:r>
                </w:p>
              </w:tc>
              <w:tc>
                <w:tcPr>
                  <w:tcW w:w="657" w:type="pct"/>
                  <w:vMerge w:val="restart"/>
                  <w:tcBorders>
                    <w:top w:val="single" w:color="auto" w:sz="4" w:space="0"/>
                    <w:left w:val="single" w:color="auto" w:sz="4" w:space="0"/>
                    <w:bottom w:val="single" w:color="auto" w:sz="4" w:space="0"/>
                    <w:right w:val="single" w:color="auto" w:sz="4" w:space="0"/>
                  </w:tcBorders>
                  <w:noWrap w:val="0"/>
                  <w:vAlign w:val="center"/>
                </w:tcPr>
                <w:p w14:paraId="522A5ED3">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废水量m</w:t>
                  </w:r>
                  <w:r>
                    <w:rPr>
                      <w:rFonts w:hint="default" w:ascii="Times New Roman" w:hAnsi="Times New Roman" w:cs="Times New Roman" w:eastAsiaTheme="minorEastAsia"/>
                      <w:b/>
                      <w:bCs/>
                      <w:color w:val="auto"/>
                      <w:sz w:val="21"/>
                      <w:szCs w:val="21"/>
                      <w:vertAlign w:val="superscript"/>
                    </w:rPr>
                    <w:t>3</w:t>
                  </w:r>
                  <w:r>
                    <w:rPr>
                      <w:rFonts w:hint="default" w:ascii="Times New Roman" w:hAnsi="Times New Roman" w:cs="Times New Roman" w:eastAsiaTheme="minorEastAsia"/>
                      <w:b/>
                      <w:bCs/>
                      <w:color w:val="auto"/>
                      <w:sz w:val="21"/>
                      <w:szCs w:val="21"/>
                    </w:rPr>
                    <w:t>/a</w:t>
                  </w:r>
                </w:p>
              </w:tc>
              <w:tc>
                <w:tcPr>
                  <w:tcW w:w="1088" w:type="pct"/>
                  <w:vMerge w:val="restart"/>
                  <w:tcBorders>
                    <w:top w:val="single" w:color="auto" w:sz="4" w:space="0"/>
                    <w:left w:val="single" w:color="auto" w:sz="4" w:space="0"/>
                    <w:bottom w:val="single" w:color="auto" w:sz="4" w:space="0"/>
                    <w:right w:val="single" w:color="auto" w:sz="4" w:space="0"/>
                  </w:tcBorders>
                  <w:noWrap w:val="0"/>
                  <w:vAlign w:val="center"/>
                </w:tcPr>
                <w:p w14:paraId="4B7EAA48">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指标</w:t>
                  </w:r>
                </w:p>
              </w:tc>
              <w:tc>
                <w:tcPr>
                  <w:tcW w:w="2647" w:type="pct"/>
                  <w:gridSpan w:val="5"/>
                  <w:tcBorders>
                    <w:top w:val="single" w:color="auto" w:sz="4" w:space="0"/>
                    <w:left w:val="single" w:color="auto" w:sz="4" w:space="0"/>
                    <w:bottom w:val="single" w:color="auto" w:sz="4" w:space="0"/>
                    <w:right w:val="single" w:color="auto" w:sz="4" w:space="0"/>
                  </w:tcBorders>
                  <w:noWrap w:val="0"/>
                  <w:vAlign w:val="center"/>
                </w:tcPr>
                <w:p w14:paraId="5E87978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污染物名称</w:t>
                  </w:r>
                </w:p>
              </w:tc>
            </w:tr>
            <w:tr w14:paraId="7E83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9" w:hRule="atLeast"/>
                <w:tblHeader/>
                <w:jc w:val="center"/>
              </w:trPr>
              <w:tc>
                <w:tcPr>
                  <w:tcW w:w="607" w:type="pct"/>
                  <w:vMerge w:val="continue"/>
                  <w:tcBorders>
                    <w:top w:val="single" w:color="auto" w:sz="4" w:space="0"/>
                    <w:left w:val="single" w:color="auto" w:sz="4" w:space="0"/>
                    <w:bottom w:val="single" w:color="auto" w:sz="4" w:space="0"/>
                    <w:right w:val="single" w:color="auto" w:sz="4" w:space="0"/>
                  </w:tcBorders>
                  <w:noWrap w:val="0"/>
                  <w:vAlign w:val="center"/>
                </w:tcPr>
                <w:p w14:paraId="11B5C63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p>
              </w:tc>
              <w:tc>
                <w:tcPr>
                  <w:tcW w:w="657" w:type="pct"/>
                  <w:vMerge w:val="continue"/>
                  <w:tcBorders>
                    <w:top w:val="single" w:color="auto" w:sz="4" w:space="0"/>
                    <w:left w:val="single" w:color="auto" w:sz="4" w:space="0"/>
                    <w:bottom w:val="single" w:color="auto" w:sz="4" w:space="0"/>
                    <w:right w:val="single" w:color="auto" w:sz="4" w:space="0"/>
                  </w:tcBorders>
                  <w:noWrap w:val="0"/>
                  <w:vAlign w:val="center"/>
                </w:tcPr>
                <w:p w14:paraId="648219BD">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p>
              </w:tc>
              <w:tc>
                <w:tcPr>
                  <w:tcW w:w="1088" w:type="pct"/>
                  <w:vMerge w:val="continue"/>
                  <w:tcBorders>
                    <w:top w:val="single" w:color="auto" w:sz="4" w:space="0"/>
                    <w:left w:val="single" w:color="auto" w:sz="4" w:space="0"/>
                    <w:bottom w:val="single" w:color="auto" w:sz="4" w:space="0"/>
                    <w:right w:val="single" w:color="auto" w:sz="4" w:space="0"/>
                  </w:tcBorders>
                  <w:noWrap w:val="0"/>
                  <w:vAlign w:val="center"/>
                </w:tcPr>
                <w:p w14:paraId="69DF05E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p>
              </w:tc>
              <w:tc>
                <w:tcPr>
                  <w:tcW w:w="566" w:type="pct"/>
                  <w:tcBorders>
                    <w:top w:val="single" w:color="auto" w:sz="4" w:space="0"/>
                    <w:left w:val="single" w:color="auto" w:sz="4" w:space="0"/>
                    <w:bottom w:val="single" w:color="auto" w:sz="4" w:space="0"/>
                    <w:right w:val="single" w:color="auto" w:sz="4" w:space="0"/>
                  </w:tcBorders>
                  <w:noWrap w:val="0"/>
                  <w:vAlign w:val="center"/>
                </w:tcPr>
                <w:p w14:paraId="4B7A726E">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COD</w:t>
                  </w:r>
                  <w:r>
                    <w:rPr>
                      <w:rFonts w:hint="default" w:ascii="Times New Roman" w:hAnsi="Times New Roman" w:cs="Times New Roman" w:eastAsiaTheme="minorEastAsia"/>
                      <w:b/>
                      <w:bCs/>
                      <w:color w:val="auto"/>
                      <w:sz w:val="21"/>
                      <w:szCs w:val="21"/>
                      <w:vertAlign w:val="subscript"/>
                    </w:rPr>
                    <w:t>cr</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25575B79">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BOD</w:t>
                  </w:r>
                  <w:r>
                    <w:rPr>
                      <w:rFonts w:hint="default" w:ascii="Times New Roman" w:hAnsi="Times New Roman" w:cs="Times New Roman" w:eastAsiaTheme="minorEastAsia"/>
                      <w:b/>
                      <w:bCs/>
                      <w:color w:val="auto"/>
                      <w:sz w:val="21"/>
                      <w:szCs w:val="21"/>
                      <w:vertAlign w:val="subscript"/>
                    </w:rPr>
                    <w:t>5</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332190D6">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动植物油</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7DEECF3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NH</w:t>
                  </w:r>
                  <w:r>
                    <w:rPr>
                      <w:rFonts w:hint="default" w:ascii="Times New Roman" w:hAnsi="Times New Roman" w:cs="Times New Roman" w:eastAsiaTheme="minorEastAsia"/>
                      <w:b/>
                      <w:bCs/>
                      <w:color w:val="auto"/>
                      <w:sz w:val="21"/>
                      <w:szCs w:val="21"/>
                      <w:vertAlign w:val="subscript"/>
                    </w:rPr>
                    <w:t>3</w:t>
                  </w:r>
                  <w:r>
                    <w:rPr>
                      <w:rFonts w:hint="default" w:ascii="Times New Roman" w:hAnsi="Times New Roman" w:cs="Times New Roman" w:eastAsiaTheme="minorEastAsia"/>
                      <w:b/>
                      <w:bCs/>
                      <w:color w:val="auto"/>
                      <w:sz w:val="21"/>
                      <w:szCs w:val="21"/>
                    </w:rPr>
                    <w:t>-N</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15EC5EE">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SS</w:t>
                  </w:r>
                </w:p>
              </w:tc>
            </w:tr>
            <w:tr w14:paraId="72A3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7" w:type="pct"/>
                  <w:vMerge w:val="restart"/>
                  <w:tcBorders>
                    <w:top w:val="single" w:color="auto" w:sz="4" w:space="0"/>
                    <w:left w:val="single" w:color="auto" w:sz="4" w:space="0"/>
                    <w:right w:val="single" w:color="auto" w:sz="4" w:space="0"/>
                  </w:tcBorders>
                  <w:noWrap w:val="0"/>
                  <w:vAlign w:val="center"/>
                </w:tcPr>
                <w:p w14:paraId="61FD6EDD">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处理前</w:t>
                  </w:r>
                </w:p>
              </w:tc>
              <w:tc>
                <w:tcPr>
                  <w:tcW w:w="657" w:type="pct"/>
                  <w:vMerge w:val="restart"/>
                  <w:tcBorders>
                    <w:top w:val="single" w:color="auto" w:sz="4" w:space="0"/>
                    <w:left w:val="single" w:color="auto" w:sz="4" w:space="0"/>
                    <w:right w:val="single" w:color="auto" w:sz="4" w:space="0"/>
                  </w:tcBorders>
                  <w:noWrap w:val="0"/>
                  <w:vAlign w:val="center"/>
                </w:tcPr>
                <w:p w14:paraId="2CC15AA5">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120</w:t>
                  </w:r>
                </w:p>
              </w:tc>
              <w:tc>
                <w:tcPr>
                  <w:tcW w:w="1088" w:type="pct"/>
                  <w:tcBorders>
                    <w:top w:val="single" w:color="auto" w:sz="4" w:space="0"/>
                    <w:left w:val="single" w:color="auto" w:sz="4" w:space="0"/>
                    <w:bottom w:val="single" w:color="auto" w:sz="4" w:space="0"/>
                    <w:right w:val="single" w:color="auto" w:sz="4" w:space="0"/>
                  </w:tcBorders>
                  <w:noWrap w:val="0"/>
                  <w:vAlign w:val="center"/>
                </w:tcPr>
                <w:p w14:paraId="08580A84">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浓度（mg/L）</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620D916F">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325</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100A4608">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136</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072EC4F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4.66</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50E1120A">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37.7</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6E6BE7B2">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300</w:t>
                  </w:r>
                </w:p>
              </w:tc>
            </w:tr>
            <w:tr w14:paraId="717E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7" w:type="pct"/>
                  <w:vMerge w:val="continue"/>
                  <w:tcBorders>
                    <w:left w:val="single" w:color="auto" w:sz="4" w:space="0"/>
                    <w:right w:val="single" w:color="auto" w:sz="4" w:space="0"/>
                  </w:tcBorders>
                  <w:noWrap w:val="0"/>
                  <w:vAlign w:val="center"/>
                </w:tcPr>
                <w:p w14:paraId="7F565B15">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657" w:type="pct"/>
                  <w:vMerge w:val="continue"/>
                  <w:tcBorders>
                    <w:left w:val="single" w:color="auto" w:sz="4" w:space="0"/>
                    <w:right w:val="single" w:color="auto" w:sz="4" w:space="0"/>
                  </w:tcBorders>
                  <w:noWrap w:val="0"/>
                  <w:vAlign w:val="center"/>
                </w:tcPr>
                <w:p w14:paraId="34F05AE2">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1088" w:type="pct"/>
                  <w:tcBorders>
                    <w:top w:val="single" w:color="auto" w:sz="4" w:space="0"/>
                    <w:left w:val="single" w:color="auto" w:sz="4" w:space="0"/>
                    <w:bottom w:val="single" w:color="auto" w:sz="4" w:space="0"/>
                    <w:right w:val="single" w:color="auto" w:sz="4" w:space="0"/>
                  </w:tcBorders>
                  <w:noWrap w:val="0"/>
                  <w:vAlign w:val="center"/>
                </w:tcPr>
                <w:p w14:paraId="44976C05">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产生量（t/a）</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376580D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w:t>
                  </w:r>
                  <w:r>
                    <w:rPr>
                      <w:rFonts w:hint="default" w:ascii="Times New Roman" w:hAnsi="Times New Roman" w:cs="Times New Roman" w:eastAsiaTheme="minorEastAsia"/>
                      <w:color w:val="auto"/>
                      <w:sz w:val="21"/>
                      <w:szCs w:val="21"/>
                      <w:lang w:val="en-US" w:eastAsia="zh-CN"/>
                    </w:rPr>
                    <w:t>0</w:t>
                  </w:r>
                  <w:r>
                    <w:rPr>
                      <w:rFonts w:hint="eastAsia" w:cs="Times New Roman" w:eastAsiaTheme="minorEastAsia"/>
                      <w:color w:val="auto"/>
                      <w:sz w:val="21"/>
                      <w:szCs w:val="21"/>
                      <w:lang w:val="en-US" w:eastAsia="zh-CN"/>
                    </w:rPr>
                    <w:t>4</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6AA066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0.0</w:t>
                  </w:r>
                  <w:r>
                    <w:rPr>
                      <w:rFonts w:hint="eastAsia" w:cs="Times New Roman" w:eastAsiaTheme="minorEastAsia"/>
                      <w:color w:val="auto"/>
                      <w:sz w:val="21"/>
                      <w:szCs w:val="21"/>
                      <w:lang w:val="en-US" w:eastAsia="zh-CN"/>
                    </w:rPr>
                    <w:t>16</w:t>
                  </w:r>
                  <w:r>
                    <w:rPr>
                      <w:rFonts w:hint="default" w:ascii="Times New Roman" w:hAnsi="Times New Roman" w:cs="Times New Roman" w:eastAsiaTheme="minorEastAsia"/>
                      <w:color w:val="auto"/>
                      <w:sz w:val="21"/>
                      <w:szCs w:val="21"/>
                    </w:rPr>
                    <w:t xml:space="preserve"> </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3876A6E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0.000</w:t>
                  </w:r>
                  <w:r>
                    <w:rPr>
                      <w:rFonts w:hint="eastAsia" w:cs="Times New Roman" w:eastAsiaTheme="minorEastAsia"/>
                      <w:color w:val="auto"/>
                      <w:sz w:val="21"/>
                      <w:szCs w:val="21"/>
                      <w:lang w:val="en-US" w:eastAsia="zh-CN"/>
                    </w:rPr>
                    <w:t>4</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2F9E148A">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0.00</w:t>
                  </w:r>
                  <w:r>
                    <w:rPr>
                      <w:rFonts w:hint="eastAsia" w:cs="Times New Roman" w:eastAsiaTheme="minorEastAsia"/>
                      <w:color w:val="auto"/>
                      <w:sz w:val="21"/>
                      <w:szCs w:val="21"/>
                      <w:lang w:val="en-US" w:eastAsia="zh-CN"/>
                    </w:rPr>
                    <w:t>4</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E60A541">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w:t>
                  </w:r>
                  <w:r>
                    <w:rPr>
                      <w:rFonts w:hint="eastAsia" w:cs="Times New Roman" w:eastAsiaTheme="minorEastAsia"/>
                      <w:color w:val="auto"/>
                      <w:sz w:val="21"/>
                      <w:szCs w:val="21"/>
                      <w:lang w:val="en-US" w:eastAsia="zh-CN"/>
                    </w:rPr>
                    <w:t>36</w:t>
                  </w:r>
                </w:p>
              </w:tc>
            </w:tr>
            <w:tr w14:paraId="0673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2352" w:type="pct"/>
                  <w:gridSpan w:val="3"/>
                  <w:tcBorders>
                    <w:left w:val="single" w:color="auto" w:sz="4" w:space="0"/>
                    <w:right w:val="single" w:color="auto" w:sz="4" w:space="0"/>
                  </w:tcBorders>
                  <w:noWrap w:val="0"/>
                  <w:vAlign w:val="center"/>
                </w:tcPr>
                <w:p w14:paraId="69698B6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一体化污水处理设施去除效率</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344306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613227F">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93%</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240612B6">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82%</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5D847C3F">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75931DC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w:t>
                  </w:r>
                </w:p>
              </w:tc>
            </w:tr>
            <w:tr w14:paraId="6B479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2" w:hRule="atLeast"/>
                <w:jc w:val="center"/>
              </w:trPr>
              <w:tc>
                <w:tcPr>
                  <w:tcW w:w="607" w:type="pct"/>
                  <w:vMerge w:val="restart"/>
                  <w:tcBorders>
                    <w:left w:val="single" w:color="auto" w:sz="4" w:space="0"/>
                    <w:right w:val="single" w:color="auto" w:sz="4" w:space="0"/>
                  </w:tcBorders>
                  <w:noWrap w:val="0"/>
                  <w:vAlign w:val="center"/>
                </w:tcPr>
                <w:p w14:paraId="4C161BE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预处理后</w:t>
                  </w:r>
                </w:p>
              </w:tc>
              <w:tc>
                <w:tcPr>
                  <w:tcW w:w="657" w:type="pct"/>
                  <w:vMerge w:val="restart"/>
                  <w:tcBorders>
                    <w:left w:val="single" w:color="auto" w:sz="4" w:space="0"/>
                    <w:right w:val="single" w:color="auto" w:sz="4" w:space="0"/>
                  </w:tcBorders>
                  <w:noWrap w:val="0"/>
                  <w:vAlign w:val="center"/>
                </w:tcPr>
                <w:p w14:paraId="0623B05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120</w:t>
                  </w:r>
                </w:p>
              </w:tc>
              <w:tc>
                <w:tcPr>
                  <w:tcW w:w="1088" w:type="pct"/>
                  <w:tcBorders>
                    <w:top w:val="single" w:color="auto" w:sz="4" w:space="0"/>
                    <w:left w:val="single" w:color="auto" w:sz="4" w:space="0"/>
                    <w:bottom w:val="single" w:color="auto" w:sz="4" w:space="0"/>
                    <w:right w:val="single" w:color="auto" w:sz="4" w:space="0"/>
                  </w:tcBorders>
                  <w:noWrap w:val="0"/>
                  <w:vAlign w:val="center"/>
                </w:tcPr>
                <w:p w14:paraId="5ABF27A1">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浓度（mg/L）</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46F9A6D8">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32.5</w:t>
                  </w:r>
                  <w:r>
                    <w:rPr>
                      <w:rFonts w:hint="default" w:ascii="Times New Roman" w:hAnsi="Times New Roman" w:cs="Times New Roman" w:eastAsiaTheme="minorEastAsia"/>
                      <w:color w:val="auto"/>
                      <w:sz w:val="21"/>
                      <w:szCs w:val="21"/>
                    </w:rPr>
                    <w:t xml:space="preserve"> </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32255FD2">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9.52</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7B80AE3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0.84</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269AD214">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7.54</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1FDDAFEA">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30</w:t>
                  </w:r>
                </w:p>
              </w:tc>
            </w:tr>
            <w:tr w14:paraId="6B90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607" w:type="pct"/>
                  <w:vMerge w:val="continue"/>
                  <w:tcBorders>
                    <w:left w:val="single" w:color="auto" w:sz="4" w:space="0"/>
                    <w:right w:val="single" w:color="auto" w:sz="4" w:space="0"/>
                  </w:tcBorders>
                  <w:noWrap w:val="0"/>
                  <w:vAlign w:val="center"/>
                </w:tcPr>
                <w:p w14:paraId="7E7BF0CE">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657" w:type="pct"/>
                  <w:vMerge w:val="continue"/>
                  <w:tcBorders>
                    <w:left w:val="single" w:color="auto" w:sz="4" w:space="0"/>
                    <w:right w:val="single" w:color="auto" w:sz="4" w:space="0"/>
                  </w:tcBorders>
                  <w:noWrap w:val="0"/>
                  <w:vAlign w:val="center"/>
                </w:tcPr>
                <w:p w14:paraId="6EA48B5C">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p>
              </w:tc>
              <w:tc>
                <w:tcPr>
                  <w:tcW w:w="1088" w:type="pct"/>
                  <w:tcBorders>
                    <w:top w:val="single" w:color="auto" w:sz="4" w:space="0"/>
                    <w:left w:val="single" w:color="auto" w:sz="4" w:space="0"/>
                    <w:bottom w:val="single" w:color="auto" w:sz="4" w:space="0"/>
                    <w:right w:val="single" w:color="auto" w:sz="4" w:space="0"/>
                  </w:tcBorders>
                  <w:noWrap w:val="0"/>
                  <w:vAlign w:val="center"/>
                </w:tcPr>
                <w:p w14:paraId="554BC1A8">
                  <w:pPr>
                    <w:keepNext w:val="0"/>
                    <w:keepLines w:val="0"/>
                    <w:pageBreakBefore w:val="0"/>
                    <w:kinsoku/>
                    <w:wordWrap/>
                    <w:overflowPunct/>
                    <w:topLinePunct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排放量（t/a）</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20BE0FDE">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0.0</w:t>
                  </w:r>
                  <w:r>
                    <w:rPr>
                      <w:rFonts w:hint="default" w:ascii="Times New Roman" w:hAnsi="Times New Roman" w:cs="Times New Roman" w:eastAsiaTheme="minorEastAsia"/>
                      <w:color w:val="auto"/>
                      <w:sz w:val="21"/>
                      <w:szCs w:val="21"/>
                      <w:lang w:val="en-US" w:eastAsia="zh-CN"/>
                    </w:rPr>
                    <w:t>0</w:t>
                  </w:r>
                  <w:r>
                    <w:rPr>
                      <w:rFonts w:hint="eastAsia" w:cs="Times New Roman" w:eastAsiaTheme="minorEastAsia"/>
                      <w:color w:val="auto"/>
                      <w:sz w:val="21"/>
                      <w:szCs w:val="21"/>
                      <w:lang w:val="en-US" w:eastAsia="zh-CN"/>
                    </w:rPr>
                    <w:t>4</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5FB6F839">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0.00</w:t>
                  </w:r>
                  <w:r>
                    <w:rPr>
                      <w:rFonts w:hint="eastAsia" w:cs="Times New Roman" w:eastAsiaTheme="minorEastAsia"/>
                      <w:color w:val="auto"/>
                      <w:sz w:val="21"/>
                      <w:szCs w:val="21"/>
                      <w:lang w:val="en-US" w:eastAsia="zh-CN"/>
                    </w:rPr>
                    <w:t>1</w:t>
                  </w:r>
                  <w:r>
                    <w:rPr>
                      <w:rFonts w:hint="default" w:ascii="Times New Roman" w:hAnsi="Times New Roman" w:cs="Times New Roman" w:eastAsiaTheme="minorEastAsia"/>
                      <w:color w:val="auto"/>
                      <w:sz w:val="21"/>
                      <w:szCs w:val="21"/>
                    </w:rPr>
                    <w:t xml:space="preserve"> </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64C24C6D">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0.000</w:t>
                  </w:r>
                  <w:r>
                    <w:rPr>
                      <w:rFonts w:hint="eastAsia" w:cs="Times New Roman" w:eastAsiaTheme="minorEastAsia"/>
                      <w:color w:val="auto"/>
                      <w:sz w:val="21"/>
                      <w:szCs w:val="21"/>
                      <w:lang w:val="en-US" w:eastAsia="zh-CN"/>
                    </w:rPr>
                    <w:t>1</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7353D0C7">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0.00</w:t>
                  </w:r>
                  <w:r>
                    <w:rPr>
                      <w:rFonts w:hint="eastAsia" w:cs="Times New Roman" w:eastAsiaTheme="minorEastAsia"/>
                      <w:color w:val="auto"/>
                      <w:sz w:val="21"/>
                      <w:szCs w:val="21"/>
                      <w:lang w:val="en-US" w:eastAsia="zh-CN"/>
                    </w:rPr>
                    <w:t>1</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58F41CC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rPr>
                  </w:pPr>
                  <w:r>
                    <w:rPr>
                      <w:rFonts w:hint="default" w:ascii="Times New Roman" w:hAnsi="Times New Roman" w:cs="Times New Roman" w:eastAsiaTheme="minorEastAsia"/>
                      <w:color w:val="auto"/>
                      <w:sz w:val="21"/>
                      <w:szCs w:val="21"/>
                      <w:lang w:val="en-US" w:eastAsia="zh-CN"/>
                    </w:rPr>
                    <w:t>0.00</w:t>
                  </w:r>
                  <w:r>
                    <w:rPr>
                      <w:rFonts w:hint="eastAsia" w:cs="Times New Roman" w:eastAsiaTheme="minorEastAsia"/>
                      <w:color w:val="auto"/>
                      <w:sz w:val="21"/>
                      <w:szCs w:val="21"/>
                      <w:lang w:val="en-US" w:eastAsia="zh-CN"/>
                    </w:rPr>
                    <w:t>369</w:t>
                  </w:r>
                </w:p>
              </w:tc>
            </w:tr>
            <w:tr w14:paraId="125D9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9" w:hRule="atLeast"/>
                <w:jc w:val="center"/>
              </w:trPr>
              <w:tc>
                <w:tcPr>
                  <w:tcW w:w="2352" w:type="pct"/>
                  <w:gridSpan w:val="3"/>
                  <w:tcBorders>
                    <w:left w:val="single" w:color="auto" w:sz="4" w:space="0"/>
                    <w:right w:val="single" w:color="auto" w:sz="4" w:space="0"/>
                  </w:tcBorders>
                  <w:noWrap w:val="0"/>
                  <w:vAlign w:val="center"/>
                </w:tcPr>
                <w:p w14:paraId="7203AE6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GB/T18920-2020《城市污水再生利用城市杂用水水质》中</w:t>
                  </w:r>
                  <w:r>
                    <w:rPr>
                      <w:rFonts w:hint="default" w:ascii="Times New Roman" w:hAnsi="Times New Roman" w:cs="Times New Roman" w:eastAsiaTheme="minorEastAsia"/>
                      <w:color w:val="auto"/>
                      <w:sz w:val="21"/>
                      <w:szCs w:val="21"/>
                      <w:lang w:val="en-US" w:eastAsia="zh-CN"/>
                    </w:rPr>
                    <w:t>绿化标准</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73A3739B">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4D9ADBE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10</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4897E9F0">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467CE9FC">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8</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4B121E3B">
                  <w:pPr>
                    <w:keepNext w:val="0"/>
                    <w:keepLines w:val="0"/>
                    <w:pageBreakBefore w:val="0"/>
                    <w:widowControl/>
                    <w:kinsoku/>
                    <w:wordWrap/>
                    <w:overflowPunct/>
                    <w:topLinePunct w:val="0"/>
                    <w:bidi w:val="0"/>
                    <w:adjustRightInd w:val="0"/>
                    <w:snapToGrid w:val="0"/>
                    <w:spacing w:line="240" w:lineRule="auto"/>
                    <w:ind w:firstLine="0" w:firstLineChars="0"/>
                    <w:jc w:val="center"/>
                    <w:textAlignment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r w14:paraId="67BC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22" w:hRule="atLeast"/>
                <w:jc w:val="center"/>
              </w:trPr>
              <w:tc>
                <w:tcPr>
                  <w:tcW w:w="2352" w:type="pct"/>
                  <w:gridSpan w:val="3"/>
                  <w:tcBorders>
                    <w:left w:val="single" w:color="auto" w:sz="4" w:space="0"/>
                    <w:right w:val="single" w:color="auto" w:sz="4" w:space="0"/>
                  </w:tcBorders>
                  <w:noWrap w:val="0"/>
                  <w:vAlign w:val="center"/>
                </w:tcPr>
                <w:p w14:paraId="661E215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达标情况</w:t>
                  </w:r>
                </w:p>
              </w:tc>
              <w:tc>
                <w:tcPr>
                  <w:tcW w:w="566" w:type="pct"/>
                  <w:tcBorders>
                    <w:top w:val="single" w:color="auto" w:sz="4" w:space="0"/>
                    <w:left w:val="single" w:color="auto" w:sz="4" w:space="0"/>
                    <w:bottom w:val="single" w:color="auto" w:sz="4" w:space="0"/>
                    <w:right w:val="single" w:color="auto" w:sz="4" w:space="0"/>
                  </w:tcBorders>
                  <w:noWrap w:val="0"/>
                  <w:vAlign w:val="center"/>
                </w:tcPr>
                <w:p w14:paraId="1B8E708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w:t>
                  </w:r>
                </w:p>
              </w:tc>
              <w:tc>
                <w:tcPr>
                  <w:tcW w:w="460" w:type="pct"/>
                  <w:tcBorders>
                    <w:top w:val="single" w:color="auto" w:sz="4" w:space="0"/>
                    <w:left w:val="single" w:color="auto" w:sz="4" w:space="0"/>
                    <w:bottom w:val="single" w:color="auto" w:sz="4" w:space="0"/>
                    <w:right w:val="single" w:color="auto" w:sz="4" w:space="0"/>
                  </w:tcBorders>
                  <w:noWrap w:val="0"/>
                  <w:vAlign w:val="center"/>
                </w:tcPr>
                <w:p w14:paraId="7719734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c>
                <w:tcPr>
                  <w:tcW w:w="393" w:type="pct"/>
                  <w:tcBorders>
                    <w:top w:val="single" w:color="auto" w:sz="4" w:space="0"/>
                    <w:left w:val="single" w:color="auto" w:sz="4" w:space="0"/>
                    <w:bottom w:val="single" w:color="auto" w:sz="4" w:space="0"/>
                    <w:right w:val="single" w:color="auto" w:sz="4" w:space="0"/>
                  </w:tcBorders>
                  <w:noWrap w:val="0"/>
                  <w:vAlign w:val="center"/>
                </w:tcPr>
                <w:p w14:paraId="31E8F8B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c>
                <w:tcPr>
                  <w:tcW w:w="613" w:type="pct"/>
                  <w:tcBorders>
                    <w:top w:val="single" w:color="auto" w:sz="4" w:space="0"/>
                    <w:left w:val="single" w:color="auto" w:sz="4" w:space="0"/>
                    <w:bottom w:val="single" w:color="auto" w:sz="4" w:space="0"/>
                    <w:right w:val="single" w:color="auto" w:sz="4" w:space="0"/>
                  </w:tcBorders>
                  <w:noWrap w:val="0"/>
                  <w:vAlign w:val="center"/>
                </w:tcPr>
                <w:p w14:paraId="6DCFD92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达标</w:t>
                  </w:r>
                </w:p>
              </w:tc>
              <w:tc>
                <w:tcPr>
                  <w:tcW w:w="614" w:type="pct"/>
                  <w:tcBorders>
                    <w:top w:val="single" w:color="auto" w:sz="4" w:space="0"/>
                    <w:left w:val="single" w:color="auto" w:sz="4" w:space="0"/>
                    <w:bottom w:val="single" w:color="auto" w:sz="4" w:space="0"/>
                    <w:right w:val="single" w:color="auto" w:sz="4" w:space="0"/>
                  </w:tcBorders>
                  <w:noWrap w:val="0"/>
                  <w:vAlign w:val="center"/>
                </w:tcPr>
                <w:p w14:paraId="5C10313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w:t>
                  </w:r>
                </w:p>
              </w:tc>
            </w:tr>
          </w:tbl>
          <w:p w14:paraId="255280A2">
            <w:pPr>
              <w:pStyle w:val="114"/>
              <w:keepNext w:val="0"/>
              <w:keepLines w:val="0"/>
              <w:pageBreakBefore w:val="0"/>
              <w:widowControl w:val="0"/>
              <w:kinsoku/>
              <w:wordWrap/>
              <w:overflowPunct/>
              <w:topLinePunct w:val="0"/>
              <w:autoSpaceDE/>
              <w:autoSpaceDN/>
              <w:bidi w:val="0"/>
              <w:adjustRightInd/>
              <w:snapToGrid/>
              <w:ind w:firstLineChars="200"/>
              <w:textAlignment w:val="auto"/>
              <w:rPr>
                <w:rFonts w:hint="default" w:ascii="Times New Roman" w:hAnsi="Times New Roman" w:cs="Times New Roman" w:eastAsiaTheme="minorEastAsia"/>
                <w:color w:val="auto"/>
              </w:rPr>
            </w:pPr>
            <w:r>
              <w:rPr>
                <w:rFonts w:hint="default" w:ascii="Times New Roman" w:hAnsi="Times New Roman" w:cs="Times New Roman" w:eastAsiaTheme="minorEastAsia"/>
                <w:color w:val="auto"/>
              </w:rPr>
              <w:t>项目生活污水经一体化污水处理站处理后，其水质可达《城市污水再生利用  城市杂用水水质》（GB/T 18920-2020）标准中</w:t>
            </w:r>
            <w:r>
              <w:rPr>
                <w:rFonts w:hint="default" w:ascii="Times New Roman" w:hAnsi="Times New Roman" w:cs="Times New Roman" w:eastAsiaTheme="minorEastAsia"/>
                <w:color w:val="auto"/>
                <w:lang w:val="en-US" w:eastAsia="zh-CN"/>
              </w:rPr>
              <w:t>绿化</w:t>
            </w:r>
            <w:r>
              <w:rPr>
                <w:rFonts w:hint="default" w:ascii="Times New Roman" w:hAnsi="Times New Roman" w:cs="Times New Roman" w:eastAsiaTheme="minorEastAsia"/>
                <w:color w:val="auto"/>
              </w:rPr>
              <w:t>标准</w:t>
            </w:r>
            <w:r>
              <w:rPr>
                <w:rFonts w:hint="default" w:ascii="Times New Roman" w:hAnsi="Times New Roman" w:cs="Times New Roman" w:eastAsiaTheme="minorEastAsia"/>
                <w:color w:val="auto"/>
                <w:lang w:val="en-US" w:eastAsia="zh-CN"/>
              </w:rPr>
              <w:t>限值，回用于厂区绿化，不外排</w:t>
            </w:r>
            <w:r>
              <w:rPr>
                <w:rFonts w:hint="default" w:ascii="Times New Roman" w:hAnsi="Times New Roman" w:cs="Times New Roman" w:eastAsiaTheme="minorEastAsia"/>
                <w:color w:val="auto"/>
              </w:rPr>
              <w:t>，对地表水</w:t>
            </w:r>
            <w:r>
              <w:rPr>
                <w:rFonts w:hint="default" w:ascii="Times New Roman" w:hAnsi="Times New Roman" w:cs="Times New Roman" w:eastAsiaTheme="minorEastAsia"/>
                <w:color w:val="auto"/>
                <w:lang w:val="en-US" w:eastAsia="zh-CN"/>
              </w:rPr>
              <w:t>影响较小</w:t>
            </w:r>
            <w:r>
              <w:rPr>
                <w:rFonts w:hint="default" w:ascii="Times New Roman" w:hAnsi="Times New Roman" w:cs="Times New Roman" w:eastAsiaTheme="minorEastAsia"/>
                <w:color w:val="auto"/>
              </w:rPr>
              <w:t>。</w:t>
            </w:r>
          </w:p>
          <w:p w14:paraId="49DCBDBC">
            <w:pPr>
              <w:pStyle w:val="114"/>
              <w:keepNext w:val="0"/>
              <w:keepLines w:val="0"/>
              <w:pageBreakBefore w:val="0"/>
              <w:widowControl w:val="0"/>
              <w:numPr>
                <w:ilvl w:val="0"/>
                <w:numId w:val="7"/>
              </w:numPr>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可行技术分析</w:t>
            </w:r>
          </w:p>
          <w:p w14:paraId="3BFAA440">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eastAsiaTheme="minorEastAsia"/>
                <w:color w:val="auto"/>
              </w:rPr>
              <w:t>项目生活污水</w:t>
            </w:r>
            <w:r>
              <w:rPr>
                <w:rFonts w:hint="default" w:ascii="Times New Roman" w:hAnsi="Times New Roman" w:cs="Times New Roman" w:eastAsiaTheme="minorEastAsia"/>
                <w:color w:val="auto"/>
                <w:lang w:val="en-US" w:eastAsia="zh-CN"/>
              </w:rPr>
              <w:t>经</w:t>
            </w:r>
            <w:r>
              <w:rPr>
                <w:rFonts w:hint="default" w:ascii="Times New Roman" w:hAnsi="Times New Roman" w:cs="Times New Roman" w:eastAsiaTheme="minorEastAsia"/>
                <w:color w:val="auto"/>
              </w:rPr>
              <w:t>一体化污水处理</w:t>
            </w:r>
            <w:r>
              <w:rPr>
                <w:rFonts w:hint="default" w:ascii="Times New Roman" w:hAnsi="Times New Roman" w:cs="Times New Roman" w:eastAsiaTheme="minorEastAsia"/>
                <w:color w:val="auto"/>
                <w:lang w:val="en-US" w:eastAsia="zh-CN"/>
              </w:rPr>
              <w:t>设施</w:t>
            </w:r>
            <w:r>
              <w:rPr>
                <w:rFonts w:hint="default" w:ascii="Times New Roman" w:hAnsi="Times New Roman" w:cs="Times New Roman" w:eastAsiaTheme="minorEastAsia"/>
                <w:color w:val="auto"/>
              </w:rPr>
              <w:t>处理达到</w:t>
            </w:r>
            <w:r>
              <w:rPr>
                <w:rFonts w:hint="default" w:ascii="Times New Roman" w:hAnsi="Times New Roman" w:cs="Times New Roman" w:eastAsiaTheme="minorEastAsia"/>
                <w:bCs/>
                <w:color w:val="auto"/>
                <w:szCs w:val="24"/>
              </w:rPr>
              <w:t>《城市污水再生利用城市杂用水水质标准》（GB/T18920-2020）中</w:t>
            </w:r>
            <w:r>
              <w:rPr>
                <w:rFonts w:hint="default" w:ascii="Times New Roman" w:hAnsi="Times New Roman" w:cs="Times New Roman" w:eastAsiaTheme="minorEastAsia"/>
                <w:bCs/>
                <w:color w:val="auto"/>
                <w:szCs w:val="24"/>
                <w:lang w:val="en-US" w:eastAsia="zh-CN"/>
              </w:rPr>
              <w:t>绿化</w:t>
            </w:r>
            <w:r>
              <w:rPr>
                <w:rFonts w:hint="default" w:ascii="Times New Roman" w:hAnsi="Times New Roman" w:cs="Times New Roman" w:eastAsiaTheme="minorEastAsia"/>
                <w:color w:val="auto"/>
                <w:szCs w:val="24"/>
              </w:rPr>
              <w:t>水质标准</w:t>
            </w:r>
            <w:r>
              <w:rPr>
                <w:rFonts w:hint="default" w:ascii="Times New Roman" w:hAnsi="Times New Roman" w:cs="Times New Roman" w:eastAsiaTheme="minorEastAsia"/>
                <w:color w:val="auto"/>
              </w:rPr>
              <w:t>后，回用于</w:t>
            </w:r>
            <w:r>
              <w:rPr>
                <w:rFonts w:hint="default" w:ascii="Times New Roman" w:hAnsi="Times New Roman" w:cs="Times New Roman" w:eastAsiaTheme="minorEastAsia"/>
                <w:color w:val="auto"/>
                <w:lang w:val="en-US" w:eastAsia="zh-CN"/>
              </w:rPr>
              <w:t>厂区绿化</w:t>
            </w:r>
            <w:r>
              <w:rPr>
                <w:rFonts w:hint="default" w:ascii="Times New Roman" w:hAnsi="Times New Roman" w:cs="Times New Roman" w:eastAsiaTheme="minorEastAsia"/>
                <w:color w:val="auto"/>
              </w:rPr>
              <w:t>，不外排。一体化污水处理站采用“A/O工艺”，</w:t>
            </w:r>
            <w:r>
              <w:rPr>
                <w:rFonts w:hint="default" w:ascii="Times New Roman" w:hAnsi="Times New Roman" w:cs="Times New Roman" w:eastAsiaTheme="minorEastAsia"/>
                <w:color w:val="auto"/>
                <w:kern w:val="24"/>
              </w:rPr>
              <w:t>根据</w:t>
            </w:r>
            <w:r>
              <w:rPr>
                <w:rFonts w:hint="default" w:ascii="Times New Roman" w:hAnsi="Times New Roman" w:cs="Times New Roman" w:eastAsiaTheme="minorEastAsia"/>
                <w:color w:val="auto"/>
              </w:rPr>
              <w:t>《排污许可证申请与核发技术规范 水处理通用工序》（HJ1120-2020）中生产类排污单位废水处理可行性技术包括：“预处理：调节、隔油、沉淀、气浮、中和、吸附；生化处理：水解酸化、厌氧、好氧、缺氧好氧（A/O）、厌氧缺氧好氧（A</w:t>
            </w:r>
            <w:r>
              <w:rPr>
                <w:rFonts w:hint="default" w:ascii="Times New Roman" w:hAnsi="Times New Roman" w:cs="Times New Roman" w:eastAsiaTheme="minorEastAsia"/>
                <w:color w:val="auto"/>
                <w:vertAlign w:val="superscript"/>
              </w:rPr>
              <w:t>2</w:t>
            </w:r>
            <w:r>
              <w:rPr>
                <w:rFonts w:hint="default" w:ascii="Times New Roman" w:hAnsi="Times New Roman" w:cs="Times New Roman" w:eastAsiaTheme="minorEastAsia"/>
                <w:color w:val="auto"/>
              </w:rPr>
              <w:t>/O）、序批式活性污泥（SBR）、氧化沟、曝气生物滤池（BAF）、移动生物床反应器（MBBR）、膜生物反应器（MBR）、二沉池；深度处理及回用：混凝沉淀、沉淀、过滤、反硝化、高级氧化、曝气生物滤池、生物接触氧化、超滤、反渗透、电渗析、离子交换”，项目生活污水处理工艺</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A/O</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rPr>
              <w:t>为推荐的可行技术，出水水质可以满足</w:t>
            </w:r>
            <w:r>
              <w:rPr>
                <w:rFonts w:hint="default" w:ascii="Times New Roman" w:hAnsi="Times New Roman" w:cs="Times New Roman" w:eastAsiaTheme="minorEastAsia"/>
                <w:bCs/>
                <w:color w:val="auto"/>
              </w:rPr>
              <w:t>《城市污水再生利用城市杂用水水质标准》（GB/T18920-2020）中绿化</w:t>
            </w:r>
            <w:r>
              <w:rPr>
                <w:rFonts w:hint="default" w:ascii="Times New Roman" w:hAnsi="Times New Roman" w:cs="Times New Roman" w:eastAsiaTheme="minorEastAsia"/>
                <w:color w:val="auto"/>
              </w:rPr>
              <w:t>水质标准后回用于厂区</w:t>
            </w:r>
            <w:r>
              <w:rPr>
                <w:rFonts w:hint="default" w:ascii="Times New Roman" w:hAnsi="Times New Roman" w:cs="Times New Roman" w:eastAsiaTheme="minorEastAsia"/>
                <w:color w:val="auto"/>
                <w:lang w:val="en-US" w:eastAsia="zh-CN"/>
              </w:rPr>
              <w:t>绿化</w:t>
            </w:r>
            <w:r>
              <w:rPr>
                <w:rFonts w:hint="default" w:ascii="Times New Roman" w:hAnsi="Times New Roman" w:cs="Times New Roman" w:eastAsiaTheme="minorEastAsia"/>
                <w:color w:val="auto"/>
              </w:rPr>
              <w:t>，不外排</w:t>
            </w:r>
            <w:r>
              <w:rPr>
                <w:rFonts w:hint="default" w:ascii="Times New Roman" w:hAnsi="Times New Roman" w:eastAsia="宋体" w:cs="Times New Roman"/>
                <w:color w:val="auto"/>
                <w:sz w:val="24"/>
                <w:lang w:val="en-US" w:eastAsia="zh-CN"/>
              </w:rPr>
              <w:t>。</w:t>
            </w:r>
          </w:p>
          <w:p w14:paraId="1D2B8FC7">
            <w:pPr>
              <w:keepNext w:val="0"/>
              <w:keepLines/>
              <w:pageBreakBefore w:val="0"/>
              <w:tabs>
                <w:tab w:val="left" w:pos="4830"/>
              </w:tabs>
              <w:kinsoku/>
              <w:overflowPunct/>
              <w:bidi w:val="0"/>
              <w:adjustRightInd/>
              <w:snapToGrid/>
              <w:spacing w:line="360" w:lineRule="auto"/>
              <w:ind w:firstLine="482" w:firstLineChars="200"/>
              <w:jc w:val="left"/>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3、项目废水不外排可行性分析</w:t>
            </w:r>
          </w:p>
          <w:p w14:paraId="49F64FBE">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kern w:val="0"/>
                <w:sz w:val="24"/>
                <w:szCs w:val="24"/>
                <w:lang w:val="en-US" w:eastAsia="zh-CN" w:bidi="ar-SA"/>
              </w:rPr>
              <w:t>本项目生产废水为</w:t>
            </w:r>
            <w:r>
              <w:rPr>
                <w:rFonts w:hint="default" w:ascii="Times New Roman" w:hAnsi="Times New Roman" w:cs="Times New Roman" w:eastAsiaTheme="minorEastAsia"/>
                <w:color w:val="auto"/>
                <w:sz w:val="24"/>
                <w:szCs w:val="24"/>
                <w:lang w:eastAsia="zh-CN"/>
              </w:rPr>
              <w:t>软水</w:t>
            </w:r>
            <w:r>
              <w:rPr>
                <w:rFonts w:hint="default" w:ascii="Times New Roman" w:hAnsi="Times New Roman" w:cs="Times New Roman" w:eastAsiaTheme="minorEastAsia"/>
                <w:color w:val="auto"/>
                <w:sz w:val="24"/>
                <w:szCs w:val="24"/>
              </w:rPr>
              <w:t>制备废水</w:t>
            </w:r>
            <w:r>
              <w:rPr>
                <w:rFonts w:hint="default" w:ascii="Times New Roman" w:hAnsi="Times New Roman" w:cs="Times New Roman" w:eastAsiaTheme="minorEastAsia"/>
                <w:color w:val="auto"/>
                <w:sz w:val="24"/>
                <w:szCs w:val="24"/>
                <w:lang w:val="en-US" w:eastAsia="zh-CN"/>
              </w:rPr>
              <w:t>和</w:t>
            </w:r>
            <w:r>
              <w:rPr>
                <w:rFonts w:hint="eastAsia" w:cs="Times New Roman" w:eastAsiaTheme="minorEastAsia"/>
                <w:color w:val="auto"/>
                <w:sz w:val="24"/>
                <w:szCs w:val="24"/>
                <w:lang w:eastAsia="zh-CN"/>
              </w:rPr>
              <w:t>生物质蒸汽发生器</w:t>
            </w:r>
            <w:r>
              <w:rPr>
                <w:rFonts w:hint="default" w:ascii="Times New Roman" w:hAnsi="Times New Roman" w:cs="Times New Roman" w:eastAsiaTheme="minorEastAsia"/>
                <w:color w:val="auto"/>
                <w:sz w:val="24"/>
                <w:szCs w:val="24"/>
              </w:rPr>
              <w:t>排污水</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产生量为1.8</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/d</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kern w:val="24"/>
                <w:sz w:val="24"/>
                <w:szCs w:val="24"/>
                <w:lang w:val="en-US" w:eastAsia="zh-CN"/>
              </w:rPr>
              <w:t>根据工程分析可知，项目拟建设1个容积为15m</w:t>
            </w:r>
            <w:r>
              <w:rPr>
                <w:rFonts w:hint="default" w:ascii="Times New Roman" w:hAnsi="Times New Roman" w:cs="Times New Roman" w:eastAsiaTheme="minorEastAsia"/>
                <w:color w:val="auto"/>
                <w:kern w:val="24"/>
                <w:sz w:val="24"/>
                <w:szCs w:val="24"/>
                <w:vertAlign w:val="superscript"/>
                <w:lang w:val="en-US" w:eastAsia="zh-CN"/>
              </w:rPr>
              <w:t>3</w:t>
            </w:r>
            <w:r>
              <w:rPr>
                <w:rFonts w:hint="default" w:ascii="Times New Roman" w:hAnsi="Times New Roman" w:cs="Times New Roman" w:eastAsiaTheme="minorEastAsia"/>
                <w:color w:val="auto"/>
                <w:kern w:val="24"/>
                <w:sz w:val="24"/>
                <w:szCs w:val="24"/>
                <w:lang w:val="en-US" w:eastAsia="zh-CN"/>
              </w:rPr>
              <w:t>的废水收集池，</w:t>
            </w:r>
            <w:r>
              <w:rPr>
                <w:rFonts w:hint="default" w:ascii="Times New Roman" w:hAnsi="Times New Roman" w:cs="Times New Roman" w:eastAsiaTheme="minorEastAsia"/>
                <w:color w:val="auto"/>
                <w:sz w:val="24"/>
                <w:szCs w:val="24"/>
              </w:rPr>
              <w:t>可以收集连续7天以上的</w:t>
            </w:r>
            <w:r>
              <w:rPr>
                <w:rFonts w:hint="default" w:ascii="Times New Roman" w:hAnsi="Times New Roman" w:cs="Times New Roman" w:eastAsiaTheme="minorEastAsia"/>
                <w:color w:val="auto"/>
                <w:sz w:val="24"/>
                <w:szCs w:val="24"/>
                <w:lang w:val="en-US" w:eastAsia="zh-CN"/>
              </w:rPr>
              <w:t>生产废</w:t>
            </w:r>
            <w:r>
              <w:rPr>
                <w:rFonts w:hint="default" w:ascii="Times New Roman" w:hAnsi="Times New Roman" w:cs="Times New Roman" w:eastAsiaTheme="minorEastAsia"/>
                <w:color w:val="auto"/>
                <w:sz w:val="24"/>
                <w:szCs w:val="24"/>
              </w:rPr>
              <w:t>水</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12.6</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保证项目生产废水经沉淀处理后，雨天全部暂存于废水收集池，晴天全部回用于厂区洒水降尘，不外排。</w:t>
            </w:r>
          </w:p>
          <w:p w14:paraId="1C302131">
            <w:pPr>
              <w:pStyle w:val="6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本项目冷凝水产生量为20.88m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w:t>
            </w:r>
            <w:r>
              <w:rPr>
                <w:rFonts w:hint="default" w:ascii="Times New Roman" w:hAnsi="Times New Roman" w:cs="Times New Roman" w:eastAsiaTheme="minorEastAsia"/>
                <w:color w:val="auto"/>
                <w:kern w:val="24"/>
                <w:sz w:val="24"/>
                <w:szCs w:val="24"/>
                <w:lang w:val="en-US" w:eastAsia="zh-CN"/>
              </w:rPr>
              <w:t>根据工程分析可知，</w:t>
            </w:r>
            <w:r>
              <w:rPr>
                <w:rFonts w:hint="default" w:ascii="Times New Roman" w:hAnsi="Times New Roman" w:cs="Times New Roman" w:eastAsiaTheme="minorEastAsia"/>
                <w:color w:val="auto"/>
                <w:sz w:val="24"/>
                <w:szCs w:val="24"/>
                <w:lang w:val="en-US" w:eastAsia="zh-CN"/>
              </w:rPr>
              <w:t>本项目拟设置一个容积为25m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的冷凝水收集池，可以满足收集暂存项目产生的冷凝水，保证收集的冷凝水全部回用于生产，不外排。</w:t>
            </w:r>
          </w:p>
          <w:p w14:paraId="27425B27">
            <w:pPr>
              <w:keepNext w:val="0"/>
              <w:pageBreakBefore w:val="0"/>
              <w:widowControl w:val="0"/>
              <w:kinsoku/>
              <w:wordWrap/>
              <w:overflowPunct/>
              <w:topLinePunct w:val="0"/>
              <w:autoSpaceDE/>
              <w:autoSpaceDN/>
              <w:bidi w:val="0"/>
              <w:ind w:firstLine="48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本项目生活污水产生量为0.4m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w:t>
            </w:r>
            <w:r>
              <w:rPr>
                <w:rFonts w:hint="default" w:ascii="Times New Roman" w:hAnsi="Times New Roman" w:cs="Times New Roman" w:eastAsiaTheme="minorEastAsia"/>
                <w:color w:val="auto"/>
                <w:kern w:val="24"/>
                <w:sz w:val="24"/>
                <w:szCs w:val="24"/>
                <w:lang w:val="en-US" w:eastAsia="zh-CN"/>
              </w:rPr>
              <w:t>根据工程分析可知，</w:t>
            </w:r>
            <w:r>
              <w:rPr>
                <w:rFonts w:hint="default" w:ascii="Times New Roman" w:hAnsi="Times New Roman" w:cs="Times New Roman" w:eastAsiaTheme="minorEastAsia"/>
                <w:color w:val="auto"/>
                <w:sz w:val="24"/>
                <w:szCs w:val="24"/>
                <w:lang w:val="en-US" w:eastAsia="zh-CN"/>
              </w:rPr>
              <w:t>本项目拟设置一个容积为2m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的化粪池，满足暂存生活污水5d的量（2m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），为生活污水不外排创造条件</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同时，项目拟建设1套处理能力为2m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/d的一体化污水处理设施，可以满足处理项目产生的生活污水（0.4m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/d），污水处理设施出水水质可以达到</w:t>
            </w:r>
            <w:r>
              <w:rPr>
                <w:rFonts w:hint="default" w:ascii="Times New Roman" w:hAnsi="Times New Roman" w:cs="Times New Roman" w:eastAsiaTheme="minorEastAsia"/>
                <w:color w:val="auto"/>
                <w:sz w:val="24"/>
                <w:szCs w:val="24"/>
              </w:rPr>
              <w:t>《城市污水再生利用  城市杂用水水质》（GB/T 18920-2020）标准中</w:t>
            </w:r>
            <w:r>
              <w:rPr>
                <w:rFonts w:hint="default" w:ascii="Times New Roman" w:hAnsi="Times New Roman" w:cs="Times New Roman" w:eastAsiaTheme="minorEastAsia"/>
                <w:color w:val="auto"/>
                <w:sz w:val="24"/>
                <w:szCs w:val="24"/>
                <w:lang w:val="en-US" w:eastAsia="zh-CN"/>
              </w:rPr>
              <w:t>绿化</w:t>
            </w:r>
            <w:r>
              <w:rPr>
                <w:rFonts w:hint="default" w:ascii="Times New Roman" w:hAnsi="Times New Roman" w:cs="Times New Roman" w:eastAsiaTheme="minorEastAsia"/>
                <w:color w:val="auto"/>
                <w:sz w:val="24"/>
                <w:szCs w:val="24"/>
              </w:rPr>
              <w:t>标准</w:t>
            </w:r>
            <w:r>
              <w:rPr>
                <w:rFonts w:hint="default" w:ascii="Times New Roman" w:hAnsi="Times New Roman" w:cs="Times New Roman" w:eastAsiaTheme="minorEastAsia"/>
                <w:color w:val="auto"/>
                <w:sz w:val="24"/>
                <w:szCs w:val="24"/>
                <w:lang w:val="en-US" w:eastAsia="zh-CN"/>
              </w:rPr>
              <w:t>限值，保证生活污水不外排。</w:t>
            </w:r>
          </w:p>
          <w:p w14:paraId="25EB7079">
            <w:pPr>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本项目生活污水产生量为0.4m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/d，</w:t>
            </w:r>
            <w:r>
              <w:rPr>
                <w:rFonts w:hint="default" w:ascii="Times New Roman" w:hAnsi="Times New Roman" w:cs="Times New Roman" w:eastAsiaTheme="minorEastAsia"/>
                <w:color w:val="auto"/>
                <w:kern w:val="24"/>
                <w:sz w:val="24"/>
                <w:szCs w:val="24"/>
                <w:lang w:val="en-US" w:eastAsia="zh-CN"/>
              </w:rPr>
              <w:t>根据工程分析可知，</w:t>
            </w:r>
            <w:r>
              <w:rPr>
                <w:rFonts w:hint="default" w:ascii="Times New Roman" w:hAnsi="Times New Roman" w:cs="Times New Roman" w:eastAsiaTheme="minorEastAsia"/>
                <w:color w:val="auto"/>
                <w:sz w:val="24"/>
                <w:szCs w:val="24"/>
                <w:lang w:val="en-US" w:eastAsia="zh-CN"/>
              </w:rPr>
              <w:t>一体化污水处理设施末端布设了1个容积为3m</w:t>
            </w:r>
            <w:r>
              <w:rPr>
                <w:rFonts w:hint="default" w:ascii="Times New Roman" w:hAnsi="Times New Roman" w:cs="Times New Roman" w:eastAsiaTheme="minorEastAsia"/>
                <w:color w:val="auto"/>
                <w:sz w:val="24"/>
                <w:szCs w:val="24"/>
                <w:vertAlign w:val="superscript"/>
                <w:lang w:val="en-US" w:eastAsia="zh-CN"/>
              </w:rPr>
              <w:t>3</w:t>
            </w:r>
            <w:r>
              <w:rPr>
                <w:rFonts w:hint="default" w:ascii="Times New Roman" w:hAnsi="Times New Roman" w:cs="Times New Roman" w:eastAsiaTheme="minorEastAsia"/>
                <w:color w:val="auto"/>
                <w:sz w:val="24"/>
                <w:szCs w:val="24"/>
                <w:lang w:val="en-US" w:eastAsia="zh-CN"/>
              </w:rPr>
              <w:t>的中水池，</w:t>
            </w:r>
            <w:r>
              <w:rPr>
                <w:rFonts w:hint="default" w:ascii="Times New Roman" w:hAnsi="Times New Roman" w:cs="Times New Roman" w:eastAsiaTheme="minorEastAsia"/>
                <w:color w:val="auto"/>
                <w:sz w:val="24"/>
                <w:szCs w:val="24"/>
              </w:rPr>
              <w:t>可以收集连续7天以上处理过的</w:t>
            </w:r>
            <w:r>
              <w:rPr>
                <w:rFonts w:hint="eastAsia" w:ascii="Times New Roman" w:hAnsi="Times New Roman" w:cs="Times New Roman" w:eastAsiaTheme="minorEastAsia"/>
                <w:color w:val="auto"/>
                <w:sz w:val="24"/>
                <w:szCs w:val="24"/>
                <w:lang w:val="en-US" w:eastAsia="zh-CN"/>
              </w:rPr>
              <w:t>生活污水</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2.8</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保证项目生活污水经处理后，雨天全部暂存于中水池，晴天全部回用于厂区绿化，保证生活污水经处理达标后，全部回用，不外排。</w:t>
            </w:r>
          </w:p>
          <w:p w14:paraId="67743F4E">
            <w:pPr>
              <w:keepNext w:val="0"/>
              <w:keepLines/>
              <w:pageBreakBefore w:val="0"/>
              <w:widowControl w:val="0"/>
              <w:tabs>
                <w:tab w:val="left" w:pos="4830"/>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综上所述，项目生产废水、生活污水合理处置不外排，具有一定的可行性和可靠性。</w:t>
            </w:r>
          </w:p>
          <w:p w14:paraId="6DF8845F">
            <w:pPr>
              <w:keepNext w:val="0"/>
              <w:keepLines/>
              <w:pageBreakBefore w:val="0"/>
              <w:tabs>
                <w:tab w:val="left" w:pos="4830"/>
              </w:tabs>
              <w:kinsoku/>
              <w:overflowPunct/>
              <w:bidi w:val="0"/>
              <w:adjustRightInd/>
              <w:snapToGrid/>
              <w:spacing w:line="360" w:lineRule="auto"/>
              <w:ind w:firstLine="482" w:firstLineChars="200"/>
              <w:jc w:val="left"/>
              <w:rPr>
                <w:rFonts w:hint="default" w:ascii="Times New Roman" w:hAnsi="Times New Roman" w:eastAsia="宋体" w:cs="Times New Roman"/>
                <w:b/>
                <w:color w:val="auto"/>
                <w:sz w:val="24"/>
                <w:lang w:eastAsia="zh-CN"/>
              </w:rPr>
            </w:pPr>
            <w:r>
              <w:rPr>
                <w:rFonts w:hint="eastAsia" w:cs="Times New Roman"/>
                <w:b/>
                <w:color w:val="auto"/>
                <w:sz w:val="24"/>
                <w:lang w:val="en-US" w:eastAsia="zh-CN"/>
              </w:rPr>
              <w:t>4、</w:t>
            </w:r>
            <w:r>
              <w:rPr>
                <w:rFonts w:hint="default" w:ascii="Times New Roman" w:hAnsi="Times New Roman" w:eastAsia="宋体" w:cs="Times New Roman"/>
                <w:b/>
                <w:color w:val="auto"/>
                <w:sz w:val="24"/>
                <w:lang w:eastAsia="zh-CN"/>
              </w:rPr>
              <w:t>废水自行监测一览表</w:t>
            </w:r>
          </w:p>
          <w:p w14:paraId="5A201896">
            <w:pPr>
              <w:pStyle w:val="66"/>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根据《排污单位自行监测技术指南总则》（HJ819-2017）制定本次监测计划</w:t>
            </w:r>
            <w:r>
              <w:rPr>
                <w:rFonts w:hint="eastAsia" w:ascii="Times New Roman" w:hAnsi="Times New Roman" w:eastAsia="宋体" w:cs="Times New Roman"/>
                <w:color w:val="auto"/>
                <w:kern w:val="0"/>
                <w:sz w:val="24"/>
                <w:szCs w:val="24"/>
                <w:lang w:val="en-US" w:eastAsia="zh-CN" w:bidi="ar-SA"/>
              </w:rPr>
              <w:t>，项目各监测点位、监测因子、监测频次见下表4-1</w:t>
            </w:r>
            <w:r>
              <w:rPr>
                <w:rFonts w:hint="eastAsia" w:ascii="Times New Roman" w:hAnsi="Times New Roman" w:cs="Times New Roman"/>
                <w:color w:val="auto"/>
                <w:kern w:val="0"/>
                <w:sz w:val="24"/>
                <w:szCs w:val="24"/>
                <w:lang w:val="en-US" w:eastAsia="zh-CN" w:bidi="ar-SA"/>
              </w:rPr>
              <w:t>4</w:t>
            </w:r>
            <w:r>
              <w:rPr>
                <w:rFonts w:hint="eastAsia" w:ascii="Times New Roman" w:hAnsi="Times New Roman" w:eastAsia="宋体" w:cs="Times New Roman"/>
                <w:color w:val="auto"/>
                <w:kern w:val="0"/>
                <w:sz w:val="24"/>
                <w:szCs w:val="24"/>
                <w:lang w:val="en-US" w:eastAsia="zh-CN" w:bidi="ar-SA"/>
              </w:rPr>
              <w:t>。</w:t>
            </w:r>
          </w:p>
          <w:p w14:paraId="53335B35">
            <w:pPr>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4"/>
                <w:szCs w:val="24"/>
                <w:lang w:val="en-US" w:eastAsia="zh-CN"/>
              </w:rPr>
            </w:pPr>
            <w:r>
              <w:rPr>
                <w:rFonts w:hint="default" w:ascii="Times New Roman" w:hAnsi="Times New Roman" w:cs="Times New Roman"/>
                <w:b/>
                <w:color w:val="auto"/>
                <w:sz w:val="24"/>
                <w:szCs w:val="24"/>
                <w:lang w:val="en-US" w:eastAsia="zh-CN"/>
              </w:rPr>
              <w:t>表4-1</w:t>
            </w:r>
            <w:r>
              <w:rPr>
                <w:rFonts w:hint="eastAsia" w:cs="Times New Roman"/>
                <w:b/>
                <w:color w:val="auto"/>
                <w:sz w:val="24"/>
                <w:szCs w:val="24"/>
                <w:lang w:val="en-US" w:eastAsia="zh-CN"/>
              </w:rPr>
              <w:t>4</w:t>
            </w:r>
            <w:r>
              <w:rPr>
                <w:rFonts w:hint="eastAsia"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lang w:val="en-US" w:eastAsia="zh-CN"/>
              </w:rPr>
              <w:t>项目生活污水监测内容</w:t>
            </w:r>
          </w:p>
          <w:tbl>
            <w:tblPr>
              <w:tblStyle w:val="33"/>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641"/>
              <w:gridCol w:w="930"/>
              <w:gridCol w:w="2557"/>
              <w:gridCol w:w="1950"/>
              <w:gridCol w:w="870"/>
              <w:gridCol w:w="875"/>
            </w:tblGrid>
            <w:tr w14:paraId="6808E84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34" w:hRule="atLeast"/>
                <w:jc w:val="center"/>
              </w:trPr>
              <w:tc>
                <w:tcPr>
                  <w:tcW w:w="409" w:type="pct"/>
                  <w:noWrap w:val="0"/>
                  <w:vAlign w:val="center"/>
                </w:tcPr>
                <w:p w14:paraId="0789DFA5">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lang w:eastAsia="zh-CN"/>
                    </w:rPr>
                    <w:t>监测点</w:t>
                  </w:r>
                </w:p>
              </w:tc>
              <w:tc>
                <w:tcPr>
                  <w:tcW w:w="594" w:type="pct"/>
                  <w:noWrap w:val="0"/>
                  <w:vAlign w:val="center"/>
                </w:tcPr>
                <w:p w14:paraId="347ABF6E">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rPr>
                    <w:t>执行标准</w:t>
                  </w:r>
                </w:p>
              </w:tc>
              <w:tc>
                <w:tcPr>
                  <w:tcW w:w="1634" w:type="pct"/>
                  <w:noWrap w:val="0"/>
                  <w:vAlign w:val="center"/>
                </w:tcPr>
                <w:p w14:paraId="28908934">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基本控制项目</w:t>
                  </w:r>
                </w:p>
              </w:tc>
              <w:tc>
                <w:tcPr>
                  <w:tcW w:w="1246" w:type="pct"/>
                  <w:noWrap w:val="0"/>
                  <w:vAlign w:val="center"/>
                </w:tcPr>
                <w:p w14:paraId="4BD6FA67">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highlight w:val="none"/>
                      <w:lang w:eastAsia="zh-CN"/>
                    </w:rPr>
                    <w:t>标准限值</w:t>
                  </w:r>
                </w:p>
              </w:tc>
              <w:tc>
                <w:tcPr>
                  <w:tcW w:w="556" w:type="pct"/>
                  <w:noWrap w:val="0"/>
                  <w:vAlign w:val="center"/>
                </w:tcPr>
                <w:p w14:paraId="062AF89E">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rPr>
                    <w:t>监测方法</w:t>
                  </w:r>
                </w:p>
              </w:tc>
              <w:tc>
                <w:tcPr>
                  <w:tcW w:w="559" w:type="pct"/>
                  <w:noWrap w:val="0"/>
                  <w:vAlign w:val="center"/>
                </w:tcPr>
                <w:p w14:paraId="10E5373F">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eastAsia="zh-CN"/>
                    </w:rPr>
                  </w:pPr>
                  <w:r>
                    <w:rPr>
                      <w:rFonts w:hint="default" w:ascii="Times New Roman" w:hAnsi="Times New Roman" w:cs="Times New Roman" w:eastAsiaTheme="minorEastAsia"/>
                      <w:b/>
                      <w:bCs/>
                      <w:color w:val="auto"/>
                      <w:sz w:val="21"/>
                      <w:szCs w:val="21"/>
                    </w:rPr>
                    <w:t>监测频次</w:t>
                  </w:r>
                </w:p>
              </w:tc>
            </w:tr>
            <w:tr w14:paraId="5A01FD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restart"/>
                  <w:noWrap w:val="0"/>
                  <w:vAlign w:val="center"/>
                </w:tcPr>
                <w:p w14:paraId="11F34781">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eastAsia="zh-CN"/>
                    </w:rPr>
                    <w:t>一体化污水处理设施出口</w:t>
                  </w:r>
                </w:p>
              </w:tc>
              <w:tc>
                <w:tcPr>
                  <w:tcW w:w="594" w:type="pct"/>
                  <w:vMerge w:val="restart"/>
                  <w:noWrap w:val="0"/>
                  <w:vAlign w:val="center"/>
                </w:tcPr>
                <w:p w14:paraId="16104F4F">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eastAsia="zh-CN"/>
                    </w:rPr>
                  </w:pPr>
                  <w:r>
                    <w:rPr>
                      <w:rFonts w:hint="default" w:ascii="Times New Roman" w:hAnsi="Times New Roman" w:cs="Times New Roman" w:eastAsiaTheme="minorEastAsia"/>
                      <w:b w:val="0"/>
                      <w:bCs w:val="0"/>
                      <w:color w:val="auto"/>
                      <w:sz w:val="21"/>
                      <w:szCs w:val="21"/>
                      <w:lang w:val="en-US" w:eastAsia="zh-CN"/>
                    </w:rPr>
                    <w:t>《城市污水再生利用城市杂用水水质》（GB/T18920-2020）</w:t>
                  </w:r>
                  <w:r>
                    <w:rPr>
                      <w:rFonts w:hint="default" w:ascii="Times New Roman" w:hAnsi="Times New Roman" w:cs="Times New Roman" w:eastAsiaTheme="minorEastAsia"/>
                      <w:b w:val="0"/>
                      <w:bCs w:val="0"/>
                      <w:color w:val="auto"/>
                      <w:sz w:val="21"/>
                      <w:szCs w:val="21"/>
                    </w:rPr>
                    <w:t>标准</w:t>
                  </w:r>
                </w:p>
              </w:tc>
              <w:tc>
                <w:tcPr>
                  <w:tcW w:w="1634" w:type="pct"/>
                  <w:noWrap w:val="0"/>
                  <w:vAlign w:val="center"/>
                </w:tcPr>
                <w:p w14:paraId="62D612DF">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pH值（无量纲）</w:t>
                  </w:r>
                </w:p>
              </w:tc>
              <w:tc>
                <w:tcPr>
                  <w:tcW w:w="1246" w:type="pct"/>
                  <w:noWrap w:val="0"/>
                  <w:vAlign w:val="center"/>
                </w:tcPr>
                <w:p w14:paraId="40389635">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6</w:t>
                  </w:r>
                  <w:r>
                    <w:rPr>
                      <w:rFonts w:hint="default" w:ascii="Times New Roman" w:hAnsi="Times New Roman" w:cs="Times New Roman" w:eastAsiaTheme="minorEastAsia"/>
                      <w:b w:val="0"/>
                      <w:bCs w:val="0"/>
                      <w:color w:val="auto"/>
                      <w:sz w:val="21"/>
                      <w:szCs w:val="21"/>
                      <w:highlight w:val="none"/>
                      <w:lang w:val="en-US" w:eastAsia="zh-CN"/>
                    </w:rPr>
                    <w:t>-</w:t>
                  </w:r>
                  <w:r>
                    <w:rPr>
                      <w:rFonts w:hint="default" w:ascii="Times New Roman" w:hAnsi="Times New Roman" w:cs="Times New Roman" w:eastAsiaTheme="minorEastAsia"/>
                      <w:b w:val="0"/>
                      <w:bCs w:val="0"/>
                      <w:color w:val="auto"/>
                      <w:sz w:val="21"/>
                      <w:szCs w:val="21"/>
                      <w:highlight w:val="none"/>
                    </w:rPr>
                    <w:t>9</w:t>
                  </w:r>
                </w:p>
              </w:tc>
              <w:tc>
                <w:tcPr>
                  <w:tcW w:w="556" w:type="pct"/>
                  <w:vMerge w:val="restart"/>
                  <w:noWrap w:val="0"/>
                  <w:vAlign w:val="center"/>
                </w:tcPr>
                <w:p w14:paraId="6EAE727F">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rPr>
                    <w:t>《地表水和污水监测技术规范》（HJ/T91—2002）</w:t>
                  </w:r>
                </w:p>
              </w:tc>
              <w:tc>
                <w:tcPr>
                  <w:tcW w:w="559" w:type="pct"/>
                  <w:vMerge w:val="restart"/>
                  <w:noWrap w:val="0"/>
                  <w:vAlign w:val="center"/>
                </w:tcPr>
                <w:p w14:paraId="44E73E5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rPr>
                    <w:t>每年监测1次，每次连续监测2天，每天监测4次</w:t>
                  </w:r>
                </w:p>
              </w:tc>
            </w:tr>
            <w:tr w14:paraId="6FEA91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continue"/>
                  <w:noWrap w:val="0"/>
                  <w:vAlign w:val="center"/>
                </w:tcPr>
                <w:p w14:paraId="469A2363">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62512F97">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70B4BF08">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色度（稀释倍数）</w:t>
                  </w:r>
                </w:p>
              </w:tc>
              <w:tc>
                <w:tcPr>
                  <w:tcW w:w="1246" w:type="pct"/>
                  <w:noWrap w:val="0"/>
                  <w:vAlign w:val="center"/>
                </w:tcPr>
                <w:p w14:paraId="3352BFFE">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30</w:t>
                  </w:r>
                </w:p>
              </w:tc>
              <w:tc>
                <w:tcPr>
                  <w:tcW w:w="556" w:type="pct"/>
                  <w:vMerge w:val="continue"/>
                  <w:noWrap w:val="0"/>
                  <w:vAlign w:val="center"/>
                </w:tcPr>
                <w:p w14:paraId="711B03E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5B08FECA">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7680C8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continue"/>
                  <w:noWrap w:val="0"/>
                  <w:vAlign w:val="center"/>
                </w:tcPr>
                <w:p w14:paraId="24FD2E8B">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2694387B">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65FF1DB3">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嗅</w:t>
                  </w:r>
                </w:p>
              </w:tc>
              <w:tc>
                <w:tcPr>
                  <w:tcW w:w="1246" w:type="pct"/>
                  <w:noWrap w:val="0"/>
                  <w:vAlign w:val="center"/>
                </w:tcPr>
                <w:p w14:paraId="6939AC2B">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无不快感</w:t>
                  </w:r>
                </w:p>
              </w:tc>
              <w:tc>
                <w:tcPr>
                  <w:tcW w:w="556" w:type="pct"/>
                  <w:vMerge w:val="continue"/>
                  <w:noWrap w:val="0"/>
                  <w:vAlign w:val="center"/>
                </w:tcPr>
                <w:p w14:paraId="4FF4E028">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7997A968">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5157C2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continue"/>
                  <w:noWrap w:val="0"/>
                  <w:vAlign w:val="center"/>
                </w:tcPr>
                <w:p w14:paraId="1E2EA3A4">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7719F730">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1C63FC5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浊度/NT</w:t>
                  </w:r>
                </w:p>
              </w:tc>
              <w:tc>
                <w:tcPr>
                  <w:tcW w:w="1246" w:type="pct"/>
                  <w:noWrap w:val="0"/>
                  <w:vAlign w:val="center"/>
                </w:tcPr>
                <w:p w14:paraId="3F70B10A">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10</w:t>
                  </w:r>
                </w:p>
              </w:tc>
              <w:tc>
                <w:tcPr>
                  <w:tcW w:w="556" w:type="pct"/>
                  <w:vMerge w:val="continue"/>
                  <w:noWrap w:val="0"/>
                  <w:vAlign w:val="center"/>
                </w:tcPr>
                <w:p w14:paraId="1A71B1C6">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672AE2A6">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29DF26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continue"/>
                  <w:noWrap w:val="0"/>
                  <w:vAlign w:val="center"/>
                </w:tcPr>
                <w:p w14:paraId="67E98087">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02B3F560">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029CC86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溶解性总固体/mg/L</w:t>
                  </w:r>
                </w:p>
              </w:tc>
              <w:tc>
                <w:tcPr>
                  <w:tcW w:w="1246" w:type="pct"/>
                  <w:noWrap w:val="0"/>
                  <w:vAlign w:val="center"/>
                </w:tcPr>
                <w:p w14:paraId="39E662BD">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1000</w:t>
                  </w:r>
                </w:p>
              </w:tc>
              <w:tc>
                <w:tcPr>
                  <w:tcW w:w="556" w:type="pct"/>
                  <w:vMerge w:val="continue"/>
                  <w:noWrap w:val="0"/>
                  <w:vAlign w:val="center"/>
                </w:tcPr>
                <w:p w14:paraId="1135BB66">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7CCE85D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6C1ABA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continue"/>
                  <w:noWrap w:val="0"/>
                  <w:vAlign w:val="center"/>
                </w:tcPr>
                <w:p w14:paraId="19A4D619">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44BE66B1">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6C71E7FF">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生化需氧量（BOD</w:t>
                  </w:r>
                  <w:r>
                    <w:rPr>
                      <w:rFonts w:hint="default" w:ascii="Times New Roman" w:hAnsi="Times New Roman" w:cs="Times New Roman" w:eastAsiaTheme="minorEastAsia"/>
                      <w:b w:val="0"/>
                      <w:bCs w:val="0"/>
                      <w:color w:val="auto"/>
                      <w:sz w:val="21"/>
                      <w:szCs w:val="21"/>
                      <w:highlight w:val="none"/>
                      <w:vertAlign w:val="subscript"/>
                    </w:rPr>
                    <w:t>5</w:t>
                  </w:r>
                  <w:r>
                    <w:rPr>
                      <w:rFonts w:hint="default" w:ascii="Times New Roman" w:hAnsi="Times New Roman" w:cs="Times New Roman" w:eastAsiaTheme="minorEastAsia"/>
                      <w:b w:val="0"/>
                      <w:bCs w:val="0"/>
                      <w:color w:val="auto"/>
                      <w:sz w:val="21"/>
                      <w:szCs w:val="21"/>
                      <w:highlight w:val="none"/>
                    </w:rPr>
                    <w:t>）/mg/L</w:t>
                  </w:r>
                </w:p>
              </w:tc>
              <w:tc>
                <w:tcPr>
                  <w:tcW w:w="1246" w:type="pct"/>
                  <w:noWrap w:val="0"/>
                  <w:vAlign w:val="center"/>
                </w:tcPr>
                <w:p w14:paraId="43D83833">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10</w:t>
                  </w:r>
                </w:p>
              </w:tc>
              <w:tc>
                <w:tcPr>
                  <w:tcW w:w="556" w:type="pct"/>
                  <w:vMerge w:val="continue"/>
                  <w:noWrap w:val="0"/>
                  <w:vAlign w:val="center"/>
                </w:tcPr>
                <w:p w14:paraId="1CDADB50">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31A4C0DC">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45186F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continue"/>
                  <w:noWrap w:val="0"/>
                  <w:vAlign w:val="center"/>
                </w:tcPr>
                <w:p w14:paraId="69EC4750">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288066FC">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1CD07E28">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氨氮（以N计）/mg/L</w:t>
                  </w:r>
                </w:p>
              </w:tc>
              <w:tc>
                <w:tcPr>
                  <w:tcW w:w="1246" w:type="pct"/>
                  <w:noWrap w:val="0"/>
                  <w:vAlign w:val="center"/>
                </w:tcPr>
                <w:p w14:paraId="06103350">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eastAsia" w:ascii="Times New Roman" w:hAnsi="Times New Roman" w:cs="Times New Roman" w:eastAsiaTheme="minorEastAsia"/>
                      <w:b w:val="0"/>
                      <w:bCs w:val="0"/>
                      <w:color w:val="auto"/>
                      <w:sz w:val="21"/>
                      <w:szCs w:val="21"/>
                      <w:highlight w:val="none"/>
                      <w:lang w:eastAsia="zh-CN"/>
                    </w:rPr>
                  </w:pPr>
                  <w:r>
                    <w:rPr>
                      <w:rFonts w:hint="eastAsia" w:cs="Times New Roman" w:eastAsiaTheme="minorEastAsia"/>
                      <w:b w:val="0"/>
                      <w:bCs w:val="0"/>
                      <w:color w:val="auto"/>
                      <w:sz w:val="21"/>
                      <w:szCs w:val="21"/>
                      <w:highlight w:val="none"/>
                      <w:lang w:val="en-US" w:eastAsia="zh-CN"/>
                    </w:rPr>
                    <w:t>8</w:t>
                  </w:r>
                </w:p>
              </w:tc>
              <w:tc>
                <w:tcPr>
                  <w:tcW w:w="556" w:type="pct"/>
                  <w:vMerge w:val="continue"/>
                  <w:noWrap w:val="0"/>
                  <w:vAlign w:val="center"/>
                </w:tcPr>
                <w:p w14:paraId="68BCFA7E">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70B6AAA7">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2AE2BA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continue"/>
                  <w:noWrap w:val="0"/>
                  <w:vAlign w:val="center"/>
                </w:tcPr>
                <w:p w14:paraId="61361E6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7609370F">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0D2DDB05">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铁</w:t>
                  </w:r>
                  <w:r>
                    <w:rPr>
                      <w:rFonts w:hint="default" w:ascii="Times New Roman" w:hAnsi="Times New Roman" w:cs="Times New Roman" w:eastAsiaTheme="minorEastAsia"/>
                      <w:b w:val="0"/>
                      <w:bCs w:val="0"/>
                      <w:color w:val="auto"/>
                      <w:sz w:val="21"/>
                      <w:szCs w:val="21"/>
                      <w:highlight w:val="none"/>
                    </w:rPr>
                    <w:t>/mg/L</w:t>
                  </w:r>
                </w:p>
              </w:tc>
              <w:tc>
                <w:tcPr>
                  <w:tcW w:w="1246" w:type="pct"/>
                  <w:noWrap w:val="0"/>
                  <w:vAlign w:val="center"/>
                </w:tcPr>
                <w:p w14:paraId="7392C5D8">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556" w:type="pct"/>
                  <w:vMerge w:val="continue"/>
                  <w:noWrap w:val="0"/>
                  <w:vAlign w:val="center"/>
                </w:tcPr>
                <w:p w14:paraId="654AFEC8">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47DC660D">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3D3623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continue"/>
                  <w:noWrap w:val="0"/>
                  <w:vAlign w:val="center"/>
                </w:tcPr>
                <w:p w14:paraId="7A661E17">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0853A9BE">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10523DE9">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eastAsia"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锰</w:t>
                  </w:r>
                  <w:r>
                    <w:rPr>
                      <w:rFonts w:hint="default" w:ascii="Times New Roman" w:hAnsi="Times New Roman" w:cs="Times New Roman" w:eastAsiaTheme="minorEastAsia"/>
                      <w:b w:val="0"/>
                      <w:bCs w:val="0"/>
                      <w:color w:val="auto"/>
                      <w:sz w:val="21"/>
                      <w:szCs w:val="21"/>
                      <w:highlight w:val="none"/>
                    </w:rPr>
                    <w:t>/mg/L</w:t>
                  </w:r>
                </w:p>
              </w:tc>
              <w:tc>
                <w:tcPr>
                  <w:tcW w:w="1246" w:type="pct"/>
                  <w:noWrap w:val="0"/>
                  <w:vAlign w:val="center"/>
                </w:tcPr>
                <w:p w14:paraId="194C005F">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556" w:type="pct"/>
                  <w:vMerge w:val="continue"/>
                  <w:noWrap w:val="0"/>
                  <w:vAlign w:val="center"/>
                </w:tcPr>
                <w:p w14:paraId="06D40C44">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219A8541">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503601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104" w:hRule="atLeast"/>
                <w:jc w:val="center"/>
              </w:trPr>
              <w:tc>
                <w:tcPr>
                  <w:tcW w:w="409" w:type="pct"/>
                  <w:vMerge w:val="continue"/>
                  <w:noWrap w:val="0"/>
                  <w:vAlign w:val="center"/>
                </w:tcPr>
                <w:p w14:paraId="04B2BC7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4529D6BE">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1297B52B">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阴离子表面活性剂/mg/L</w:t>
                  </w:r>
                </w:p>
              </w:tc>
              <w:tc>
                <w:tcPr>
                  <w:tcW w:w="1246" w:type="pct"/>
                  <w:noWrap w:val="0"/>
                  <w:vAlign w:val="center"/>
                </w:tcPr>
                <w:p w14:paraId="6B77B344">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0.5</w:t>
                  </w:r>
                </w:p>
              </w:tc>
              <w:tc>
                <w:tcPr>
                  <w:tcW w:w="556" w:type="pct"/>
                  <w:vMerge w:val="continue"/>
                  <w:noWrap w:val="0"/>
                  <w:vAlign w:val="center"/>
                </w:tcPr>
                <w:p w14:paraId="6428B74C">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486981C5">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069B5A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2" w:hRule="atLeast"/>
                <w:jc w:val="center"/>
              </w:trPr>
              <w:tc>
                <w:tcPr>
                  <w:tcW w:w="409" w:type="pct"/>
                  <w:vMerge w:val="continue"/>
                  <w:noWrap w:val="0"/>
                  <w:vAlign w:val="center"/>
                </w:tcPr>
                <w:p w14:paraId="3E54B43E">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6234742C">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387DE07A">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溶解氧/mg/L</w:t>
                  </w:r>
                </w:p>
              </w:tc>
              <w:tc>
                <w:tcPr>
                  <w:tcW w:w="1246" w:type="pct"/>
                  <w:noWrap w:val="0"/>
                  <w:vAlign w:val="center"/>
                </w:tcPr>
                <w:p w14:paraId="511213D6">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2</w:t>
                  </w:r>
                </w:p>
              </w:tc>
              <w:tc>
                <w:tcPr>
                  <w:tcW w:w="556" w:type="pct"/>
                  <w:vMerge w:val="continue"/>
                  <w:noWrap w:val="0"/>
                  <w:vAlign w:val="center"/>
                </w:tcPr>
                <w:p w14:paraId="38590ED9">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682A7E5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1AA770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409" w:type="pct"/>
                  <w:vMerge w:val="continue"/>
                  <w:noWrap w:val="0"/>
                  <w:vAlign w:val="center"/>
                </w:tcPr>
                <w:p w14:paraId="439F26CD">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43C8B021">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21A9D3F4">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总余氯/mg/L</w:t>
                  </w:r>
                </w:p>
              </w:tc>
              <w:tc>
                <w:tcPr>
                  <w:tcW w:w="1246" w:type="pct"/>
                  <w:noWrap w:val="0"/>
                  <w:vAlign w:val="center"/>
                </w:tcPr>
                <w:p w14:paraId="68D96796">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w:t>接触30min后≥1.0，管网末端≥0.2</w:t>
                  </w:r>
                </w:p>
              </w:tc>
              <w:tc>
                <w:tcPr>
                  <w:tcW w:w="556" w:type="pct"/>
                  <w:vMerge w:val="continue"/>
                  <w:noWrap w:val="0"/>
                  <w:vAlign w:val="center"/>
                </w:tcPr>
                <w:p w14:paraId="2EADB77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5DBC2531">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r w14:paraId="3FA9B2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jc w:val="center"/>
              </w:trPr>
              <w:tc>
                <w:tcPr>
                  <w:tcW w:w="409" w:type="pct"/>
                  <w:vMerge w:val="continue"/>
                  <w:noWrap w:val="0"/>
                  <w:vAlign w:val="center"/>
                </w:tcPr>
                <w:p w14:paraId="623B5C17">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94" w:type="pct"/>
                  <w:vMerge w:val="continue"/>
                  <w:noWrap w:val="0"/>
                  <w:vAlign w:val="center"/>
                </w:tcPr>
                <w:p w14:paraId="0F227EDB">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1634" w:type="pct"/>
                  <w:noWrap w:val="0"/>
                  <w:vAlign w:val="center"/>
                </w:tcPr>
                <w:p w14:paraId="5F2A8EB6">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both"/>
                    <w:textAlignment w:val="auto"/>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color w:val="auto"/>
                      <w:kern w:val="0"/>
                      <w:sz w:val="21"/>
                      <w:szCs w:val="21"/>
                      <w:lang w:val="en-US" w:eastAsia="zh-CN" w:bidi="ar"/>
                    </w:rPr>
                    <w:t>大肠埃希氏菌/（MPN/100ml)</w:t>
                  </w:r>
                </w:p>
              </w:tc>
              <w:tc>
                <w:tcPr>
                  <w:tcW w:w="1246" w:type="pct"/>
                  <w:noWrap w:val="0"/>
                  <w:vAlign w:val="center"/>
                </w:tcPr>
                <w:p w14:paraId="3EA56CE7">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eastAsia" w:ascii="Times New Roman" w:hAnsi="Times New Roman" w:cs="Times New Roman" w:eastAsiaTheme="minorEastAsia"/>
                      <w:b w:val="0"/>
                      <w:bCs w:val="0"/>
                      <w:color w:val="auto"/>
                      <w:sz w:val="21"/>
                      <w:szCs w:val="21"/>
                      <w:highlight w:val="none"/>
                      <w:lang w:eastAsia="zh-CN"/>
                    </w:rPr>
                  </w:pPr>
                  <w:r>
                    <w:rPr>
                      <w:rFonts w:hint="eastAsia" w:cs="Times New Roman" w:eastAsiaTheme="minorEastAsia"/>
                      <w:b w:val="0"/>
                      <w:bCs w:val="0"/>
                      <w:color w:val="auto"/>
                      <w:sz w:val="21"/>
                      <w:szCs w:val="21"/>
                      <w:highlight w:val="none"/>
                      <w:lang w:val="en-US" w:eastAsia="zh-CN"/>
                    </w:rPr>
                    <w:t>无</w:t>
                  </w:r>
                </w:p>
              </w:tc>
              <w:tc>
                <w:tcPr>
                  <w:tcW w:w="556" w:type="pct"/>
                  <w:vMerge w:val="continue"/>
                  <w:noWrap w:val="0"/>
                  <w:vAlign w:val="center"/>
                </w:tcPr>
                <w:p w14:paraId="1A0173F2">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c>
                <w:tcPr>
                  <w:tcW w:w="559" w:type="pct"/>
                  <w:vMerge w:val="continue"/>
                  <w:noWrap w:val="0"/>
                  <w:vAlign w:val="center"/>
                </w:tcPr>
                <w:p w14:paraId="07F0EA68">
                  <w:pPr>
                    <w:pStyle w:val="56"/>
                    <w:keepNext w:val="0"/>
                    <w:keepLines w:val="0"/>
                    <w:pageBreakBefore w:val="0"/>
                    <w:widowControl w:val="0"/>
                    <w:kinsoku/>
                    <w:wordWrap/>
                    <w:overflowPunct/>
                    <w:topLinePunct w:val="0"/>
                    <w:autoSpaceDE/>
                    <w:autoSpaceDN/>
                    <w:bidi w:val="0"/>
                    <w:adjustRightInd w:val="0"/>
                    <w:snapToGrid/>
                    <w:spacing w:before="0" w:after="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rPr>
                  </w:pPr>
                </w:p>
              </w:tc>
            </w:tr>
          </w:tbl>
          <w:p w14:paraId="4654B84D">
            <w:pPr>
              <w:keepNext w:val="0"/>
              <w:keepLines/>
              <w:pageBreakBefore w:val="0"/>
              <w:tabs>
                <w:tab w:val="left" w:pos="4830"/>
              </w:tabs>
              <w:kinsoku/>
              <w:overflowPunct/>
              <w:bidi w:val="0"/>
              <w:adjustRightInd/>
              <w:snapToGrid/>
              <w:spacing w:line="360" w:lineRule="auto"/>
              <w:ind w:firstLine="482" w:firstLineChars="200"/>
              <w:jc w:val="left"/>
              <w:rPr>
                <w:rFonts w:hint="default" w:cs="Times New Roman"/>
                <w:b/>
                <w:color w:val="auto"/>
                <w:sz w:val="24"/>
                <w:lang w:val="en-US" w:eastAsia="zh-CN"/>
              </w:rPr>
            </w:pPr>
            <w:r>
              <w:rPr>
                <w:rFonts w:hint="eastAsia" w:cs="Times New Roman"/>
                <w:b/>
                <w:color w:val="auto"/>
                <w:sz w:val="24"/>
                <w:lang w:val="en-US" w:eastAsia="zh-CN"/>
              </w:rPr>
              <w:t>5、</w:t>
            </w:r>
            <w:r>
              <w:rPr>
                <w:rFonts w:hint="default" w:cs="Times New Roman"/>
                <w:b/>
                <w:color w:val="auto"/>
                <w:sz w:val="24"/>
                <w:lang w:val="en-US" w:eastAsia="zh-CN"/>
              </w:rPr>
              <w:t>结论</w:t>
            </w:r>
          </w:p>
          <w:p w14:paraId="2347A39B">
            <w:pPr>
              <w:keepNext w:val="0"/>
              <w:keepLines w:val="0"/>
              <w:pageBreakBefore w:val="0"/>
              <w:widowControl w:val="0"/>
              <w:kinsoku/>
              <w:wordWrap/>
              <w:overflowPunct/>
              <w:topLinePunct w:val="0"/>
              <w:autoSpaceDE/>
              <w:autoSpaceDN/>
              <w:bidi w:val="0"/>
              <w:adjustRightInd/>
              <w:snapToGrid/>
              <w:ind w:firstLine="480"/>
              <w:textAlignment w:val="auto"/>
              <w:rPr>
                <w:rFonts w:hint="default"/>
                <w:color w:val="auto"/>
                <w:lang w:val="en-US" w:eastAsia="zh-CN"/>
              </w:rPr>
            </w:pPr>
            <w:r>
              <w:rPr>
                <w:rFonts w:hint="default" w:ascii="Times New Roman" w:hAnsi="Times New Roman" w:eastAsia="宋体" w:cs="Times New Roman"/>
                <w:color w:val="auto"/>
                <w:kern w:val="0"/>
                <w:sz w:val="24"/>
                <w:szCs w:val="24"/>
                <w:lang w:val="en-US" w:eastAsia="zh-CN" w:bidi="ar-SA"/>
              </w:rPr>
              <w:t>本项目位于</w:t>
            </w:r>
            <w:r>
              <w:rPr>
                <w:rFonts w:hint="eastAsia" w:cs="Times New Roman"/>
                <w:color w:val="auto"/>
                <w:lang w:eastAsia="zh-CN"/>
              </w:rPr>
              <w:t>红塔区北城街道刺桐关社区一组岔箐脑</w:t>
            </w:r>
            <w:r>
              <w:rPr>
                <w:rFonts w:hint="default" w:ascii="Times New Roman" w:hAnsi="Times New Roman" w:eastAsia="宋体" w:cs="Times New Roman"/>
                <w:color w:val="auto"/>
                <w:kern w:val="0"/>
                <w:sz w:val="24"/>
                <w:szCs w:val="24"/>
                <w:lang w:val="en-US" w:eastAsia="zh-CN" w:bidi="ar-SA"/>
              </w:rPr>
              <w:t>，项目附近主要的地表水体为</w:t>
            </w:r>
            <w:r>
              <w:rPr>
                <w:rFonts w:hint="default" w:ascii="Times New Roman" w:hAnsi="Times New Roman" w:eastAsia="宋体" w:cs="Times New Roman"/>
                <w:color w:val="auto"/>
                <w:lang w:val="zh-CN" w:eastAsia="zh-CN"/>
              </w:rPr>
              <w:t>东南侧</w:t>
            </w:r>
            <w:r>
              <w:rPr>
                <w:rFonts w:hint="eastAsia" w:cs="Times New Roman"/>
                <w:color w:val="auto"/>
                <w:lang w:val="zh-CN" w:eastAsia="zh-CN"/>
              </w:rPr>
              <w:t>108</w:t>
            </w:r>
            <w:r>
              <w:rPr>
                <w:rFonts w:hint="default" w:ascii="Times New Roman" w:hAnsi="Times New Roman" w:eastAsia="宋体" w:cs="Times New Roman"/>
                <w:color w:val="auto"/>
                <w:lang w:val="zh-CN" w:eastAsia="zh-CN"/>
              </w:rPr>
              <w:t>m处的后河，后河</w:t>
            </w:r>
            <w:r>
              <w:rPr>
                <w:rFonts w:hint="default" w:ascii="Times New Roman" w:hAnsi="Times New Roman" w:cs="Times New Roman"/>
                <w:color w:val="auto"/>
                <w:lang w:val="en-US" w:eastAsia="zh-CN"/>
              </w:rPr>
              <w:t>汇入西河，最终</w:t>
            </w:r>
            <w:r>
              <w:rPr>
                <w:rFonts w:hint="default" w:ascii="Times New Roman" w:hAnsi="Times New Roman" w:eastAsia="宋体" w:cs="Times New Roman"/>
                <w:color w:val="auto"/>
                <w:lang w:val="zh-CN" w:eastAsia="zh-CN"/>
              </w:rPr>
              <w:t>汇入玉溪大河，</w:t>
            </w:r>
            <w:r>
              <w:rPr>
                <w:rFonts w:hint="default" w:ascii="Times New Roman" w:hAnsi="Times New Roman" w:eastAsia="宋体" w:cs="Times New Roman"/>
                <w:color w:val="auto"/>
                <w:lang w:val="en-US" w:eastAsia="zh-CN"/>
              </w:rPr>
              <w:t>水质类别执行</w:t>
            </w:r>
            <w:r>
              <w:rPr>
                <w:rFonts w:hint="default" w:ascii="Times New Roman" w:hAnsi="Times New Roman" w:eastAsia="宋体" w:cs="Times New Roman"/>
                <w:color w:val="auto"/>
                <w:lang w:val="zh-CN" w:eastAsia="zh-CN"/>
              </w:rPr>
              <w:t>Ⅲ</w:t>
            </w:r>
            <w:r>
              <w:rPr>
                <w:rFonts w:hint="default" w:ascii="Times New Roman" w:hAnsi="Times New Roman" w:eastAsia="宋体" w:cs="Times New Roman"/>
                <w:color w:val="auto"/>
                <w:lang w:val="en-US" w:eastAsia="zh-CN"/>
              </w:rPr>
              <w:t>类水质标准。</w:t>
            </w:r>
            <w:r>
              <w:rPr>
                <w:rFonts w:hint="default" w:ascii="Times New Roman" w:hAnsi="Times New Roman" w:eastAsia="宋体" w:cs="Times New Roman"/>
                <w:color w:val="auto"/>
                <w:lang w:val="zh-CN" w:eastAsia="zh-CN"/>
              </w:rPr>
              <w:t>玉溪大河红塔区段有一例行监测断面，位于项目径流区下游的矣读可（</w:t>
            </w:r>
            <w:r>
              <w:rPr>
                <w:rFonts w:hint="default" w:ascii="Times New Roman" w:hAnsi="Times New Roman" w:eastAsia="宋体" w:cs="Times New Roman"/>
                <w:color w:val="auto"/>
                <w:lang w:val="en-US" w:eastAsia="zh-CN"/>
              </w:rPr>
              <w:t>省控断面</w:t>
            </w:r>
            <w:r>
              <w:rPr>
                <w:rFonts w:hint="default" w:ascii="Times New Roman" w:hAnsi="Times New Roman" w:eastAsia="宋体" w:cs="Times New Roman"/>
                <w:color w:val="auto"/>
                <w:lang w:val="zh-CN" w:eastAsia="zh-CN"/>
              </w:rPr>
              <w:t>），</w:t>
            </w:r>
            <w:r>
              <w:rPr>
                <w:rFonts w:hint="default" w:ascii="Times New Roman" w:hAnsi="Times New Roman" w:eastAsia="宋体" w:cs="Times New Roman"/>
                <w:color w:val="auto"/>
                <w:lang w:val="en-US" w:eastAsia="zh-CN"/>
              </w:rPr>
              <w:t>根据</w:t>
            </w:r>
            <w:r>
              <w:rPr>
                <w:rFonts w:hint="default" w:ascii="Times New Roman" w:hAnsi="Times New Roman" w:eastAsia="宋体" w:cs="Times New Roman"/>
                <w:color w:val="auto"/>
                <w:lang w:val="zh-CN" w:eastAsia="zh-CN"/>
              </w:rPr>
              <w:t>玉溪市生态环境局202</w:t>
            </w:r>
            <w:r>
              <w:rPr>
                <w:rFonts w:hint="eastAsia" w:cs="Times New Roman"/>
                <w:color w:val="auto"/>
                <w:lang w:val="en-US" w:eastAsia="zh-CN"/>
              </w:rPr>
              <w:t>5</w:t>
            </w:r>
            <w:r>
              <w:rPr>
                <w:rFonts w:hint="default" w:ascii="Times New Roman" w:hAnsi="Times New Roman" w:eastAsia="宋体" w:cs="Times New Roman"/>
                <w:color w:val="auto"/>
                <w:lang w:val="zh-CN" w:eastAsia="zh-CN"/>
              </w:rPr>
              <w:t>年6月5日发布的《202</w:t>
            </w:r>
            <w:r>
              <w:rPr>
                <w:rFonts w:hint="eastAsia" w:cs="Times New Roman"/>
                <w:color w:val="auto"/>
                <w:lang w:val="en-US" w:eastAsia="zh-CN"/>
              </w:rPr>
              <w:t>4</w:t>
            </w:r>
            <w:r>
              <w:rPr>
                <w:rFonts w:hint="default" w:ascii="Times New Roman" w:hAnsi="Times New Roman" w:eastAsia="宋体" w:cs="Times New Roman"/>
                <w:color w:val="auto"/>
                <w:lang w:val="zh-CN" w:eastAsia="zh-CN"/>
              </w:rPr>
              <w:t>年玉溪市环境状况公报》，玉溪大河矣读可断面水质类别为Ⅳ类，不能满足《地表水环境质量标准》（GB3838-2002）中的III类标准，</w:t>
            </w:r>
            <w:r>
              <w:rPr>
                <w:rFonts w:hint="default" w:ascii="Times New Roman" w:hAnsi="Times New Roman" w:eastAsia="宋体" w:cs="Times New Roman"/>
                <w:color w:val="auto"/>
                <w:lang w:val="en-US" w:eastAsia="zh-CN"/>
              </w:rPr>
              <w:t>故项目所在区域地表水水体为不达标区，不达标原因主要为周边农业的影响</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kern w:val="0"/>
                <w:sz w:val="24"/>
                <w:szCs w:val="24"/>
                <w:lang w:val="en-US" w:eastAsia="zh-CN" w:bidi="ar-SA"/>
              </w:rPr>
              <w:t>本项目生产废水</w:t>
            </w:r>
            <w:r>
              <w:rPr>
                <w:rFonts w:hint="eastAsia" w:cs="Times New Roman"/>
                <w:color w:val="auto"/>
                <w:kern w:val="0"/>
                <w:sz w:val="24"/>
                <w:szCs w:val="24"/>
                <w:lang w:val="en-US" w:eastAsia="zh-CN" w:bidi="ar-SA"/>
              </w:rPr>
              <w:t>（生物质蒸汽发生器排污水、软水制备废水）经收集后回用于厂区洒水降尘，不外排，</w:t>
            </w:r>
            <w:r>
              <w:rPr>
                <w:rFonts w:hint="default" w:ascii="Times New Roman" w:hAnsi="Times New Roman" w:cs="Times New Roman" w:eastAsiaTheme="minorEastAsia"/>
                <w:color w:val="auto"/>
                <w:sz w:val="24"/>
                <w:szCs w:val="24"/>
              </w:rPr>
              <w:t>食堂废水经油水分离器隔油后与其</w:t>
            </w:r>
            <w:r>
              <w:rPr>
                <w:rFonts w:hint="default" w:ascii="Times New Roman" w:hAnsi="Times New Roman" w:cs="Times New Roman" w:eastAsiaTheme="minorEastAsia"/>
                <w:color w:val="auto"/>
                <w:sz w:val="24"/>
                <w:szCs w:val="24"/>
                <w:lang w:val="en-US" w:eastAsia="zh-CN"/>
              </w:rPr>
              <w:t>它</w:t>
            </w:r>
            <w:r>
              <w:rPr>
                <w:rFonts w:hint="default" w:ascii="Times New Roman" w:hAnsi="Times New Roman" w:cs="Times New Roman" w:eastAsiaTheme="minorEastAsia"/>
                <w:color w:val="auto"/>
                <w:sz w:val="24"/>
                <w:szCs w:val="24"/>
              </w:rPr>
              <w:t>生活污水一起进入化粪池</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经化粪池（</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）预处理后，</w:t>
            </w:r>
            <w:r>
              <w:rPr>
                <w:rFonts w:hint="eastAsia" w:cs="Times New Roman" w:eastAsiaTheme="minorEastAsia"/>
                <w:color w:val="auto"/>
                <w:sz w:val="24"/>
                <w:szCs w:val="24"/>
                <w:lang w:val="en-US" w:eastAsia="zh-CN"/>
              </w:rPr>
              <w:t>通过泵输送至项目新建的2m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/d的一体化污水处理设施，经处</w:t>
            </w:r>
            <w:r>
              <w:rPr>
                <w:rFonts w:hint="eastAsia" w:ascii="Times New Roman" w:hAnsi="Times New Roman" w:eastAsia="宋体" w:cs="Times New Roman"/>
                <w:color w:val="auto"/>
                <w:kern w:val="0"/>
                <w:sz w:val="24"/>
                <w:szCs w:val="24"/>
                <w:lang w:val="en-US" w:eastAsia="zh-CN" w:bidi="ar-SA"/>
              </w:rPr>
              <w:t>理达标后，回用于厂区绿化或道路清扫，不外排晴天回用于厂区绿化或道路清扫，不外排，雨天暂存于中水池，待晴天后，回用于厂区绿化或道路清扫，不外排</w:t>
            </w:r>
            <w:r>
              <w:rPr>
                <w:rFonts w:hint="default" w:ascii="Times New Roman" w:hAnsi="Times New Roman" w:eastAsia="宋体" w:cs="Times New Roman"/>
                <w:color w:val="auto"/>
                <w:kern w:val="0"/>
                <w:sz w:val="24"/>
                <w:szCs w:val="24"/>
                <w:lang w:val="en-US" w:eastAsia="zh-CN" w:bidi="ar-SA"/>
              </w:rPr>
              <w:t>，因此，本项目的建设不会对地表水产生不利影响</w:t>
            </w:r>
            <w:r>
              <w:rPr>
                <w:rFonts w:hint="eastAsia"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对周边的水环境影响不大</w:t>
            </w:r>
            <w:r>
              <w:rPr>
                <w:rFonts w:hint="eastAsia" w:ascii="Times New Roman" w:hAnsi="Times New Roman" w:eastAsia="宋体" w:cs="Times New Roman"/>
                <w:color w:val="auto"/>
                <w:kern w:val="0"/>
                <w:sz w:val="24"/>
                <w:szCs w:val="24"/>
                <w:lang w:val="en-US" w:eastAsia="zh-CN" w:bidi="ar-SA"/>
              </w:rPr>
              <w:t>。</w:t>
            </w:r>
          </w:p>
          <w:p w14:paraId="1C137D48">
            <w:pPr>
              <w:pStyle w:val="19"/>
              <w:keepNext w:val="0"/>
              <w:keepLines/>
              <w:pageBreakBefore w:val="0"/>
              <w:kinsoku/>
              <w:overflowPunct/>
              <w:bidi w:val="0"/>
              <w:adjustRightInd/>
              <w:spacing w:line="360" w:lineRule="auto"/>
              <w:ind w:left="0" w:leftChars="0" w:firstLine="0" w:firstLineChars="0"/>
              <w:jc w:val="left"/>
              <w:rPr>
                <w:rFonts w:hint="default" w:ascii="Times New Roman" w:hAnsi="Times New Roman" w:cs="Times New Roman"/>
                <w:b/>
                <w:bCs/>
                <w:color w:val="auto"/>
                <w:sz w:val="24"/>
              </w:rPr>
            </w:pPr>
            <w:r>
              <w:rPr>
                <w:rFonts w:hint="eastAsia" w:cs="Times New Roman"/>
                <w:b/>
                <w:bCs/>
                <w:color w:val="auto"/>
                <w:sz w:val="24"/>
                <w:lang w:val="en-US" w:eastAsia="zh-CN"/>
              </w:rPr>
              <w:t>三、</w:t>
            </w:r>
            <w:r>
              <w:rPr>
                <w:rFonts w:hint="default" w:ascii="Times New Roman" w:hAnsi="Times New Roman" w:cs="Times New Roman"/>
                <w:b/>
                <w:bCs/>
                <w:color w:val="auto"/>
                <w:sz w:val="24"/>
              </w:rPr>
              <w:t>声环境影响和保护措施</w:t>
            </w:r>
          </w:p>
          <w:p w14:paraId="542EBC6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1、噪声源分析</w:t>
            </w:r>
          </w:p>
          <w:p w14:paraId="24D59C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bidi="ar-SA"/>
              </w:rPr>
            </w:pPr>
            <w:bookmarkStart w:id="25" w:name="_Toc385439108"/>
            <w:bookmarkStart w:id="26" w:name="_Toc385437799"/>
            <w:bookmarkStart w:id="27" w:name="_Toc385439524"/>
            <w:r>
              <w:rPr>
                <w:rFonts w:hint="default" w:ascii="Times New Roman" w:hAnsi="Times New Roman" w:eastAsia="宋体" w:cs="Times New Roman"/>
                <w:color w:val="auto"/>
                <w:kern w:val="0"/>
                <w:sz w:val="24"/>
                <w:szCs w:val="24"/>
                <w:lang w:val="en-US" w:eastAsia="zh-CN" w:bidi="ar-SA"/>
              </w:rPr>
              <w:t>本次改建后，项目营运期噪声主要来源于加工等噪声设备运转过程中产生的，噪声源强类比同类型生产项目，噪声源强见下表。</w:t>
            </w:r>
          </w:p>
          <w:p w14:paraId="0658F4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rPr>
              <w:t>表4-</w:t>
            </w:r>
            <w:r>
              <w:rPr>
                <w:rFonts w:hint="eastAsia" w:cs="Times New Roman"/>
                <w:b/>
                <w:bCs/>
                <w:color w:val="auto"/>
                <w:sz w:val="24"/>
                <w:szCs w:val="24"/>
                <w:lang w:val="en-US" w:eastAsia="zh-CN"/>
              </w:rPr>
              <w:t>15</w:t>
            </w:r>
            <w:r>
              <w:rPr>
                <w:rFonts w:hint="default" w:ascii="Times New Roman" w:hAnsi="Times New Roman" w:eastAsia="宋体" w:cs="Times New Roman"/>
                <w:b/>
                <w:bCs/>
                <w:color w:val="auto"/>
                <w:sz w:val="24"/>
                <w:szCs w:val="24"/>
              </w:rPr>
              <w:t xml:space="preserve">  项目运营期各生产设备源强</w:t>
            </w:r>
            <w:r>
              <w:rPr>
                <w:rFonts w:hint="eastAsia" w:ascii="Times New Roman" w:hAnsi="Times New Roman" w:eastAsia="宋体" w:cs="Times New Roman"/>
                <w:b/>
                <w:bCs/>
                <w:color w:val="auto"/>
                <w:sz w:val="24"/>
                <w:szCs w:val="24"/>
                <w:lang w:val="en-US" w:eastAsia="zh-CN"/>
              </w:rPr>
              <w:t>一览表</w:t>
            </w:r>
          </w:p>
          <w:tbl>
            <w:tblPr>
              <w:tblStyle w:val="33"/>
              <w:tblW w:w="7857"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45"/>
              <w:gridCol w:w="1583"/>
              <w:gridCol w:w="765"/>
              <w:gridCol w:w="525"/>
              <w:gridCol w:w="701"/>
              <w:gridCol w:w="1080"/>
              <w:gridCol w:w="1875"/>
              <w:gridCol w:w="783"/>
            </w:tblGrid>
            <w:tr w14:paraId="5E57C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346" w:type="pct"/>
                  <w:vMerge w:val="restart"/>
                  <w:noWrap w:val="0"/>
                  <w:vAlign w:val="center"/>
                </w:tcPr>
                <w:p w14:paraId="40ECAF6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工序</w:t>
                  </w:r>
                </w:p>
              </w:tc>
              <w:tc>
                <w:tcPr>
                  <w:tcW w:w="1007" w:type="pct"/>
                  <w:vMerge w:val="restart"/>
                  <w:noWrap w:val="0"/>
                  <w:vAlign w:val="center"/>
                </w:tcPr>
                <w:p w14:paraId="41F33B3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噪声源</w:t>
                  </w:r>
                </w:p>
              </w:tc>
              <w:tc>
                <w:tcPr>
                  <w:tcW w:w="486" w:type="pct"/>
                  <w:vMerge w:val="restart"/>
                  <w:noWrap w:val="0"/>
                  <w:vAlign w:val="center"/>
                </w:tcPr>
                <w:p w14:paraId="0ADF559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数量（台）</w:t>
                  </w:r>
                </w:p>
              </w:tc>
              <w:tc>
                <w:tcPr>
                  <w:tcW w:w="334" w:type="pct"/>
                  <w:vMerge w:val="restart"/>
                  <w:noWrap w:val="0"/>
                  <w:vAlign w:val="center"/>
                </w:tcPr>
                <w:p w14:paraId="0BB179C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声源位置</w:t>
                  </w:r>
                </w:p>
              </w:tc>
              <w:tc>
                <w:tcPr>
                  <w:tcW w:w="446" w:type="pct"/>
                  <w:vMerge w:val="restart"/>
                  <w:noWrap w:val="0"/>
                  <w:vAlign w:val="center"/>
                </w:tcPr>
                <w:p w14:paraId="543D790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声源类型</w:t>
                  </w:r>
                </w:p>
              </w:tc>
              <w:tc>
                <w:tcPr>
                  <w:tcW w:w="687" w:type="pct"/>
                  <w:noWrap w:val="0"/>
                  <w:vAlign w:val="center"/>
                </w:tcPr>
                <w:p w14:paraId="075DC61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声源源强</w:t>
                  </w:r>
                </w:p>
              </w:tc>
              <w:tc>
                <w:tcPr>
                  <w:tcW w:w="1193" w:type="pct"/>
                  <w:vMerge w:val="restart"/>
                  <w:noWrap w:val="0"/>
                  <w:vAlign w:val="center"/>
                </w:tcPr>
                <w:p w14:paraId="54FE6BC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源强数据来源</w:t>
                  </w:r>
                </w:p>
              </w:tc>
              <w:tc>
                <w:tcPr>
                  <w:tcW w:w="498" w:type="pct"/>
                  <w:vMerge w:val="restart"/>
                  <w:noWrap w:val="0"/>
                  <w:vAlign w:val="center"/>
                </w:tcPr>
                <w:p w14:paraId="326DC21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运行时间/h</w:t>
                  </w:r>
                </w:p>
              </w:tc>
            </w:tr>
            <w:tr w14:paraId="1532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346" w:type="pct"/>
                  <w:vMerge w:val="continue"/>
                  <w:noWrap w:val="0"/>
                  <w:vAlign w:val="center"/>
                </w:tcPr>
                <w:p w14:paraId="6F2A791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1007" w:type="pct"/>
                  <w:vMerge w:val="continue"/>
                  <w:noWrap w:val="0"/>
                  <w:vAlign w:val="center"/>
                </w:tcPr>
                <w:p w14:paraId="4402B17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86" w:type="pct"/>
                  <w:vMerge w:val="continue"/>
                  <w:noWrap w:val="0"/>
                  <w:vAlign w:val="center"/>
                </w:tcPr>
                <w:p w14:paraId="25CBE0E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334" w:type="pct"/>
                  <w:vMerge w:val="continue"/>
                  <w:noWrap w:val="0"/>
                  <w:vAlign w:val="center"/>
                </w:tcPr>
                <w:p w14:paraId="48D48676">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46" w:type="pct"/>
                  <w:vMerge w:val="continue"/>
                  <w:noWrap w:val="0"/>
                  <w:vAlign w:val="center"/>
                </w:tcPr>
                <w:p w14:paraId="728C636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687" w:type="pct"/>
                  <w:noWrap w:val="0"/>
                  <w:vAlign w:val="center"/>
                </w:tcPr>
                <w:p w14:paraId="087B41E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r>
                    <w:rPr>
                      <w:rFonts w:hint="default" w:ascii="Times New Roman" w:hAnsi="Times New Roman" w:cs="Times New Roman" w:eastAsiaTheme="minorEastAsia"/>
                      <w:b/>
                      <w:bCs w:val="0"/>
                      <w:color w:val="auto"/>
                      <w:kern w:val="2"/>
                      <w:sz w:val="21"/>
                      <w:szCs w:val="21"/>
                      <w:lang w:val="en-US" w:eastAsia="zh-CN"/>
                    </w:rPr>
                    <w:t>声功率级/(dB(A))</w:t>
                  </w:r>
                </w:p>
              </w:tc>
              <w:tc>
                <w:tcPr>
                  <w:tcW w:w="1193" w:type="pct"/>
                  <w:vMerge w:val="continue"/>
                  <w:noWrap w:val="0"/>
                  <w:vAlign w:val="center"/>
                </w:tcPr>
                <w:p w14:paraId="353D044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bCs w:val="0"/>
                      <w:color w:val="auto"/>
                      <w:kern w:val="2"/>
                      <w:sz w:val="21"/>
                      <w:szCs w:val="21"/>
                      <w:lang w:val="en-US" w:eastAsia="zh-CN"/>
                    </w:rPr>
                  </w:pPr>
                </w:p>
              </w:tc>
              <w:tc>
                <w:tcPr>
                  <w:tcW w:w="498" w:type="pct"/>
                  <w:vMerge w:val="continue"/>
                  <w:noWrap w:val="0"/>
                  <w:vAlign w:val="center"/>
                </w:tcPr>
                <w:p w14:paraId="3F3CB3A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r>
            <w:tr w14:paraId="440C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6" w:type="pct"/>
                  <w:vMerge w:val="restart"/>
                  <w:noWrap w:val="0"/>
                  <w:vAlign w:val="center"/>
                </w:tcPr>
                <w:p w14:paraId="6133019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生产厂房</w:t>
                  </w:r>
                </w:p>
              </w:tc>
              <w:tc>
                <w:tcPr>
                  <w:tcW w:w="1007" w:type="pct"/>
                  <w:shd w:val="clear" w:color="auto" w:fill="auto"/>
                  <w:noWrap w:val="0"/>
                  <w:vAlign w:val="center"/>
                </w:tcPr>
                <w:p w14:paraId="75A0FC77">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间歇式预发泡机</w:t>
                  </w:r>
                </w:p>
              </w:tc>
              <w:tc>
                <w:tcPr>
                  <w:tcW w:w="486" w:type="pct"/>
                  <w:noWrap w:val="0"/>
                  <w:vAlign w:val="center"/>
                </w:tcPr>
                <w:p w14:paraId="687D00F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eastAsia" w:cs="Times New Roman" w:eastAsiaTheme="minorEastAsia"/>
                      <w:b w:val="0"/>
                      <w:bCs/>
                      <w:color w:val="auto"/>
                      <w:kern w:val="2"/>
                      <w:sz w:val="21"/>
                      <w:szCs w:val="21"/>
                      <w:lang w:val="en-US" w:eastAsia="zh-CN"/>
                    </w:rPr>
                    <w:t>2</w:t>
                  </w:r>
                </w:p>
              </w:tc>
              <w:tc>
                <w:tcPr>
                  <w:tcW w:w="334" w:type="pct"/>
                  <w:vMerge w:val="restart"/>
                  <w:noWrap w:val="0"/>
                  <w:vAlign w:val="center"/>
                </w:tcPr>
                <w:p w14:paraId="563771C2">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室内（生产车间内）</w:t>
                  </w:r>
                </w:p>
              </w:tc>
              <w:tc>
                <w:tcPr>
                  <w:tcW w:w="446" w:type="pct"/>
                  <w:noWrap w:val="0"/>
                  <w:vAlign w:val="center"/>
                </w:tcPr>
                <w:p w14:paraId="6E71395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频发</w:t>
                  </w:r>
                </w:p>
              </w:tc>
              <w:tc>
                <w:tcPr>
                  <w:tcW w:w="687" w:type="pct"/>
                  <w:noWrap w:val="0"/>
                  <w:vAlign w:val="center"/>
                </w:tcPr>
                <w:p w14:paraId="24B672C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85</w:t>
                  </w:r>
                </w:p>
              </w:tc>
              <w:tc>
                <w:tcPr>
                  <w:tcW w:w="1193" w:type="pct"/>
                  <w:vMerge w:val="restart"/>
                  <w:noWrap w:val="0"/>
                  <w:vAlign w:val="center"/>
                </w:tcPr>
                <w:p w14:paraId="7765166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参考《污染源源强核算技术指南》各行业技术指南附录中相关设备声源源强资料</w:t>
                  </w:r>
                  <w:r>
                    <w:rPr>
                      <w:rFonts w:hint="eastAsia" w:cs="Times New Roman" w:eastAsiaTheme="minorEastAsia"/>
                      <w:b w:val="0"/>
                      <w:bCs/>
                      <w:color w:val="auto"/>
                      <w:kern w:val="2"/>
                      <w:sz w:val="21"/>
                      <w:szCs w:val="21"/>
                      <w:lang w:val="en-US" w:eastAsia="zh-CN"/>
                    </w:rPr>
                    <w:t>及环境噪声与振动控制工程技术导则（HJ2034-2013）</w:t>
                  </w:r>
                </w:p>
              </w:tc>
              <w:tc>
                <w:tcPr>
                  <w:tcW w:w="498" w:type="pct"/>
                  <w:noWrap w:val="0"/>
                  <w:vAlign w:val="center"/>
                </w:tcPr>
                <w:p w14:paraId="1D9C062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2400</w:t>
                  </w:r>
                </w:p>
              </w:tc>
            </w:tr>
            <w:tr w14:paraId="10ABC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 w:hRule="atLeast"/>
              </w:trPr>
              <w:tc>
                <w:tcPr>
                  <w:tcW w:w="346" w:type="pct"/>
                  <w:vMerge w:val="continue"/>
                  <w:noWrap w:val="0"/>
                  <w:vAlign w:val="center"/>
                </w:tcPr>
                <w:p w14:paraId="0C75F23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1007" w:type="pct"/>
                  <w:shd w:val="clear" w:color="auto" w:fill="auto"/>
                  <w:noWrap w:val="0"/>
                  <w:vAlign w:val="center"/>
                </w:tcPr>
                <w:p w14:paraId="44AE5CEA">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空气压缩机</w:t>
                  </w:r>
                </w:p>
              </w:tc>
              <w:tc>
                <w:tcPr>
                  <w:tcW w:w="486" w:type="pct"/>
                  <w:noWrap w:val="0"/>
                  <w:vAlign w:val="center"/>
                </w:tcPr>
                <w:p w14:paraId="52EEB26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1</w:t>
                  </w:r>
                </w:p>
              </w:tc>
              <w:tc>
                <w:tcPr>
                  <w:tcW w:w="334" w:type="pct"/>
                  <w:vMerge w:val="continue"/>
                  <w:noWrap w:val="0"/>
                  <w:vAlign w:val="center"/>
                </w:tcPr>
                <w:p w14:paraId="3DA53C7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46" w:type="pct"/>
                  <w:noWrap w:val="0"/>
                  <w:vAlign w:val="center"/>
                </w:tcPr>
                <w:p w14:paraId="022726B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频发</w:t>
                  </w:r>
                </w:p>
              </w:tc>
              <w:tc>
                <w:tcPr>
                  <w:tcW w:w="687" w:type="pct"/>
                  <w:noWrap w:val="0"/>
                  <w:vAlign w:val="center"/>
                </w:tcPr>
                <w:p w14:paraId="650A6280">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eastAsia" w:cs="Times New Roman" w:eastAsiaTheme="minorEastAsia"/>
                      <w:b w:val="0"/>
                      <w:bCs/>
                      <w:color w:val="auto"/>
                      <w:kern w:val="2"/>
                      <w:sz w:val="21"/>
                      <w:szCs w:val="21"/>
                      <w:lang w:val="en-US" w:eastAsia="zh-CN"/>
                    </w:rPr>
                    <w:t>100</w:t>
                  </w:r>
                </w:p>
              </w:tc>
              <w:tc>
                <w:tcPr>
                  <w:tcW w:w="1193" w:type="pct"/>
                  <w:vMerge w:val="continue"/>
                  <w:noWrap w:val="0"/>
                  <w:vAlign w:val="center"/>
                </w:tcPr>
                <w:p w14:paraId="48EA01B8">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98" w:type="pct"/>
                  <w:noWrap w:val="0"/>
                  <w:vAlign w:val="center"/>
                </w:tcPr>
                <w:p w14:paraId="102EBFD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2400</w:t>
                  </w:r>
                </w:p>
              </w:tc>
            </w:tr>
            <w:tr w14:paraId="57E6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6" w:type="pct"/>
                  <w:vMerge w:val="continue"/>
                  <w:noWrap w:val="0"/>
                  <w:vAlign w:val="center"/>
                </w:tcPr>
                <w:p w14:paraId="33611C1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1007" w:type="pct"/>
                  <w:shd w:val="clear" w:color="auto" w:fill="auto"/>
                  <w:noWrap w:val="0"/>
                  <w:vAlign w:val="center"/>
                </w:tcPr>
                <w:p w14:paraId="7986BE30">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风机</w:t>
                  </w:r>
                </w:p>
              </w:tc>
              <w:tc>
                <w:tcPr>
                  <w:tcW w:w="486" w:type="pct"/>
                  <w:noWrap w:val="0"/>
                  <w:vAlign w:val="center"/>
                </w:tcPr>
                <w:p w14:paraId="7D07B3C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2</w:t>
                  </w:r>
                </w:p>
              </w:tc>
              <w:tc>
                <w:tcPr>
                  <w:tcW w:w="334" w:type="pct"/>
                  <w:vMerge w:val="continue"/>
                  <w:noWrap w:val="0"/>
                  <w:vAlign w:val="center"/>
                </w:tcPr>
                <w:p w14:paraId="7B4436D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46" w:type="pct"/>
                  <w:noWrap w:val="0"/>
                  <w:vAlign w:val="center"/>
                </w:tcPr>
                <w:p w14:paraId="2A4E577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频发</w:t>
                  </w:r>
                </w:p>
              </w:tc>
              <w:tc>
                <w:tcPr>
                  <w:tcW w:w="687" w:type="pct"/>
                  <w:noWrap w:val="0"/>
                  <w:vAlign w:val="center"/>
                </w:tcPr>
                <w:p w14:paraId="7F2767F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90</w:t>
                  </w:r>
                </w:p>
              </w:tc>
              <w:tc>
                <w:tcPr>
                  <w:tcW w:w="1193" w:type="pct"/>
                  <w:vMerge w:val="continue"/>
                  <w:noWrap w:val="0"/>
                  <w:vAlign w:val="center"/>
                </w:tcPr>
                <w:p w14:paraId="790377A3">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98" w:type="pct"/>
                  <w:noWrap w:val="0"/>
                  <w:vAlign w:val="center"/>
                </w:tcPr>
                <w:p w14:paraId="5F8185F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2400</w:t>
                  </w:r>
                </w:p>
              </w:tc>
            </w:tr>
            <w:tr w14:paraId="58A4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46" w:type="pct"/>
                  <w:vMerge w:val="continue"/>
                  <w:noWrap w:val="0"/>
                  <w:vAlign w:val="center"/>
                </w:tcPr>
                <w:p w14:paraId="0FE1305A">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1007" w:type="pct"/>
                  <w:shd w:val="clear" w:color="auto" w:fill="auto"/>
                  <w:noWrap w:val="0"/>
                  <w:vAlign w:val="center"/>
                </w:tcPr>
                <w:p w14:paraId="37D329D2">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color w:val="auto"/>
                      <w:sz w:val="21"/>
                      <w:szCs w:val="21"/>
                      <w:lang w:val="en-US" w:eastAsia="zh-CN"/>
                    </w:rPr>
                  </w:pPr>
                  <w:r>
                    <w:rPr>
                      <w:rFonts w:hint="eastAsia" w:cs="Times New Roman" w:eastAsiaTheme="minorEastAsia"/>
                      <w:b w:val="0"/>
                      <w:bCs/>
                      <w:color w:val="auto"/>
                      <w:sz w:val="21"/>
                      <w:szCs w:val="21"/>
                      <w:lang w:val="en-US" w:eastAsia="zh-CN"/>
                    </w:rPr>
                    <w:t>一体化污水处理设施</w:t>
                  </w:r>
                </w:p>
              </w:tc>
              <w:tc>
                <w:tcPr>
                  <w:tcW w:w="486" w:type="pct"/>
                  <w:noWrap w:val="0"/>
                  <w:vAlign w:val="center"/>
                </w:tcPr>
                <w:p w14:paraId="674B0C4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eastAsia" w:cs="Times New Roman" w:eastAsiaTheme="minorEastAsia"/>
                      <w:b w:val="0"/>
                      <w:bCs/>
                      <w:color w:val="auto"/>
                      <w:kern w:val="2"/>
                      <w:sz w:val="21"/>
                      <w:szCs w:val="21"/>
                      <w:lang w:val="en-US" w:eastAsia="zh-CN"/>
                    </w:rPr>
                    <w:t>1</w:t>
                  </w:r>
                </w:p>
              </w:tc>
              <w:tc>
                <w:tcPr>
                  <w:tcW w:w="334" w:type="pct"/>
                  <w:vMerge w:val="continue"/>
                  <w:noWrap w:val="0"/>
                  <w:vAlign w:val="center"/>
                </w:tcPr>
                <w:p w14:paraId="1F44EB1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46" w:type="pct"/>
                  <w:noWrap w:val="0"/>
                  <w:vAlign w:val="center"/>
                </w:tcPr>
                <w:p w14:paraId="7D9E804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频发</w:t>
                  </w:r>
                </w:p>
              </w:tc>
              <w:tc>
                <w:tcPr>
                  <w:tcW w:w="687" w:type="pct"/>
                  <w:noWrap w:val="0"/>
                  <w:vAlign w:val="center"/>
                </w:tcPr>
                <w:p w14:paraId="6113CCD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eastAsia" w:cs="Times New Roman" w:eastAsiaTheme="minorEastAsia"/>
                      <w:b w:val="0"/>
                      <w:bCs/>
                      <w:color w:val="auto"/>
                      <w:kern w:val="2"/>
                      <w:sz w:val="21"/>
                      <w:szCs w:val="21"/>
                      <w:lang w:val="en-US" w:eastAsia="zh-CN"/>
                    </w:rPr>
                    <w:t>80</w:t>
                  </w:r>
                </w:p>
              </w:tc>
              <w:tc>
                <w:tcPr>
                  <w:tcW w:w="1193" w:type="pct"/>
                  <w:vMerge w:val="continue"/>
                  <w:noWrap w:val="0"/>
                  <w:vAlign w:val="center"/>
                </w:tcPr>
                <w:p w14:paraId="0A7813F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98" w:type="pct"/>
                  <w:noWrap w:val="0"/>
                  <w:vAlign w:val="center"/>
                </w:tcPr>
                <w:p w14:paraId="50DE060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eastAsia" w:cs="Times New Roman" w:eastAsiaTheme="minorEastAsia"/>
                      <w:b w:val="0"/>
                      <w:bCs/>
                      <w:color w:val="auto"/>
                      <w:kern w:val="2"/>
                      <w:sz w:val="21"/>
                      <w:szCs w:val="21"/>
                      <w:lang w:val="en-US" w:eastAsia="zh-CN"/>
                    </w:rPr>
                    <w:t>2400</w:t>
                  </w:r>
                </w:p>
              </w:tc>
            </w:tr>
            <w:tr w14:paraId="0FC9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trPr>
              <w:tc>
                <w:tcPr>
                  <w:tcW w:w="346" w:type="pct"/>
                  <w:vMerge w:val="continue"/>
                  <w:noWrap w:val="0"/>
                  <w:vAlign w:val="center"/>
                </w:tcPr>
                <w:p w14:paraId="2C8D6ADD">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1007" w:type="pct"/>
                  <w:shd w:val="clear" w:color="auto" w:fill="auto"/>
                  <w:noWrap w:val="0"/>
                  <w:vAlign w:val="center"/>
                </w:tcPr>
                <w:p w14:paraId="2817A443">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水泵</w:t>
                  </w:r>
                </w:p>
              </w:tc>
              <w:tc>
                <w:tcPr>
                  <w:tcW w:w="486" w:type="pct"/>
                  <w:noWrap w:val="0"/>
                  <w:vAlign w:val="center"/>
                </w:tcPr>
                <w:p w14:paraId="6C41E091">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1</w:t>
                  </w:r>
                </w:p>
              </w:tc>
              <w:tc>
                <w:tcPr>
                  <w:tcW w:w="334" w:type="pct"/>
                  <w:vMerge w:val="continue"/>
                  <w:noWrap w:val="0"/>
                  <w:vAlign w:val="center"/>
                </w:tcPr>
                <w:p w14:paraId="331CB23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46" w:type="pct"/>
                  <w:noWrap w:val="0"/>
                  <w:vAlign w:val="center"/>
                </w:tcPr>
                <w:p w14:paraId="44D39009">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频发</w:t>
                  </w:r>
                </w:p>
              </w:tc>
              <w:tc>
                <w:tcPr>
                  <w:tcW w:w="687" w:type="pct"/>
                  <w:noWrap w:val="0"/>
                  <w:vAlign w:val="center"/>
                </w:tcPr>
                <w:p w14:paraId="2E6C48C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85</w:t>
                  </w:r>
                </w:p>
              </w:tc>
              <w:tc>
                <w:tcPr>
                  <w:tcW w:w="1193" w:type="pct"/>
                  <w:vMerge w:val="continue"/>
                  <w:noWrap w:val="0"/>
                  <w:vAlign w:val="center"/>
                </w:tcPr>
                <w:p w14:paraId="3C318C7F">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p>
              </w:tc>
              <w:tc>
                <w:tcPr>
                  <w:tcW w:w="498" w:type="pct"/>
                  <w:noWrap w:val="0"/>
                  <w:vAlign w:val="center"/>
                </w:tcPr>
                <w:p w14:paraId="4A75095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color w:val="auto"/>
                      <w:kern w:val="2"/>
                      <w:sz w:val="21"/>
                      <w:szCs w:val="21"/>
                      <w:lang w:val="en-US" w:eastAsia="zh-CN"/>
                    </w:rPr>
                  </w:pPr>
                  <w:r>
                    <w:rPr>
                      <w:rFonts w:hint="default" w:ascii="Times New Roman" w:hAnsi="Times New Roman" w:cs="Times New Roman" w:eastAsiaTheme="minorEastAsia"/>
                      <w:b w:val="0"/>
                      <w:bCs/>
                      <w:color w:val="auto"/>
                      <w:kern w:val="2"/>
                      <w:sz w:val="21"/>
                      <w:szCs w:val="21"/>
                      <w:lang w:val="en-US" w:eastAsia="zh-CN"/>
                    </w:rPr>
                    <w:t>2400</w:t>
                  </w:r>
                </w:p>
              </w:tc>
            </w:tr>
          </w:tbl>
          <w:p w14:paraId="115855B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2、声环境影响分析</w:t>
            </w:r>
          </w:p>
          <w:p w14:paraId="4560F041">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（1）预测模型</w:t>
            </w:r>
          </w:p>
          <w:p w14:paraId="2924981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根据项目建设内容及《环境影响评价技术导则 声环境》（HJ2.4-2021）的要求，项目声环境预测采用的模型为《环境影响评价技术导则 声环境》(HJ2.4</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rPr>
              <w:t>2021)附录A（规范性附录）户外声传播的衰减和附录B（规范性附录）中</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B.1工业噪声预测计算模型</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 w14:paraId="5B72495B">
            <w:pPr>
              <w:keepNext w:val="0"/>
              <w:keepLines w:val="0"/>
              <w:pageBreakBefore w:val="0"/>
              <w:kinsoku/>
              <w:wordWrap/>
              <w:overflowPunct/>
              <w:topLinePunct w:val="0"/>
              <w:bidi w:val="0"/>
              <w:adjustRightInd/>
              <w:spacing w:line="360" w:lineRule="auto"/>
              <w:ind w:firstLine="480" w:firstLineChars="200"/>
              <w:textAlignment w:val="auto"/>
              <w:rPr>
                <w:rFonts w:hint="default" w:ascii="Times New Roman" w:hAnsi="Times New Roman" w:eastAsia="宋体" w:cs="Times New Roman"/>
                <w:color w:val="auto"/>
                <w:sz w:val="24"/>
                <w:szCs w:val="24"/>
                <w:lang w:val="zh-CN"/>
              </w:rPr>
            </w:pPr>
            <w:r>
              <w:rPr>
                <w:rFonts w:hint="default" w:ascii="Times New Roman" w:hAnsi="Times New Roman" w:eastAsia="宋体" w:cs="Times New Roman"/>
                <w:color w:val="auto"/>
                <w:sz w:val="24"/>
                <w:szCs w:val="24"/>
              </w:rPr>
              <w:t>①室内声源 ：</w:t>
            </w:r>
          </w:p>
          <w:p w14:paraId="2C1AB098">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如果已知声源的声压级 L（r</w:t>
            </w:r>
            <w:r>
              <w:rPr>
                <w:rFonts w:hint="default" w:ascii="Times New Roman" w:hAnsi="Times New Roman" w:eastAsia="宋体" w:cs="Times New Roman"/>
                <w:color w:val="auto"/>
                <w:sz w:val="24"/>
                <w:szCs w:val="24"/>
                <w:vertAlign w:val="subscript"/>
                <w:lang w:bidi="zh-CN"/>
              </w:rPr>
              <w:t>0</w:t>
            </w:r>
            <w:r>
              <w:rPr>
                <w:rFonts w:hint="default" w:ascii="Times New Roman" w:hAnsi="Times New Roman" w:eastAsia="宋体" w:cs="Times New Roman"/>
                <w:color w:val="auto"/>
                <w:sz w:val="24"/>
                <w:szCs w:val="24"/>
                <w:lang w:bidi="zh-CN"/>
              </w:rPr>
              <w:t xml:space="preserve">），且声源位于地面上，则： </w:t>
            </w:r>
          </w:p>
          <w:p w14:paraId="2889BE8B">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position w:val="-12"/>
                <w:sz w:val="24"/>
                <w:szCs w:val="24"/>
                <w:lang w:bidi="zh-CN"/>
              </w:rPr>
              <w:object>
                <v:shape id="_x0000_i1031" o:spt="75" type="#_x0000_t75" style="height:18.4pt;width:116.35pt;" o:ole="t" filled="f" o:preferrelative="t" stroked="f" coordsize="21600,21600">
                  <v:path/>
                  <v:fill on="f" focussize="0,0"/>
                  <v:stroke on="f" joinstyle="miter"/>
                  <v:imagedata r:id="rId34" o:title=""/>
                  <o:lock v:ext="edit" aspectratio="t"/>
                  <w10:wrap type="none"/>
                  <w10:anchorlock/>
                </v:shape>
                <o:OLEObject Type="Embed" ProgID="Equation.3" ShapeID="_x0000_i1031" DrawAspect="Content" ObjectID="_1468075731" r:id="rId33">
                  <o:LockedField>false</o:LockedField>
                </o:OLEObject>
              </w:object>
            </w:r>
          </w:p>
          <w:p w14:paraId="64276BAC">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计算出某个室内声源靠近围护结构处的声压级：</w:t>
            </w:r>
          </w:p>
          <w:p w14:paraId="54D84BFD">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position w:val="-24"/>
                <w:sz w:val="24"/>
                <w:szCs w:val="24"/>
                <w:lang w:bidi="zh-CN"/>
              </w:rPr>
              <w:object>
                <v:shape id="_x0000_i1032" o:spt="75" type="#_x0000_t75" style="height:31pt;width:140.7pt;" o:ole="t" filled="f" o:preferrelative="t" stroked="f" coordsize="21600,21600">
                  <v:path/>
                  <v:fill on="f" focussize="0,0"/>
                  <v:stroke on="f" joinstyle="miter"/>
                  <v:imagedata r:id="rId36" o:title=""/>
                  <o:lock v:ext="edit" aspectratio="t"/>
                  <w10:wrap type="none"/>
                  <w10:anchorlock/>
                </v:shape>
                <o:OLEObject Type="Embed" ProgID="Equation.3" ShapeID="_x0000_i1032" DrawAspect="Content" ObjectID="_1468075732" r:id="rId35">
                  <o:LockedField>false</o:LockedField>
                </o:OLEObject>
              </w:object>
            </w:r>
          </w:p>
          <w:p w14:paraId="6C8132F6">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式中：Lp</w:t>
            </w:r>
            <w:r>
              <w:rPr>
                <w:rFonts w:hint="default" w:ascii="Times New Roman" w:hAnsi="Times New Roman" w:eastAsia="宋体" w:cs="Times New Roman"/>
                <w:color w:val="auto"/>
                <w:sz w:val="24"/>
                <w:szCs w:val="24"/>
                <w:vertAlign w:val="subscript"/>
                <w:lang w:bidi="zh-CN"/>
              </w:rPr>
              <w:t>1</w:t>
            </w:r>
            <w:r>
              <w:rPr>
                <w:rFonts w:hint="default" w:ascii="Times New Roman" w:hAnsi="Times New Roman" w:eastAsia="宋体" w:cs="Times New Roman"/>
                <w:color w:val="auto"/>
                <w:sz w:val="24"/>
                <w:szCs w:val="24"/>
                <w:lang w:bidi="zh-CN"/>
              </w:rPr>
              <w:t xml:space="preserve">——某个室内声源靠近维护结构处的声压级。 </w:t>
            </w:r>
          </w:p>
          <w:p w14:paraId="063B6D50">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Lw——某个室内声源靠近维护结构处产生的声功率级。 </w:t>
            </w:r>
          </w:p>
          <w:p w14:paraId="0D6FDFE0">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Q——指向性因数；通常对无指向性声源，当声源放在房间中心时，Q=1；当放在一面墙的中心时，Q=2；当放在两面墙夹角处时，Q=4；当放在三面墙夹角处时，Q=8。 </w:t>
            </w:r>
          </w:p>
          <w:p w14:paraId="6F783CCC">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R——房间常数；R=Sa/（1-a），S为房间内表面面积，m</w:t>
            </w:r>
            <w:r>
              <w:rPr>
                <w:rFonts w:hint="default" w:ascii="Times New Roman" w:hAnsi="Times New Roman" w:eastAsia="宋体" w:cs="Times New Roman"/>
                <w:color w:val="auto"/>
                <w:sz w:val="24"/>
                <w:szCs w:val="24"/>
                <w:vertAlign w:val="superscript"/>
                <w:lang w:bidi="zh-CN"/>
              </w:rPr>
              <w:t>2</w:t>
            </w:r>
            <w:r>
              <w:rPr>
                <w:rFonts w:hint="default" w:ascii="Times New Roman" w:hAnsi="Times New Roman" w:eastAsia="宋体" w:cs="Times New Roman"/>
                <w:color w:val="auto"/>
                <w:sz w:val="24"/>
                <w:szCs w:val="24"/>
                <w:lang w:bidi="zh-CN"/>
              </w:rPr>
              <w:t xml:space="preserve">；a为平均吸声系数，本评价a取0.15。 </w:t>
            </w:r>
          </w:p>
          <w:p w14:paraId="6DCB23D7">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bidi="zh-CN"/>
              </w:rPr>
              <w:t>R——声源到靠近围护结构某点处的距离，m。</w:t>
            </w:r>
          </w:p>
          <w:p w14:paraId="466BAF41">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计算出所有室内声源在靠近围护结构处产生的总声压级：</w:t>
            </w:r>
          </w:p>
          <w:p w14:paraId="39356874">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position w:val="-30"/>
                <w:sz w:val="24"/>
                <w:szCs w:val="24"/>
                <w:lang w:bidi="zh-CN"/>
              </w:rPr>
              <w:object>
                <v:shape id="_x0000_i1033" o:spt="75" type="#_x0000_t75" style="height:36pt;width:126.4pt;" o:ole="t" filled="f" o:preferrelative="t" stroked="f" coordsize="21600,21600">
                  <v:path/>
                  <v:fill on="f" focussize="0,0"/>
                  <v:stroke on="f" joinstyle="miter"/>
                  <v:imagedata r:id="rId38" o:title=""/>
                  <o:lock v:ext="edit" aspectratio="t"/>
                  <w10:wrap type="none"/>
                  <w10:anchorlock/>
                </v:shape>
                <o:OLEObject Type="Embed" ProgID="Equation.3" ShapeID="_x0000_i1033" DrawAspect="Content" ObjectID="_1468075733" r:id="rId37">
                  <o:LockedField>false</o:LockedField>
                </o:OLEObject>
              </w:object>
            </w:r>
          </w:p>
          <w:p w14:paraId="6459F24D">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bidi="zh-CN"/>
              </w:rPr>
              <w:t>式中：L</w:t>
            </w:r>
            <w:r>
              <w:rPr>
                <w:rFonts w:hint="default" w:ascii="Times New Roman" w:hAnsi="Times New Roman" w:eastAsia="宋体" w:cs="Times New Roman"/>
                <w:color w:val="auto"/>
                <w:sz w:val="24"/>
                <w:szCs w:val="24"/>
                <w:vertAlign w:val="subscript"/>
                <w:lang w:bidi="zh-CN"/>
              </w:rPr>
              <w:t>p1j</w:t>
            </w:r>
            <w:r>
              <w:rPr>
                <w:rFonts w:hint="default" w:ascii="Times New Roman" w:hAnsi="Times New Roman" w:eastAsia="宋体" w:cs="Times New Roman"/>
                <w:color w:val="auto"/>
                <w:sz w:val="24"/>
                <w:szCs w:val="24"/>
                <w:lang w:bidi="zh-CN"/>
              </w:rPr>
              <w:t>——j声源的声压级，dB（A）；</w:t>
            </w:r>
          </w:p>
          <w:p w14:paraId="29624508">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N—室内声源总数； </w:t>
            </w:r>
          </w:p>
          <w:p w14:paraId="134456DB">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bidi="zh-CN"/>
              </w:rPr>
              <w:t>L</w:t>
            </w:r>
            <w:r>
              <w:rPr>
                <w:rFonts w:hint="default" w:ascii="Times New Roman" w:hAnsi="Times New Roman" w:eastAsia="宋体" w:cs="Times New Roman"/>
                <w:color w:val="auto"/>
                <w:sz w:val="24"/>
                <w:szCs w:val="24"/>
                <w:vertAlign w:val="subscript"/>
                <w:lang w:bidi="zh-CN"/>
              </w:rPr>
              <w:t>p1</w:t>
            </w:r>
            <w:r>
              <w:rPr>
                <w:rFonts w:hint="default" w:ascii="Times New Roman" w:hAnsi="Times New Roman" w:eastAsia="宋体" w:cs="Times New Roman"/>
                <w:color w:val="auto"/>
                <w:sz w:val="24"/>
                <w:szCs w:val="24"/>
                <w:lang w:bidi="zh-CN"/>
              </w:rPr>
              <w:t>（T）——靠近围护结构处室内N个声源的叠加声压级，dB（A）；</w:t>
            </w:r>
          </w:p>
          <w:p w14:paraId="2313AE91">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计算出室外靠近围护结构处的声压级： </w:t>
            </w:r>
          </w:p>
          <w:p w14:paraId="12E2C843">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position w:val="-10"/>
                <w:sz w:val="24"/>
                <w:szCs w:val="24"/>
                <w:lang w:bidi="zh-CN"/>
              </w:rPr>
              <w:object>
                <v:shape id="_x0000_i1034" o:spt="75" type="#_x0000_t75" style="height:17.6pt;width:131.5pt;" o:ole="t" filled="f" o:preferrelative="t" stroked="f" coordsize="21600,21600">
                  <v:path/>
                  <v:fill on="f" focussize="0,0"/>
                  <v:stroke on="f" joinstyle="miter"/>
                  <v:imagedata r:id="rId40" o:title=""/>
                  <o:lock v:ext="edit" aspectratio="t"/>
                  <w10:wrap type="none"/>
                  <w10:anchorlock/>
                </v:shape>
                <o:OLEObject Type="Embed" ProgID="Equation.3" ShapeID="_x0000_i1034" DrawAspect="Content" ObjectID="_1468075734" r:id="rId39">
                  <o:LockedField>false</o:LockedField>
                </o:OLEObject>
              </w:object>
            </w:r>
          </w:p>
          <w:p w14:paraId="319F7AA2">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式中：L</w:t>
            </w:r>
            <w:r>
              <w:rPr>
                <w:rFonts w:hint="default" w:ascii="Times New Roman" w:hAnsi="Times New Roman" w:eastAsia="宋体" w:cs="Times New Roman"/>
                <w:color w:val="auto"/>
                <w:sz w:val="24"/>
                <w:szCs w:val="24"/>
                <w:vertAlign w:val="subscript"/>
                <w:lang w:bidi="zh-CN"/>
              </w:rPr>
              <w:t>p2</w:t>
            </w:r>
            <w:r>
              <w:rPr>
                <w:rFonts w:hint="default" w:ascii="Times New Roman" w:hAnsi="Times New Roman" w:eastAsia="宋体" w:cs="Times New Roman"/>
                <w:color w:val="auto"/>
                <w:sz w:val="24"/>
                <w:szCs w:val="24"/>
                <w:lang w:bidi="zh-CN"/>
              </w:rPr>
              <w:t xml:space="preserve">（T）——靠近围护结构处室外N个声源的叠加声压级，dB（A）； </w:t>
            </w:r>
          </w:p>
          <w:p w14:paraId="448841F3">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 xml:space="preserve">TL——围护结构的隔声量，dB（A）。 </w:t>
            </w:r>
          </w:p>
          <w:p w14:paraId="2A9032C1">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将室外声级L</w:t>
            </w:r>
            <w:r>
              <w:rPr>
                <w:rFonts w:hint="default" w:ascii="Times New Roman" w:hAnsi="Times New Roman" w:eastAsia="宋体" w:cs="Times New Roman"/>
                <w:color w:val="auto"/>
                <w:sz w:val="24"/>
                <w:szCs w:val="24"/>
                <w:vertAlign w:val="subscript"/>
                <w:lang w:bidi="zh-CN"/>
              </w:rPr>
              <w:t>p2</w:t>
            </w:r>
            <w:r>
              <w:rPr>
                <w:rFonts w:hint="default" w:ascii="Times New Roman" w:hAnsi="Times New Roman" w:eastAsia="宋体" w:cs="Times New Roman"/>
                <w:color w:val="auto"/>
                <w:sz w:val="24"/>
                <w:szCs w:val="24"/>
                <w:lang w:bidi="zh-CN"/>
              </w:rPr>
              <w:t>（T）和透声面积换算成等效的室外声源，计算出等效声源的声功率级L</w:t>
            </w:r>
            <w:r>
              <w:rPr>
                <w:rFonts w:hint="default" w:ascii="Times New Roman" w:hAnsi="Times New Roman" w:eastAsia="宋体" w:cs="Times New Roman"/>
                <w:color w:val="auto"/>
                <w:sz w:val="24"/>
                <w:szCs w:val="24"/>
                <w:vertAlign w:val="subscript"/>
                <w:lang w:bidi="zh-CN"/>
              </w:rPr>
              <w:t>W</w:t>
            </w:r>
            <w:r>
              <w:rPr>
                <w:rFonts w:hint="default" w:ascii="Times New Roman" w:hAnsi="Times New Roman" w:eastAsia="宋体" w:cs="Times New Roman"/>
                <w:color w:val="auto"/>
                <w:sz w:val="24"/>
                <w:szCs w:val="24"/>
                <w:lang w:bidi="zh-CN"/>
              </w:rPr>
              <w:t xml:space="preserve">。 </w:t>
            </w:r>
          </w:p>
          <w:p w14:paraId="234C95FA">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等效室外声源的位置为围护结构的位置，其声功率级为L</w:t>
            </w:r>
            <w:r>
              <w:rPr>
                <w:rFonts w:hint="default" w:ascii="Times New Roman" w:hAnsi="Times New Roman" w:eastAsia="宋体" w:cs="Times New Roman"/>
                <w:color w:val="auto"/>
                <w:sz w:val="24"/>
                <w:szCs w:val="24"/>
                <w:vertAlign w:val="subscript"/>
                <w:lang w:bidi="zh-CN"/>
              </w:rPr>
              <w:t>W</w:t>
            </w:r>
            <w:r>
              <w:rPr>
                <w:rFonts w:hint="default" w:ascii="Times New Roman" w:hAnsi="Times New Roman" w:eastAsia="宋体" w:cs="Times New Roman"/>
                <w:color w:val="auto"/>
                <w:sz w:val="24"/>
                <w:szCs w:val="24"/>
                <w:lang w:bidi="zh-CN"/>
              </w:rPr>
              <w:t xml:space="preserve">，由此按室外声源方法计算等效室外声源在预测点产生的A声级。 </w:t>
            </w:r>
          </w:p>
          <w:p w14:paraId="2CFDAAD8">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 xml:space="preserve">②室外声源 </w:t>
            </w:r>
          </w:p>
          <w:p w14:paraId="0B9B05EC">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计算某个声源在预测点的声压级</w:t>
            </w:r>
          </w:p>
          <w:p w14:paraId="0B558A8B">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bidi="zh-CN"/>
              </w:rPr>
            </w:pPr>
            <w:r>
              <w:rPr>
                <w:rFonts w:hint="default" w:ascii="Times New Roman" w:hAnsi="Times New Roman" w:eastAsia="宋体" w:cs="Times New Roman"/>
                <w:color w:val="auto"/>
                <w:sz w:val="24"/>
                <w:szCs w:val="24"/>
                <w:lang w:bidi="zh-CN"/>
              </w:rPr>
              <w:object>
                <v:shape id="_x0000_i1035" o:spt="75" type="#_x0000_t75" style="height:18.4pt;width:93.75pt;" o:ole="t" filled="f" o:preferrelative="t" stroked="f" coordsize="21600,21600">
                  <v:path/>
                  <v:fill on="f" focussize="0,0"/>
                  <v:stroke on="f" joinstyle="miter"/>
                  <v:imagedata r:id="rId42" o:title=""/>
                  <o:lock v:ext="edit" aspectratio="t"/>
                  <w10:wrap type="none"/>
                  <w10:anchorlock/>
                </v:shape>
                <o:OLEObject Type="Embed" ProgID="Equation.3" ShapeID="_x0000_i1035" DrawAspect="Content" ObjectID="_1468075735" r:id="rId41">
                  <o:LockedField>false</o:LockedField>
                </o:OLEObject>
              </w:object>
            </w:r>
          </w:p>
          <w:p w14:paraId="709E0D37">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式中：L（</w:t>
            </w:r>
            <w:r>
              <w:rPr>
                <w:rFonts w:hint="default" w:ascii="Times New Roman" w:hAnsi="Times New Roman" w:eastAsia="宋体" w:cs="Times New Roman"/>
                <w:i/>
                <w:iCs/>
                <w:color w:val="auto"/>
                <w:kern w:val="0"/>
                <w:sz w:val="24"/>
                <w:szCs w:val="24"/>
                <w:lang w:bidi="ar"/>
              </w:rPr>
              <w:t>r</w:t>
            </w:r>
            <w:r>
              <w:rPr>
                <w:rFonts w:hint="default" w:ascii="Times New Roman" w:hAnsi="Times New Roman" w:eastAsia="宋体" w:cs="Times New Roman"/>
                <w:color w:val="auto"/>
                <w:kern w:val="0"/>
                <w:sz w:val="24"/>
                <w:szCs w:val="24"/>
                <w:lang w:bidi="ar"/>
              </w:rPr>
              <w:t xml:space="preserve">）——点声源在预测点产生的声压级，dB（A）； </w:t>
            </w:r>
          </w:p>
          <w:p w14:paraId="1A00D481">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L（</w:t>
            </w:r>
            <w:r>
              <w:rPr>
                <w:rFonts w:hint="default" w:ascii="Times New Roman" w:hAnsi="Times New Roman" w:eastAsia="宋体" w:cs="Times New Roman"/>
                <w:i/>
                <w:iCs/>
                <w:color w:val="auto"/>
                <w:kern w:val="0"/>
                <w:sz w:val="24"/>
                <w:szCs w:val="24"/>
                <w:lang w:bidi="ar"/>
              </w:rPr>
              <w:t>r</w:t>
            </w:r>
            <w:r>
              <w:rPr>
                <w:rFonts w:hint="default" w:ascii="Times New Roman" w:hAnsi="Times New Roman" w:eastAsia="宋体" w:cs="Times New Roman"/>
                <w:color w:val="auto"/>
                <w:kern w:val="0"/>
                <w:sz w:val="24"/>
                <w:szCs w:val="24"/>
                <w:vertAlign w:val="subscript"/>
                <w:lang w:bidi="ar"/>
              </w:rPr>
              <w:t>0</w:t>
            </w:r>
            <w:r>
              <w:rPr>
                <w:rFonts w:hint="default" w:ascii="Times New Roman" w:hAnsi="Times New Roman" w:eastAsia="宋体" w:cs="Times New Roman"/>
                <w:color w:val="auto"/>
                <w:kern w:val="0"/>
                <w:sz w:val="24"/>
                <w:szCs w:val="24"/>
                <w:lang w:bidi="ar"/>
              </w:rPr>
              <w:t>）——参考位置</w:t>
            </w:r>
            <w:r>
              <w:rPr>
                <w:rFonts w:hint="default" w:ascii="Times New Roman" w:hAnsi="Times New Roman" w:eastAsia="宋体" w:cs="Times New Roman"/>
                <w:i/>
                <w:iCs/>
                <w:color w:val="auto"/>
                <w:kern w:val="0"/>
                <w:sz w:val="24"/>
                <w:szCs w:val="24"/>
                <w:lang w:bidi="ar"/>
              </w:rPr>
              <w:t>r0</w:t>
            </w:r>
            <w:r>
              <w:rPr>
                <w:rFonts w:hint="default" w:ascii="Times New Roman" w:hAnsi="Times New Roman" w:eastAsia="宋体" w:cs="Times New Roman"/>
                <w:color w:val="auto"/>
                <w:kern w:val="0"/>
                <w:sz w:val="24"/>
                <w:szCs w:val="24"/>
                <w:lang w:bidi="ar"/>
              </w:rPr>
              <w:t xml:space="preserve">处的声压级，dB（A）； </w:t>
            </w:r>
          </w:p>
          <w:p w14:paraId="5F0C57C7">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kern w:val="0"/>
                <w:sz w:val="24"/>
                <w:szCs w:val="24"/>
                <w:lang w:bidi="ar"/>
              </w:rPr>
              <w:t>r</w:t>
            </w:r>
            <w:r>
              <w:rPr>
                <w:rFonts w:hint="default" w:ascii="Times New Roman" w:hAnsi="Times New Roman" w:eastAsia="宋体" w:cs="Times New Roman"/>
                <w:color w:val="auto"/>
                <w:kern w:val="0"/>
                <w:sz w:val="24"/>
                <w:szCs w:val="24"/>
                <w:lang w:bidi="ar"/>
              </w:rPr>
              <w:t xml:space="preserve">——预测点距声源的距离，m； </w:t>
            </w:r>
          </w:p>
          <w:p w14:paraId="71FAA2DA">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kern w:val="0"/>
                <w:sz w:val="24"/>
                <w:szCs w:val="24"/>
                <w:lang w:bidi="ar"/>
              </w:rPr>
              <w:t>r</w:t>
            </w:r>
            <w:r>
              <w:rPr>
                <w:rFonts w:hint="default" w:ascii="Times New Roman" w:hAnsi="Times New Roman" w:eastAsia="宋体" w:cs="Times New Roman"/>
                <w:color w:val="auto"/>
                <w:kern w:val="0"/>
                <w:sz w:val="24"/>
                <w:szCs w:val="24"/>
                <w:vertAlign w:val="subscript"/>
                <w:lang w:bidi="ar"/>
              </w:rPr>
              <w:t>0</w:t>
            </w:r>
            <w:r>
              <w:rPr>
                <w:rFonts w:hint="default" w:ascii="Times New Roman" w:hAnsi="Times New Roman" w:eastAsia="宋体" w:cs="Times New Roman"/>
                <w:color w:val="auto"/>
                <w:kern w:val="0"/>
                <w:sz w:val="24"/>
                <w:szCs w:val="24"/>
                <w:lang w:bidi="ar"/>
              </w:rPr>
              <w:t xml:space="preserve">——参考位置距声源的距离，m； </w:t>
            </w:r>
          </w:p>
          <w:p w14:paraId="5FBF43D7">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A——各种因素引起的衰减量（包括几何发散衰减、声屏障衰减，其计算方法详见</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导则</w:t>
            </w:r>
            <w:r>
              <w:rPr>
                <w:rFonts w:hint="eastAsia" w:cs="Times New Roman"/>
                <w:color w:val="auto"/>
                <w:kern w:val="0"/>
                <w:sz w:val="24"/>
                <w:szCs w:val="24"/>
                <w:lang w:eastAsia="zh-CN" w:bidi="ar"/>
              </w:rPr>
              <w:t>”</w:t>
            </w:r>
            <w:r>
              <w:rPr>
                <w:rFonts w:hint="default" w:ascii="Times New Roman" w:hAnsi="Times New Roman" w:eastAsia="宋体" w:cs="Times New Roman"/>
                <w:color w:val="auto"/>
                <w:kern w:val="0"/>
                <w:sz w:val="24"/>
                <w:szCs w:val="24"/>
                <w:lang w:bidi="ar"/>
              </w:rPr>
              <w:t>正文）。</w:t>
            </w:r>
          </w:p>
          <w:p w14:paraId="583CEBC6">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 xml:space="preserve">③总声压级 </w:t>
            </w:r>
          </w:p>
          <w:p w14:paraId="5AD657B0">
            <w:pPr>
              <w:keepNext w:val="0"/>
              <w:keepLines w:val="0"/>
              <w:pageBreakBefore w:val="0"/>
              <w:widowControl/>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kern w:val="0"/>
                <w:sz w:val="24"/>
                <w:szCs w:val="24"/>
                <w:lang w:bidi="ar"/>
              </w:rPr>
              <w:t>设第</w:t>
            </w:r>
            <w:r>
              <w:rPr>
                <w:rFonts w:hint="default" w:ascii="Times New Roman" w:hAnsi="Times New Roman" w:eastAsia="宋体" w:cs="Times New Roman"/>
                <w:i/>
                <w:iCs/>
                <w:color w:val="auto"/>
                <w:kern w:val="0"/>
                <w:sz w:val="24"/>
                <w:szCs w:val="24"/>
                <w:lang w:bidi="ar"/>
              </w:rPr>
              <w:t>i</w:t>
            </w:r>
            <w:r>
              <w:rPr>
                <w:rFonts w:hint="default" w:ascii="Times New Roman" w:hAnsi="Times New Roman" w:eastAsia="宋体" w:cs="Times New Roman"/>
                <w:color w:val="auto"/>
                <w:kern w:val="0"/>
                <w:sz w:val="24"/>
                <w:szCs w:val="24"/>
                <w:lang w:bidi="ar"/>
              </w:rPr>
              <w:t>室外声源在预测点产生的A声级为</w:t>
            </w:r>
            <w:r>
              <w:rPr>
                <w:rFonts w:hint="default" w:ascii="Times New Roman" w:hAnsi="Times New Roman" w:eastAsia="宋体" w:cs="Times New Roman"/>
                <w:i/>
                <w:iCs/>
                <w:color w:val="auto"/>
                <w:kern w:val="0"/>
                <w:sz w:val="24"/>
                <w:szCs w:val="24"/>
                <w:lang w:bidi="ar"/>
              </w:rPr>
              <w:t>L</w:t>
            </w:r>
            <w:r>
              <w:rPr>
                <w:rFonts w:hint="default" w:ascii="Times New Roman" w:hAnsi="Times New Roman" w:eastAsia="宋体" w:cs="Times New Roman"/>
                <w:i/>
                <w:iCs/>
                <w:color w:val="auto"/>
                <w:kern w:val="0"/>
                <w:sz w:val="24"/>
                <w:szCs w:val="24"/>
                <w:vertAlign w:val="subscript"/>
                <w:lang w:bidi="ar"/>
              </w:rPr>
              <w:t>Ai，</w:t>
            </w:r>
            <w:r>
              <w:rPr>
                <w:rFonts w:hint="default" w:ascii="Times New Roman" w:hAnsi="Times New Roman" w:eastAsia="宋体" w:cs="Times New Roman"/>
                <w:color w:val="auto"/>
                <w:kern w:val="0"/>
                <w:sz w:val="24"/>
                <w:szCs w:val="24"/>
                <w:lang w:bidi="ar"/>
              </w:rPr>
              <w:t>在T时间内该声源工作时间为t</w:t>
            </w:r>
            <w:r>
              <w:rPr>
                <w:rFonts w:hint="default" w:ascii="Times New Roman" w:hAnsi="Times New Roman" w:eastAsia="宋体" w:cs="Times New Roman"/>
                <w:color w:val="auto"/>
                <w:kern w:val="0"/>
                <w:sz w:val="24"/>
                <w:szCs w:val="24"/>
                <w:vertAlign w:val="subscript"/>
                <w:lang w:bidi="ar"/>
              </w:rPr>
              <w:t>i</w:t>
            </w:r>
            <w:r>
              <w:rPr>
                <w:rFonts w:hint="default" w:ascii="Times New Roman" w:hAnsi="Times New Roman" w:eastAsia="宋体" w:cs="Times New Roman"/>
                <w:color w:val="auto"/>
                <w:kern w:val="0"/>
                <w:sz w:val="24"/>
                <w:szCs w:val="24"/>
                <w:lang w:bidi="ar"/>
              </w:rPr>
              <w:t>；第</w:t>
            </w:r>
            <w:r>
              <w:rPr>
                <w:rFonts w:hint="default" w:ascii="Times New Roman" w:hAnsi="Times New Roman" w:eastAsia="宋体" w:cs="Times New Roman"/>
                <w:i/>
                <w:iCs/>
                <w:color w:val="auto"/>
                <w:kern w:val="0"/>
                <w:sz w:val="24"/>
                <w:szCs w:val="24"/>
                <w:lang w:bidi="ar"/>
              </w:rPr>
              <w:t>j</w:t>
            </w:r>
            <w:r>
              <w:rPr>
                <w:rFonts w:hint="default" w:ascii="Times New Roman" w:hAnsi="Times New Roman" w:eastAsia="宋体" w:cs="Times New Roman"/>
                <w:color w:val="auto"/>
                <w:kern w:val="0"/>
                <w:sz w:val="24"/>
                <w:szCs w:val="24"/>
                <w:lang w:bidi="ar"/>
              </w:rPr>
              <w:t>个等效室外声源在预测点产生的A声级为</w:t>
            </w:r>
            <w:r>
              <w:rPr>
                <w:rFonts w:hint="default" w:ascii="Times New Roman" w:hAnsi="Times New Roman" w:eastAsia="宋体" w:cs="Times New Roman"/>
                <w:i/>
                <w:iCs/>
                <w:color w:val="auto"/>
                <w:kern w:val="0"/>
                <w:sz w:val="24"/>
                <w:szCs w:val="24"/>
                <w:lang w:bidi="ar"/>
              </w:rPr>
              <w:t>L</w:t>
            </w:r>
            <w:r>
              <w:rPr>
                <w:rFonts w:hint="default" w:ascii="Times New Roman" w:hAnsi="Times New Roman" w:eastAsia="宋体" w:cs="Times New Roman"/>
                <w:i/>
                <w:iCs/>
                <w:color w:val="auto"/>
                <w:kern w:val="0"/>
                <w:sz w:val="24"/>
                <w:szCs w:val="24"/>
                <w:vertAlign w:val="subscript"/>
                <w:lang w:bidi="ar"/>
              </w:rPr>
              <w:t>Aj</w:t>
            </w:r>
            <w:r>
              <w:rPr>
                <w:rFonts w:hint="default" w:ascii="Times New Roman" w:hAnsi="Times New Roman" w:eastAsia="宋体" w:cs="Times New Roman"/>
                <w:color w:val="auto"/>
                <w:kern w:val="0"/>
                <w:sz w:val="24"/>
                <w:szCs w:val="24"/>
                <w:lang w:bidi="ar"/>
              </w:rPr>
              <w:t>，在T时间内该声源工作时间为</w:t>
            </w:r>
            <w:r>
              <w:rPr>
                <w:rFonts w:hint="default" w:ascii="Times New Roman" w:hAnsi="Times New Roman" w:eastAsia="宋体" w:cs="Times New Roman"/>
                <w:i/>
                <w:iCs/>
                <w:color w:val="auto"/>
                <w:kern w:val="0"/>
                <w:sz w:val="24"/>
                <w:szCs w:val="24"/>
                <w:lang w:bidi="ar"/>
              </w:rPr>
              <w:t>t</w:t>
            </w:r>
            <w:r>
              <w:rPr>
                <w:rFonts w:hint="default" w:ascii="Times New Roman" w:hAnsi="Times New Roman" w:eastAsia="宋体" w:cs="Times New Roman"/>
                <w:i/>
                <w:iCs/>
                <w:color w:val="auto"/>
                <w:kern w:val="0"/>
                <w:sz w:val="24"/>
                <w:szCs w:val="24"/>
                <w:vertAlign w:val="subscript"/>
                <w:lang w:bidi="ar"/>
              </w:rPr>
              <w:t>j</w:t>
            </w:r>
            <w:r>
              <w:rPr>
                <w:rFonts w:hint="default" w:ascii="Times New Roman" w:hAnsi="Times New Roman" w:eastAsia="宋体" w:cs="Times New Roman"/>
                <w:color w:val="auto"/>
                <w:kern w:val="0"/>
                <w:sz w:val="24"/>
                <w:szCs w:val="24"/>
                <w:lang w:bidi="ar"/>
              </w:rPr>
              <w:t>，则项目声源对预测点产生的贡献值（</w:t>
            </w:r>
            <w:r>
              <w:rPr>
                <w:rFonts w:hint="default" w:ascii="Times New Roman" w:hAnsi="Times New Roman" w:eastAsia="宋体" w:cs="Times New Roman"/>
                <w:i/>
                <w:iCs/>
                <w:color w:val="auto"/>
                <w:kern w:val="0"/>
                <w:sz w:val="24"/>
                <w:szCs w:val="24"/>
                <w:lang w:bidi="ar"/>
              </w:rPr>
              <w:t>L</w:t>
            </w:r>
            <w:r>
              <w:rPr>
                <w:rFonts w:hint="default" w:ascii="Times New Roman" w:hAnsi="Times New Roman" w:eastAsia="宋体" w:cs="Times New Roman"/>
                <w:i/>
                <w:iCs/>
                <w:color w:val="auto"/>
                <w:kern w:val="0"/>
                <w:sz w:val="24"/>
                <w:szCs w:val="24"/>
                <w:vertAlign w:val="subscript"/>
                <w:lang w:bidi="ar"/>
              </w:rPr>
              <w:t>eqg</w:t>
            </w:r>
            <w:r>
              <w:rPr>
                <w:rFonts w:hint="default" w:ascii="Times New Roman" w:hAnsi="Times New Roman" w:eastAsia="宋体" w:cs="Times New Roman"/>
                <w:color w:val="auto"/>
                <w:kern w:val="0"/>
                <w:sz w:val="24"/>
                <w:szCs w:val="24"/>
                <w:lang w:bidi="ar"/>
              </w:rPr>
              <w:t>）为：</w:t>
            </w:r>
          </w:p>
          <w:p w14:paraId="7E17F067">
            <w:pPr>
              <w:keepNext w:val="0"/>
              <w:keepLines w:val="0"/>
              <w:pageBreakBefore w:val="0"/>
              <w:kinsoku/>
              <w:wordWrap/>
              <w:overflowPunct/>
              <w:topLinePunct w:val="0"/>
              <w:autoSpaceDE w:val="0"/>
              <w:autoSpaceDN w:val="0"/>
              <w:bidi w:val="0"/>
              <w:adjustRightInd/>
              <w:spacing w:line="360" w:lineRule="auto"/>
              <w:ind w:firstLine="480" w:firstLineChars="200"/>
              <w:jc w:val="center"/>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position w:val="-32"/>
                <w:sz w:val="24"/>
                <w:szCs w:val="24"/>
                <w:lang w:bidi="zh-CN"/>
              </w:rPr>
              <w:object>
                <v:shape id="_x0000_i1036" o:spt="75" type="#_x0000_t75" style="height:38.5pt;width:210.95pt;" o:ole="t" filled="f" o:preferrelative="t" stroked="f" coordsize="21600,21600">
                  <v:path/>
                  <v:fill on="f" focussize="0,0"/>
                  <v:stroke on="f" joinstyle="miter"/>
                  <v:imagedata r:id="rId44" o:title=""/>
                  <o:lock v:ext="edit" aspectratio="t"/>
                  <w10:wrap type="none"/>
                  <w10:anchorlock/>
                </v:shape>
                <o:OLEObject Type="Embed" ProgID="Equation.3" ShapeID="_x0000_i1036" DrawAspect="Content" ObjectID="_1468075736" r:id="rId43">
                  <o:LockedField>false</o:LockedField>
                </o:OLEObject>
              </w:object>
            </w:r>
          </w:p>
          <w:p w14:paraId="168FB1A2">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color w:val="auto"/>
                <w:sz w:val="24"/>
                <w:szCs w:val="24"/>
                <w:lang w:bidi="zh-CN"/>
              </w:rPr>
              <w:t>式中：</w:t>
            </w:r>
            <w:r>
              <w:rPr>
                <w:rFonts w:hint="default" w:ascii="Times New Roman" w:hAnsi="Times New Roman" w:eastAsia="宋体" w:cs="Times New Roman"/>
                <w:i/>
                <w:iCs/>
                <w:color w:val="auto"/>
                <w:sz w:val="24"/>
                <w:szCs w:val="24"/>
                <w:lang w:bidi="zh-CN"/>
              </w:rPr>
              <w:t>t</w:t>
            </w:r>
            <w:r>
              <w:rPr>
                <w:rFonts w:hint="default" w:ascii="Times New Roman" w:hAnsi="Times New Roman" w:eastAsia="宋体" w:cs="Times New Roman"/>
                <w:i/>
                <w:iCs/>
                <w:color w:val="auto"/>
                <w:sz w:val="24"/>
                <w:szCs w:val="24"/>
                <w:vertAlign w:val="subscript"/>
                <w:lang w:bidi="zh-CN"/>
              </w:rPr>
              <w:t>j</w:t>
            </w:r>
            <w:r>
              <w:rPr>
                <w:rFonts w:hint="default" w:ascii="Times New Roman" w:hAnsi="Times New Roman" w:eastAsia="宋体" w:cs="Times New Roman"/>
                <w:color w:val="auto"/>
                <w:sz w:val="24"/>
                <w:szCs w:val="24"/>
                <w:lang w:bidi="zh-CN"/>
              </w:rPr>
              <w:t xml:space="preserve">——在T时间内j声源工作时间，s； </w:t>
            </w:r>
          </w:p>
          <w:p w14:paraId="26C4367B">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sz w:val="24"/>
                <w:szCs w:val="24"/>
                <w:lang w:bidi="zh-CN"/>
              </w:rPr>
              <w:t>t</w:t>
            </w:r>
            <w:r>
              <w:rPr>
                <w:rFonts w:hint="default" w:ascii="Times New Roman" w:hAnsi="Times New Roman" w:eastAsia="宋体" w:cs="Times New Roman"/>
                <w:i/>
                <w:iCs/>
                <w:color w:val="auto"/>
                <w:sz w:val="24"/>
                <w:szCs w:val="24"/>
                <w:vertAlign w:val="subscript"/>
                <w:lang w:bidi="zh-CN"/>
              </w:rPr>
              <w:t>i</w:t>
            </w:r>
            <w:r>
              <w:rPr>
                <w:rFonts w:hint="default" w:ascii="Times New Roman" w:hAnsi="Times New Roman" w:eastAsia="宋体" w:cs="Times New Roman"/>
                <w:color w:val="auto"/>
                <w:sz w:val="24"/>
                <w:szCs w:val="24"/>
                <w:lang w:bidi="zh-CN"/>
              </w:rPr>
              <w:t>——在T时间内</w:t>
            </w:r>
            <w:r>
              <w:rPr>
                <w:rFonts w:hint="default" w:ascii="Times New Roman" w:hAnsi="Times New Roman" w:eastAsia="宋体" w:cs="Times New Roman"/>
                <w:i/>
                <w:iCs/>
                <w:color w:val="auto"/>
                <w:sz w:val="24"/>
                <w:szCs w:val="24"/>
                <w:lang w:bidi="zh-CN"/>
              </w:rPr>
              <w:t>i</w:t>
            </w:r>
            <w:r>
              <w:rPr>
                <w:rFonts w:hint="default" w:ascii="Times New Roman" w:hAnsi="Times New Roman" w:eastAsia="宋体" w:cs="Times New Roman"/>
                <w:color w:val="auto"/>
                <w:sz w:val="24"/>
                <w:szCs w:val="24"/>
                <w:lang w:bidi="zh-CN"/>
              </w:rPr>
              <w:t xml:space="preserve">声源工作时间，s； </w:t>
            </w:r>
          </w:p>
          <w:p w14:paraId="6D249B65">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sz w:val="24"/>
                <w:szCs w:val="24"/>
                <w:lang w:bidi="zh-CN"/>
              </w:rPr>
              <w:t>T</w:t>
            </w:r>
            <w:r>
              <w:rPr>
                <w:rFonts w:hint="default" w:ascii="Times New Roman" w:hAnsi="Times New Roman" w:eastAsia="宋体" w:cs="Times New Roman"/>
                <w:color w:val="auto"/>
                <w:sz w:val="24"/>
                <w:szCs w:val="24"/>
                <w:lang w:bidi="zh-CN"/>
              </w:rPr>
              <w:t xml:space="preserve">——用于计算等效声级的时间，s； </w:t>
            </w:r>
          </w:p>
          <w:p w14:paraId="2A0B6AB3">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lang w:val="zh-CN" w:bidi="zh-CN"/>
              </w:rPr>
            </w:pPr>
            <w:r>
              <w:rPr>
                <w:rFonts w:hint="default" w:ascii="Times New Roman" w:hAnsi="Times New Roman" w:eastAsia="宋体" w:cs="Times New Roman"/>
                <w:i/>
                <w:iCs/>
                <w:color w:val="auto"/>
                <w:sz w:val="24"/>
                <w:szCs w:val="24"/>
                <w:lang w:bidi="zh-CN"/>
              </w:rPr>
              <w:t>N</w:t>
            </w:r>
            <w:r>
              <w:rPr>
                <w:rFonts w:hint="default" w:ascii="Times New Roman" w:hAnsi="Times New Roman" w:eastAsia="宋体" w:cs="Times New Roman"/>
                <w:color w:val="auto"/>
                <w:sz w:val="24"/>
                <w:szCs w:val="24"/>
                <w:lang w:bidi="zh-CN"/>
              </w:rPr>
              <w:t xml:space="preserve">——室外声源个数； </w:t>
            </w:r>
          </w:p>
          <w:p w14:paraId="184CE601">
            <w:pPr>
              <w:keepNext w:val="0"/>
              <w:keepLines w:val="0"/>
              <w:pageBreakBefore w:val="0"/>
              <w:kinsoku/>
              <w:wordWrap/>
              <w:overflowPunct/>
              <w:topLinePunct w:val="0"/>
              <w:autoSpaceDE w:val="0"/>
              <w:autoSpaceDN w:val="0"/>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i w:val="0"/>
                <w:iCs w:val="0"/>
                <w:color w:val="auto"/>
                <w:sz w:val="24"/>
                <w:szCs w:val="24"/>
                <w:lang w:bidi="zh-CN"/>
              </w:rPr>
              <w:t>M——等效室外声源个数</w:t>
            </w:r>
          </w:p>
          <w:p w14:paraId="70A00CC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项目产生噪声的噪声源强调查清单见表4-1</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w:t>
            </w:r>
          </w:p>
          <w:p w14:paraId="7A934AA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本项目取总平面图中西厂界与南厂界交点作为坐标原点（0，0，0）。</w:t>
            </w:r>
          </w:p>
          <w:p w14:paraId="013B95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color w:val="auto"/>
                <w:sz w:val="24"/>
                <w:szCs w:val="24"/>
                <w:lang w:eastAsia="zh-CN"/>
              </w:rPr>
            </w:pPr>
            <w:r>
              <w:rPr>
                <w:rFonts w:hint="default" w:ascii="Times New Roman" w:hAnsi="Times New Roman" w:cs="Times New Roman"/>
                <w:b/>
                <w:color w:val="auto"/>
                <w:sz w:val="24"/>
                <w:szCs w:val="24"/>
              </w:rPr>
              <w:t>表4-1</w:t>
            </w:r>
            <w:r>
              <w:rPr>
                <w:rFonts w:hint="eastAsia" w:cs="Times New Roman"/>
                <w:b/>
                <w:color w:val="auto"/>
                <w:sz w:val="24"/>
                <w:szCs w:val="24"/>
                <w:lang w:val="en-US" w:eastAsia="zh-CN"/>
              </w:rPr>
              <w:t>6</w:t>
            </w:r>
            <w:r>
              <w:rPr>
                <w:rFonts w:hint="default" w:ascii="Times New Roman" w:hAnsi="Times New Roman" w:cs="Times New Roman"/>
                <w:b/>
                <w:color w:val="auto"/>
                <w:sz w:val="24"/>
                <w:szCs w:val="24"/>
              </w:rPr>
              <w:t xml:space="preserve">  工业企业噪声源强调查清单</w:t>
            </w:r>
            <w:r>
              <w:rPr>
                <w:rFonts w:hint="eastAsia" w:cs="Times New Roman"/>
                <w:b/>
                <w:color w:val="auto"/>
                <w:sz w:val="24"/>
                <w:szCs w:val="24"/>
                <w:lang w:eastAsia="zh-CN"/>
              </w:rPr>
              <w:t>（</w:t>
            </w:r>
            <w:r>
              <w:rPr>
                <w:rFonts w:hint="eastAsia" w:cs="Times New Roman"/>
                <w:b/>
                <w:color w:val="auto"/>
                <w:sz w:val="24"/>
                <w:szCs w:val="24"/>
                <w:lang w:val="en-US" w:eastAsia="zh-CN"/>
              </w:rPr>
              <w:t>室内声源</w:t>
            </w:r>
            <w:r>
              <w:rPr>
                <w:rFonts w:hint="eastAsia" w:cs="Times New Roman"/>
                <w:b/>
                <w:color w:val="auto"/>
                <w:sz w:val="24"/>
                <w:szCs w:val="24"/>
                <w:lang w:eastAsia="zh-CN"/>
              </w:rPr>
              <w:t>）</w:t>
            </w:r>
          </w:p>
          <w:tbl>
            <w:tblPr>
              <w:tblStyle w:val="3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
              <w:gridCol w:w="389"/>
              <w:gridCol w:w="871"/>
              <w:gridCol w:w="660"/>
              <w:gridCol w:w="510"/>
              <w:gridCol w:w="570"/>
              <w:gridCol w:w="495"/>
              <w:gridCol w:w="375"/>
              <w:gridCol w:w="525"/>
              <w:gridCol w:w="528"/>
              <w:gridCol w:w="533"/>
              <w:gridCol w:w="652"/>
              <w:gridCol w:w="637"/>
              <w:gridCol w:w="702"/>
            </w:tblGrid>
            <w:tr w14:paraId="4CED8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vMerge w:val="restart"/>
                  <w:noWrap w:val="0"/>
                  <w:vAlign w:val="center"/>
                </w:tcPr>
                <w:p w14:paraId="21029944">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序号</w:t>
                  </w:r>
                </w:p>
              </w:tc>
              <w:tc>
                <w:tcPr>
                  <w:tcW w:w="248" w:type="pct"/>
                  <w:vMerge w:val="restart"/>
                  <w:noWrap w:val="0"/>
                  <w:vAlign w:val="center"/>
                </w:tcPr>
                <w:p w14:paraId="4CFF2CF3">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建筑物名称</w:t>
                  </w:r>
                </w:p>
              </w:tc>
              <w:tc>
                <w:tcPr>
                  <w:tcW w:w="555" w:type="pct"/>
                  <w:vMerge w:val="restart"/>
                  <w:noWrap w:val="0"/>
                  <w:vAlign w:val="center"/>
                </w:tcPr>
                <w:p w14:paraId="114A76CF">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声源名称</w:t>
                  </w:r>
                </w:p>
              </w:tc>
              <w:tc>
                <w:tcPr>
                  <w:tcW w:w="421" w:type="pct"/>
                  <w:noWrap w:val="0"/>
                  <w:vAlign w:val="center"/>
                </w:tcPr>
                <w:p w14:paraId="0214C8CF">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声源源强</w:t>
                  </w:r>
                </w:p>
              </w:tc>
              <w:tc>
                <w:tcPr>
                  <w:tcW w:w="325" w:type="pct"/>
                  <w:vMerge w:val="restart"/>
                  <w:noWrap w:val="0"/>
                  <w:vAlign w:val="center"/>
                </w:tcPr>
                <w:p w14:paraId="70C67671">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声源控制措施</w:t>
                  </w:r>
                </w:p>
              </w:tc>
              <w:tc>
                <w:tcPr>
                  <w:tcW w:w="919" w:type="pct"/>
                  <w:gridSpan w:val="3"/>
                  <w:noWrap w:val="0"/>
                  <w:vAlign w:val="center"/>
                </w:tcPr>
                <w:p w14:paraId="69D3D4C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空间相对位置/m</w:t>
                  </w:r>
                </w:p>
              </w:tc>
              <w:tc>
                <w:tcPr>
                  <w:tcW w:w="335" w:type="pct"/>
                  <w:vMerge w:val="restart"/>
                  <w:noWrap w:val="0"/>
                  <w:vAlign w:val="center"/>
                </w:tcPr>
                <w:p w14:paraId="76F4FA0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距室内边界距离/m</w:t>
                  </w:r>
                </w:p>
              </w:tc>
              <w:tc>
                <w:tcPr>
                  <w:tcW w:w="336" w:type="pct"/>
                  <w:vMerge w:val="restart"/>
                  <w:noWrap w:val="0"/>
                  <w:vAlign w:val="center"/>
                </w:tcPr>
                <w:p w14:paraId="477C95C7">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室内边界声级/dB(A)</w:t>
                  </w:r>
                </w:p>
              </w:tc>
              <w:tc>
                <w:tcPr>
                  <w:tcW w:w="340" w:type="pct"/>
                  <w:vMerge w:val="restart"/>
                  <w:noWrap w:val="0"/>
                  <w:vAlign w:val="center"/>
                </w:tcPr>
                <w:p w14:paraId="54143E5C">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运行时段</w:t>
                  </w:r>
                </w:p>
              </w:tc>
              <w:tc>
                <w:tcPr>
                  <w:tcW w:w="416" w:type="pct"/>
                  <w:vMerge w:val="restart"/>
                  <w:noWrap w:val="0"/>
                  <w:vAlign w:val="center"/>
                </w:tcPr>
                <w:p w14:paraId="2A19CA29">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建筑物插入损失/ dB(A)</w:t>
                  </w:r>
                </w:p>
              </w:tc>
              <w:tc>
                <w:tcPr>
                  <w:tcW w:w="854" w:type="pct"/>
                  <w:gridSpan w:val="2"/>
                  <w:noWrap w:val="0"/>
                  <w:vAlign w:val="center"/>
                </w:tcPr>
                <w:p w14:paraId="33D85ED6">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建筑物外噪声</w:t>
                  </w:r>
                </w:p>
              </w:tc>
            </w:tr>
            <w:tr w14:paraId="62F7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47" w:type="pct"/>
                  <w:vMerge w:val="continue"/>
                  <w:noWrap w:val="0"/>
                  <w:vAlign w:val="center"/>
                </w:tcPr>
                <w:p w14:paraId="69DD1AF5">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p>
              </w:tc>
              <w:tc>
                <w:tcPr>
                  <w:tcW w:w="248" w:type="pct"/>
                  <w:vMerge w:val="continue"/>
                  <w:noWrap w:val="0"/>
                  <w:vAlign w:val="center"/>
                </w:tcPr>
                <w:p w14:paraId="3D123FA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p>
              </w:tc>
              <w:tc>
                <w:tcPr>
                  <w:tcW w:w="555" w:type="pct"/>
                  <w:vMerge w:val="continue"/>
                  <w:noWrap w:val="0"/>
                  <w:vAlign w:val="center"/>
                </w:tcPr>
                <w:p w14:paraId="20588B01">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p>
              </w:tc>
              <w:tc>
                <w:tcPr>
                  <w:tcW w:w="421" w:type="pct"/>
                  <w:noWrap w:val="0"/>
                  <w:vAlign w:val="center"/>
                </w:tcPr>
                <w:p w14:paraId="28F80CB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rPr>
                    <w:t>声功率级/dB（A）</w:t>
                  </w:r>
                </w:p>
              </w:tc>
              <w:tc>
                <w:tcPr>
                  <w:tcW w:w="325" w:type="pct"/>
                  <w:vMerge w:val="continue"/>
                  <w:noWrap w:val="0"/>
                  <w:vAlign w:val="center"/>
                </w:tcPr>
                <w:p w14:paraId="757A0692">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p>
              </w:tc>
              <w:tc>
                <w:tcPr>
                  <w:tcW w:w="363" w:type="pct"/>
                  <w:noWrap w:val="0"/>
                  <w:vAlign w:val="center"/>
                </w:tcPr>
                <w:p w14:paraId="5F5F004C">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X</w:t>
                  </w:r>
                </w:p>
              </w:tc>
              <w:tc>
                <w:tcPr>
                  <w:tcW w:w="315" w:type="pct"/>
                  <w:noWrap w:val="0"/>
                  <w:vAlign w:val="center"/>
                </w:tcPr>
                <w:p w14:paraId="3B74C1C4">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Y</w:t>
                  </w:r>
                </w:p>
              </w:tc>
              <w:tc>
                <w:tcPr>
                  <w:tcW w:w="239" w:type="pct"/>
                  <w:noWrap w:val="0"/>
                  <w:vAlign w:val="center"/>
                </w:tcPr>
                <w:p w14:paraId="6761639F">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Z</w:t>
                  </w:r>
                </w:p>
              </w:tc>
              <w:tc>
                <w:tcPr>
                  <w:tcW w:w="335" w:type="pct"/>
                  <w:vMerge w:val="continue"/>
                  <w:noWrap w:val="0"/>
                  <w:vAlign w:val="center"/>
                </w:tcPr>
                <w:p w14:paraId="2C4FDDCC">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p>
              </w:tc>
              <w:tc>
                <w:tcPr>
                  <w:tcW w:w="336" w:type="pct"/>
                  <w:vMerge w:val="continue"/>
                  <w:noWrap w:val="0"/>
                  <w:vAlign w:val="center"/>
                </w:tcPr>
                <w:p w14:paraId="2A1E48F7">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p>
              </w:tc>
              <w:tc>
                <w:tcPr>
                  <w:tcW w:w="340" w:type="pct"/>
                  <w:vMerge w:val="continue"/>
                  <w:noWrap w:val="0"/>
                  <w:vAlign w:val="center"/>
                </w:tcPr>
                <w:p w14:paraId="03A47ACD">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p>
              </w:tc>
              <w:tc>
                <w:tcPr>
                  <w:tcW w:w="416" w:type="pct"/>
                  <w:vMerge w:val="continue"/>
                  <w:noWrap w:val="0"/>
                  <w:vAlign w:val="center"/>
                </w:tcPr>
                <w:p w14:paraId="1DBF03C4">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p>
              </w:tc>
              <w:tc>
                <w:tcPr>
                  <w:tcW w:w="406" w:type="pct"/>
                  <w:noWrap w:val="0"/>
                  <w:vAlign w:val="center"/>
                </w:tcPr>
                <w:p w14:paraId="1758F5C4">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声压级/dB(A)</w:t>
                  </w:r>
                </w:p>
              </w:tc>
              <w:tc>
                <w:tcPr>
                  <w:tcW w:w="448" w:type="pct"/>
                  <w:noWrap w:val="0"/>
                  <w:vAlign w:val="center"/>
                </w:tcPr>
                <w:p w14:paraId="78F96E1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建筑物外距离/m</w:t>
                  </w:r>
                </w:p>
              </w:tc>
            </w:tr>
            <w:tr w14:paraId="28ED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noWrap w:val="0"/>
                  <w:vAlign w:val="center"/>
                </w:tcPr>
                <w:p w14:paraId="58BADB03">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w:t>
                  </w:r>
                </w:p>
              </w:tc>
              <w:tc>
                <w:tcPr>
                  <w:tcW w:w="248" w:type="pct"/>
                  <w:vMerge w:val="restart"/>
                  <w:noWrap w:val="0"/>
                  <w:vAlign w:val="center"/>
                </w:tcPr>
                <w:p w14:paraId="32E7594C">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生产车间</w:t>
                  </w:r>
                </w:p>
              </w:tc>
              <w:tc>
                <w:tcPr>
                  <w:tcW w:w="555" w:type="pct"/>
                  <w:shd w:val="clear" w:color="auto" w:fill="auto"/>
                  <w:noWrap w:val="0"/>
                  <w:vAlign w:val="center"/>
                </w:tcPr>
                <w:p w14:paraId="52F3E17A">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间歇式预发泡机</w:t>
                  </w:r>
                  <w:r>
                    <w:rPr>
                      <w:rFonts w:hint="default" w:ascii="Times New Roman" w:hAnsi="Times New Roman" w:cs="Times New Roman" w:eastAsiaTheme="minorEastAsia"/>
                      <w:b w:val="0"/>
                      <w:bCs/>
                      <w:color w:val="auto"/>
                      <w:sz w:val="21"/>
                      <w:szCs w:val="21"/>
                      <w:lang w:val="en-US" w:eastAsia="zh-CN"/>
                    </w:rPr>
                    <w:t>1</w:t>
                  </w:r>
                </w:p>
              </w:tc>
              <w:tc>
                <w:tcPr>
                  <w:tcW w:w="421" w:type="pct"/>
                  <w:noWrap w:val="0"/>
                  <w:vAlign w:val="center"/>
                </w:tcPr>
                <w:p w14:paraId="0C58DB3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b w:val="0"/>
                      <w:bCs/>
                      <w:i w:val="0"/>
                      <w:iCs/>
                      <w:color w:val="auto"/>
                      <w:kern w:val="2"/>
                      <w:sz w:val="21"/>
                      <w:szCs w:val="21"/>
                      <w:lang w:val="en-US" w:eastAsia="zh-CN"/>
                    </w:rPr>
                    <w:t>85</w:t>
                  </w:r>
                </w:p>
              </w:tc>
              <w:tc>
                <w:tcPr>
                  <w:tcW w:w="325" w:type="pct"/>
                  <w:vMerge w:val="restart"/>
                  <w:noWrap w:val="0"/>
                  <w:vAlign w:val="center"/>
                </w:tcPr>
                <w:p w14:paraId="2403048B">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基础减振、厂房隔声</w:t>
                  </w:r>
                </w:p>
                <w:p w14:paraId="218D330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both"/>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声</w:t>
                  </w:r>
                </w:p>
              </w:tc>
              <w:tc>
                <w:tcPr>
                  <w:tcW w:w="363" w:type="pct"/>
                  <w:noWrap w:val="0"/>
                  <w:vAlign w:val="center"/>
                </w:tcPr>
                <w:p w14:paraId="5B50E2B1">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27.89</w:t>
                  </w:r>
                </w:p>
              </w:tc>
              <w:tc>
                <w:tcPr>
                  <w:tcW w:w="315" w:type="pct"/>
                  <w:noWrap w:val="0"/>
                  <w:vAlign w:val="center"/>
                </w:tcPr>
                <w:p w14:paraId="7C934F71">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6.03</w:t>
                  </w:r>
                </w:p>
              </w:tc>
              <w:tc>
                <w:tcPr>
                  <w:tcW w:w="239" w:type="pct"/>
                  <w:noWrap w:val="0"/>
                  <w:vAlign w:val="center"/>
                </w:tcPr>
                <w:p w14:paraId="42DCA175">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kern w:val="0"/>
                      <w:sz w:val="21"/>
                      <w:szCs w:val="21"/>
                      <w:lang w:val="en-US" w:eastAsia="zh-CN" w:bidi="ar-SA"/>
                    </w:rPr>
                  </w:pPr>
                  <w:r>
                    <w:rPr>
                      <w:rFonts w:hint="default" w:ascii="Times New Roman" w:hAnsi="Times New Roman" w:cs="Times New Roman" w:eastAsiaTheme="minorEastAsia"/>
                      <w:i w:val="0"/>
                      <w:iCs/>
                      <w:color w:val="auto"/>
                      <w:sz w:val="21"/>
                      <w:szCs w:val="21"/>
                      <w:lang w:val="en-US" w:eastAsia="zh-CN"/>
                    </w:rPr>
                    <w:t>1</w:t>
                  </w:r>
                </w:p>
              </w:tc>
              <w:tc>
                <w:tcPr>
                  <w:tcW w:w="335" w:type="pct"/>
                  <w:noWrap w:val="0"/>
                  <w:vAlign w:val="center"/>
                </w:tcPr>
                <w:p w14:paraId="00896184">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28</w:t>
                  </w:r>
                </w:p>
              </w:tc>
              <w:tc>
                <w:tcPr>
                  <w:tcW w:w="336" w:type="pct"/>
                  <w:noWrap w:val="0"/>
                  <w:vAlign w:val="center"/>
                </w:tcPr>
                <w:p w14:paraId="5102E859">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56.06</w:t>
                  </w:r>
                </w:p>
              </w:tc>
              <w:tc>
                <w:tcPr>
                  <w:tcW w:w="340" w:type="pct"/>
                  <w:vMerge w:val="restart"/>
                  <w:noWrap w:val="0"/>
                  <w:vAlign w:val="center"/>
                </w:tcPr>
                <w:p w14:paraId="441A2D76">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2400h</w:t>
                  </w:r>
                </w:p>
              </w:tc>
              <w:tc>
                <w:tcPr>
                  <w:tcW w:w="416" w:type="pct"/>
                  <w:noWrap w:val="0"/>
                  <w:vAlign w:val="center"/>
                </w:tcPr>
                <w:p w14:paraId="557290C6">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15</w:t>
                  </w:r>
                </w:p>
              </w:tc>
              <w:tc>
                <w:tcPr>
                  <w:tcW w:w="406" w:type="pct"/>
                  <w:noWrap w:val="0"/>
                  <w:vAlign w:val="center"/>
                </w:tcPr>
                <w:p w14:paraId="688B4F05">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35.06</w:t>
                  </w:r>
                </w:p>
              </w:tc>
              <w:tc>
                <w:tcPr>
                  <w:tcW w:w="448" w:type="pct"/>
                  <w:noWrap w:val="0"/>
                  <w:vAlign w:val="center"/>
                </w:tcPr>
                <w:p w14:paraId="2BA5002A">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w:t>
                  </w:r>
                </w:p>
              </w:tc>
            </w:tr>
            <w:tr w14:paraId="7C49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shd w:val="clear" w:color="auto" w:fill="auto"/>
                  <w:noWrap w:val="0"/>
                  <w:vAlign w:val="center"/>
                </w:tcPr>
                <w:p w14:paraId="5C6E7379">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kern w:val="2"/>
                      <w:sz w:val="21"/>
                      <w:szCs w:val="21"/>
                      <w:lang w:val="en-US" w:eastAsia="zh-CN" w:bidi="ar-SA"/>
                    </w:rPr>
                  </w:pPr>
                  <w:r>
                    <w:rPr>
                      <w:rFonts w:hint="default" w:ascii="Times New Roman" w:hAnsi="Times New Roman" w:cs="Times New Roman" w:eastAsiaTheme="minorEastAsia"/>
                      <w:i w:val="0"/>
                      <w:iCs/>
                      <w:color w:val="auto"/>
                      <w:sz w:val="21"/>
                      <w:szCs w:val="21"/>
                      <w:lang w:val="en-US" w:eastAsia="zh-CN"/>
                    </w:rPr>
                    <w:t>2</w:t>
                  </w:r>
                </w:p>
              </w:tc>
              <w:tc>
                <w:tcPr>
                  <w:tcW w:w="248" w:type="pct"/>
                  <w:vMerge w:val="continue"/>
                  <w:noWrap w:val="0"/>
                  <w:vAlign w:val="center"/>
                </w:tcPr>
                <w:p w14:paraId="0C1BA85D">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555" w:type="pct"/>
                  <w:shd w:val="clear" w:color="auto" w:fill="auto"/>
                  <w:noWrap w:val="0"/>
                  <w:vAlign w:val="center"/>
                </w:tcPr>
                <w:p w14:paraId="7812017D">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eastAsia="zh-CN"/>
                    </w:rPr>
                    <w:t>间歇式预发泡机</w:t>
                  </w:r>
                  <w:r>
                    <w:rPr>
                      <w:rFonts w:hint="default" w:ascii="Times New Roman" w:hAnsi="Times New Roman" w:cs="Times New Roman" w:eastAsiaTheme="minorEastAsia"/>
                      <w:b w:val="0"/>
                      <w:bCs/>
                      <w:color w:val="auto"/>
                      <w:sz w:val="21"/>
                      <w:szCs w:val="21"/>
                      <w:lang w:val="en-US" w:eastAsia="zh-CN"/>
                    </w:rPr>
                    <w:t>2</w:t>
                  </w:r>
                </w:p>
              </w:tc>
              <w:tc>
                <w:tcPr>
                  <w:tcW w:w="421" w:type="pct"/>
                  <w:noWrap w:val="0"/>
                  <w:vAlign w:val="center"/>
                </w:tcPr>
                <w:p w14:paraId="73675CC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b w:val="0"/>
                      <w:bCs/>
                      <w:i w:val="0"/>
                      <w:iCs/>
                      <w:color w:val="auto"/>
                      <w:kern w:val="2"/>
                      <w:sz w:val="21"/>
                      <w:szCs w:val="21"/>
                      <w:lang w:val="en-US" w:eastAsia="zh-CN"/>
                    </w:rPr>
                  </w:pPr>
                  <w:r>
                    <w:rPr>
                      <w:rFonts w:hint="default" w:ascii="Times New Roman" w:hAnsi="Times New Roman" w:cs="Times New Roman" w:eastAsiaTheme="minorEastAsia"/>
                      <w:b w:val="0"/>
                      <w:bCs/>
                      <w:i w:val="0"/>
                      <w:iCs/>
                      <w:color w:val="auto"/>
                      <w:kern w:val="2"/>
                      <w:sz w:val="21"/>
                      <w:szCs w:val="21"/>
                      <w:lang w:val="en-US" w:eastAsia="zh-CN"/>
                    </w:rPr>
                    <w:t>85</w:t>
                  </w:r>
                </w:p>
              </w:tc>
              <w:tc>
                <w:tcPr>
                  <w:tcW w:w="325" w:type="pct"/>
                  <w:vMerge w:val="continue"/>
                  <w:noWrap w:val="0"/>
                  <w:vAlign w:val="center"/>
                </w:tcPr>
                <w:p w14:paraId="08E941D8">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both"/>
                    <w:textAlignment w:val="auto"/>
                    <w:rPr>
                      <w:rFonts w:hint="default" w:ascii="Times New Roman" w:hAnsi="Times New Roman" w:cs="Times New Roman" w:eastAsiaTheme="minorEastAsia"/>
                      <w:i w:val="0"/>
                      <w:iCs/>
                      <w:color w:val="auto"/>
                      <w:sz w:val="21"/>
                      <w:szCs w:val="21"/>
                      <w:lang w:val="en-US" w:eastAsia="zh-CN"/>
                    </w:rPr>
                  </w:pPr>
                </w:p>
              </w:tc>
              <w:tc>
                <w:tcPr>
                  <w:tcW w:w="363" w:type="pct"/>
                  <w:noWrap w:val="0"/>
                  <w:vAlign w:val="center"/>
                </w:tcPr>
                <w:p w14:paraId="123BE0D1">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25.36</w:t>
                  </w:r>
                </w:p>
              </w:tc>
              <w:tc>
                <w:tcPr>
                  <w:tcW w:w="315" w:type="pct"/>
                  <w:noWrap w:val="0"/>
                  <w:vAlign w:val="center"/>
                </w:tcPr>
                <w:p w14:paraId="16526B51">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6.69</w:t>
                  </w:r>
                </w:p>
              </w:tc>
              <w:tc>
                <w:tcPr>
                  <w:tcW w:w="239" w:type="pct"/>
                  <w:noWrap w:val="0"/>
                  <w:vAlign w:val="center"/>
                </w:tcPr>
                <w:p w14:paraId="1819C075">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w:t>
                  </w:r>
                </w:p>
              </w:tc>
              <w:tc>
                <w:tcPr>
                  <w:tcW w:w="335" w:type="pct"/>
                  <w:noWrap w:val="0"/>
                  <w:vAlign w:val="center"/>
                </w:tcPr>
                <w:p w14:paraId="1DC69916">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30</w:t>
                  </w:r>
                </w:p>
              </w:tc>
              <w:tc>
                <w:tcPr>
                  <w:tcW w:w="336" w:type="pct"/>
                  <w:noWrap w:val="0"/>
                  <w:vAlign w:val="center"/>
                </w:tcPr>
                <w:p w14:paraId="7E08B0A9">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55.46</w:t>
                  </w:r>
                </w:p>
              </w:tc>
              <w:tc>
                <w:tcPr>
                  <w:tcW w:w="340" w:type="pct"/>
                  <w:vMerge w:val="continue"/>
                  <w:noWrap w:val="0"/>
                  <w:vAlign w:val="center"/>
                </w:tcPr>
                <w:p w14:paraId="2973AA2A">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416" w:type="pct"/>
                  <w:noWrap w:val="0"/>
                  <w:vAlign w:val="center"/>
                </w:tcPr>
                <w:p w14:paraId="606D809B">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15</w:t>
                  </w:r>
                </w:p>
              </w:tc>
              <w:tc>
                <w:tcPr>
                  <w:tcW w:w="406" w:type="pct"/>
                  <w:noWrap w:val="0"/>
                  <w:vAlign w:val="center"/>
                </w:tcPr>
                <w:p w14:paraId="71728D3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34.46</w:t>
                  </w:r>
                </w:p>
              </w:tc>
              <w:tc>
                <w:tcPr>
                  <w:tcW w:w="448" w:type="pct"/>
                  <w:noWrap w:val="0"/>
                  <w:vAlign w:val="center"/>
                </w:tcPr>
                <w:p w14:paraId="361125F9">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w:t>
                  </w:r>
                </w:p>
              </w:tc>
            </w:tr>
            <w:tr w14:paraId="1CFD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shd w:val="clear" w:color="auto" w:fill="auto"/>
                  <w:noWrap w:val="0"/>
                  <w:vAlign w:val="center"/>
                </w:tcPr>
                <w:p w14:paraId="0905B6BB">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kern w:val="2"/>
                      <w:sz w:val="21"/>
                      <w:szCs w:val="21"/>
                      <w:lang w:val="en-US" w:eastAsia="zh-CN" w:bidi="ar-SA"/>
                    </w:rPr>
                  </w:pPr>
                  <w:r>
                    <w:rPr>
                      <w:rFonts w:hint="default" w:ascii="Times New Roman" w:hAnsi="Times New Roman" w:cs="Times New Roman" w:eastAsiaTheme="minorEastAsia"/>
                      <w:i w:val="0"/>
                      <w:iCs/>
                      <w:color w:val="auto"/>
                      <w:sz w:val="21"/>
                      <w:szCs w:val="21"/>
                      <w:lang w:val="en-US" w:eastAsia="zh-CN"/>
                    </w:rPr>
                    <w:t>3</w:t>
                  </w:r>
                </w:p>
              </w:tc>
              <w:tc>
                <w:tcPr>
                  <w:tcW w:w="248" w:type="pct"/>
                  <w:vMerge w:val="continue"/>
                  <w:noWrap w:val="0"/>
                  <w:vAlign w:val="center"/>
                </w:tcPr>
                <w:p w14:paraId="05EDFC9B">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555" w:type="pct"/>
                  <w:shd w:val="clear" w:color="auto" w:fill="auto"/>
                  <w:noWrap w:val="0"/>
                  <w:vAlign w:val="center"/>
                </w:tcPr>
                <w:p w14:paraId="57254DF6">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空气压缩机</w:t>
                  </w:r>
                </w:p>
              </w:tc>
              <w:tc>
                <w:tcPr>
                  <w:tcW w:w="421" w:type="pct"/>
                  <w:noWrap w:val="0"/>
                  <w:vAlign w:val="center"/>
                </w:tcPr>
                <w:p w14:paraId="1523F6B7">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b w:val="0"/>
                      <w:bCs/>
                      <w:i w:val="0"/>
                      <w:iCs/>
                      <w:color w:val="auto"/>
                      <w:kern w:val="2"/>
                      <w:sz w:val="21"/>
                      <w:szCs w:val="21"/>
                      <w:lang w:val="en-US" w:eastAsia="zh-CN"/>
                    </w:rPr>
                    <w:t>100</w:t>
                  </w:r>
                </w:p>
              </w:tc>
              <w:tc>
                <w:tcPr>
                  <w:tcW w:w="325" w:type="pct"/>
                  <w:vMerge w:val="continue"/>
                  <w:noWrap w:val="0"/>
                  <w:vAlign w:val="center"/>
                </w:tcPr>
                <w:p w14:paraId="016688F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363" w:type="pct"/>
                  <w:noWrap w:val="0"/>
                  <w:vAlign w:val="center"/>
                </w:tcPr>
                <w:p w14:paraId="0D204ACC">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30.02</w:t>
                  </w:r>
                </w:p>
              </w:tc>
              <w:tc>
                <w:tcPr>
                  <w:tcW w:w="315" w:type="pct"/>
                  <w:noWrap w:val="0"/>
                  <w:vAlign w:val="center"/>
                </w:tcPr>
                <w:p w14:paraId="2126AE47">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12.13</w:t>
                  </w:r>
                </w:p>
              </w:tc>
              <w:tc>
                <w:tcPr>
                  <w:tcW w:w="239" w:type="pct"/>
                  <w:noWrap w:val="0"/>
                  <w:vAlign w:val="center"/>
                </w:tcPr>
                <w:p w14:paraId="6DECCF25">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kern w:val="0"/>
                      <w:sz w:val="21"/>
                      <w:szCs w:val="21"/>
                      <w:lang w:val="en-US" w:eastAsia="zh-CN" w:bidi="ar-SA"/>
                    </w:rPr>
                  </w:pPr>
                  <w:r>
                    <w:rPr>
                      <w:rFonts w:hint="default" w:ascii="Times New Roman" w:hAnsi="Times New Roman" w:cs="Times New Roman" w:eastAsiaTheme="minorEastAsia"/>
                      <w:i w:val="0"/>
                      <w:iCs/>
                      <w:color w:val="auto"/>
                      <w:sz w:val="21"/>
                      <w:szCs w:val="21"/>
                      <w:lang w:val="en-US" w:eastAsia="zh-CN"/>
                    </w:rPr>
                    <w:t>1</w:t>
                  </w:r>
                </w:p>
              </w:tc>
              <w:tc>
                <w:tcPr>
                  <w:tcW w:w="335" w:type="pct"/>
                  <w:noWrap w:val="0"/>
                  <w:vAlign w:val="center"/>
                </w:tcPr>
                <w:p w14:paraId="6272BED1">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34</w:t>
                  </w:r>
                </w:p>
              </w:tc>
              <w:tc>
                <w:tcPr>
                  <w:tcW w:w="336" w:type="pct"/>
                  <w:noWrap w:val="0"/>
                  <w:vAlign w:val="center"/>
                </w:tcPr>
                <w:p w14:paraId="29C3B9D8">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69.37</w:t>
                  </w:r>
                </w:p>
              </w:tc>
              <w:tc>
                <w:tcPr>
                  <w:tcW w:w="340" w:type="pct"/>
                  <w:vMerge w:val="continue"/>
                  <w:noWrap w:val="0"/>
                  <w:vAlign w:val="center"/>
                </w:tcPr>
                <w:p w14:paraId="258D86DB">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416" w:type="pct"/>
                  <w:noWrap w:val="0"/>
                  <w:vAlign w:val="center"/>
                </w:tcPr>
                <w:p w14:paraId="48EF5B7D">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15</w:t>
                  </w:r>
                </w:p>
              </w:tc>
              <w:tc>
                <w:tcPr>
                  <w:tcW w:w="406" w:type="pct"/>
                  <w:noWrap w:val="0"/>
                  <w:vAlign w:val="center"/>
                </w:tcPr>
                <w:p w14:paraId="1E10B397">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38.37</w:t>
                  </w:r>
                </w:p>
              </w:tc>
              <w:tc>
                <w:tcPr>
                  <w:tcW w:w="448" w:type="pct"/>
                  <w:noWrap w:val="0"/>
                  <w:vAlign w:val="center"/>
                </w:tcPr>
                <w:p w14:paraId="74462645">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w:t>
                  </w:r>
                </w:p>
              </w:tc>
            </w:tr>
            <w:tr w14:paraId="0852C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shd w:val="clear" w:color="auto" w:fill="auto"/>
                  <w:noWrap w:val="0"/>
                  <w:vAlign w:val="center"/>
                </w:tcPr>
                <w:p w14:paraId="3B94D7B2">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kern w:val="2"/>
                      <w:sz w:val="21"/>
                      <w:szCs w:val="21"/>
                      <w:lang w:val="en-US" w:eastAsia="zh-CN" w:bidi="ar-SA"/>
                    </w:rPr>
                  </w:pPr>
                  <w:r>
                    <w:rPr>
                      <w:rFonts w:hint="default" w:ascii="Times New Roman" w:hAnsi="Times New Roman" w:cs="Times New Roman" w:eastAsiaTheme="minorEastAsia"/>
                      <w:i w:val="0"/>
                      <w:iCs/>
                      <w:color w:val="auto"/>
                      <w:sz w:val="21"/>
                      <w:szCs w:val="21"/>
                      <w:lang w:val="en-US" w:eastAsia="zh-CN"/>
                    </w:rPr>
                    <w:t>4</w:t>
                  </w:r>
                </w:p>
              </w:tc>
              <w:tc>
                <w:tcPr>
                  <w:tcW w:w="248" w:type="pct"/>
                  <w:vMerge w:val="continue"/>
                  <w:noWrap w:val="0"/>
                  <w:vAlign w:val="center"/>
                </w:tcPr>
                <w:p w14:paraId="5F4C3F2A">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555" w:type="pct"/>
                  <w:shd w:val="clear" w:color="auto" w:fill="auto"/>
                  <w:noWrap w:val="0"/>
                  <w:vAlign w:val="center"/>
                </w:tcPr>
                <w:p w14:paraId="019BE2FF">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风机</w:t>
                  </w:r>
                  <w:r>
                    <w:rPr>
                      <w:rFonts w:hint="default" w:ascii="Times New Roman" w:hAnsi="Times New Roman" w:cs="Times New Roman" w:eastAsiaTheme="minorEastAsia"/>
                      <w:b w:val="0"/>
                      <w:bCs/>
                      <w:color w:val="auto"/>
                      <w:sz w:val="21"/>
                      <w:szCs w:val="21"/>
                      <w:lang w:val="en-US" w:eastAsia="zh-CN"/>
                    </w:rPr>
                    <w:t>1</w:t>
                  </w:r>
                </w:p>
              </w:tc>
              <w:tc>
                <w:tcPr>
                  <w:tcW w:w="421" w:type="pct"/>
                  <w:noWrap w:val="0"/>
                  <w:vAlign w:val="center"/>
                </w:tcPr>
                <w:p w14:paraId="206B7144">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90</w:t>
                  </w:r>
                </w:p>
              </w:tc>
              <w:tc>
                <w:tcPr>
                  <w:tcW w:w="325" w:type="pct"/>
                  <w:vMerge w:val="continue"/>
                  <w:noWrap w:val="0"/>
                  <w:vAlign w:val="center"/>
                </w:tcPr>
                <w:p w14:paraId="26CF50EA">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363" w:type="pct"/>
                  <w:noWrap w:val="0"/>
                  <w:vAlign w:val="center"/>
                </w:tcPr>
                <w:p w14:paraId="16B8E7D2">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33.94</w:t>
                  </w:r>
                </w:p>
              </w:tc>
              <w:tc>
                <w:tcPr>
                  <w:tcW w:w="315" w:type="pct"/>
                  <w:noWrap w:val="0"/>
                  <w:vAlign w:val="center"/>
                </w:tcPr>
                <w:p w14:paraId="1BD6BFCA">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11.72</w:t>
                  </w:r>
                </w:p>
              </w:tc>
              <w:tc>
                <w:tcPr>
                  <w:tcW w:w="239" w:type="pct"/>
                  <w:noWrap w:val="0"/>
                  <w:vAlign w:val="center"/>
                </w:tcPr>
                <w:p w14:paraId="1F09E8AD">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kern w:val="0"/>
                      <w:sz w:val="21"/>
                      <w:szCs w:val="21"/>
                      <w:lang w:val="en-US" w:eastAsia="zh-CN" w:bidi="ar-SA"/>
                    </w:rPr>
                  </w:pPr>
                  <w:r>
                    <w:rPr>
                      <w:rFonts w:hint="default" w:ascii="Times New Roman" w:hAnsi="Times New Roman" w:cs="Times New Roman" w:eastAsiaTheme="minorEastAsia"/>
                      <w:i w:val="0"/>
                      <w:iCs/>
                      <w:color w:val="auto"/>
                      <w:sz w:val="21"/>
                      <w:szCs w:val="21"/>
                      <w:lang w:val="en-US" w:eastAsia="zh-CN"/>
                    </w:rPr>
                    <w:t>1</w:t>
                  </w:r>
                </w:p>
              </w:tc>
              <w:tc>
                <w:tcPr>
                  <w:tcW w:w="335" w:type="pct"/>
                  <w:noWrap w:val="0"/>
                  <w:vAlign w:val="center"/>
                </w:tcPr>
                <w:p w14:paraId="304E4431">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36</w:t>
                  </w:r>
                </w:p>
              </w:tc>
              <w:tc>
                <w:tcPr>
                  <w:tcW w:w="336" w:type="pct"/>
                  <w:noWrap w:val="0"/>
                  <w:vAlign w:val="center"/>
                </w:tcPr>
                <w:p w14:paraId="67A921B0">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58.87</w:t>
                  </w:r>
                </w:p>
              </w:tc>
              <w:tc>
                <w:tcPr>
                  <w:tcW w:w="340" w:type="pct"/>
                  <w:vMerge w:val="continue"/>
                  <w:noWrap w:val="0"/>
                  <w:vAlign w:val="center"/>
                </w:tcPr>
                <w:p w14:paraId="0BC905D7">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416" w:type="pct"/>
                  <w:noWrap w:val="0"/>
                  <w:vAlign w:val="center"/>
                </w:tcPr>
                <w:p w14:paraId="02D9B2D5">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15</w:t>
                  </w:r>
                </w:p>
              </w:tc>
              <w:tc>
                <w:tcPr>
                  <w:tcW w:w="406" w:type="pct"/>
                  <w:noWrap w:val="0"/>
                  <w:vAlign w:val="center"/>
                </w:tcPr>
                <w:p w14:paraId="4AFE4925">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37.87</w:t>
                  </w:r>
                </w:p>
              </w:tc>
              <w:tc>
                <w:tcPr>
                  <w:tcW w:w="448" w:type="pct"/>
                  <w:noWrap w:val="0"/>
                  <w:vAlign w:val="center"/>
                </w:tcPr>
                <w:p w14:paraId="3ADF76F9">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w:t>
                  </w:r>
                </w:p>
              </w:tc>
            </w:tr>
            <w:tr w14:paraId="3C2E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7" w:type="pct"/>
                  <w:shd w:val="clear" w:color="auto" w:fill="auto"/>
                  <w:noWrap w:val="0"/>
                  <w:vAlign w:val="center"/>
                </w:tcPr>
                <w:p w14:paraId="3DA0F41A">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kern w:val="2"/>
                      <w:sz w:val="21"/>
                      <w:szCs w:val="21"/>
                      <w:lang w:val="en-US" w:eastAsia="zh-CN" w:bidi="ar-SA"/>
                    </w:rPr>
                  </w:pPr>
                  <w:r>
                    <w:rPr>
                      <w:rFonts w:hint="default" w:ascii="Times New Roman" w:hAnsi="Times New Roman" w:cs="Times New Roman" w:eastAsiaTheme="minorEastAsia"/>
                      <w:i w:val="0"/>
                      <w:iCs/>
                      <w:color w:val="auto"/>
                      <w:sz w:val="21"/>
                      <w:szCs w:val="21"/>
                      <w:lang w:val="en-US" w:eastAsia="zh-CN"/>
                    </w:rPr>
                    <w:t>5</w:t>
                  </w:r>
                </w:p>
              </w:tc>
              <w:tc>
                <w:tcPr>
                  <w:tcW w:w="248" w:type="pct"/>
                  <w:vMerge w:val="continue"/>
                  <w:noWrap w:val="0"/>
                  <w:vAlign w:val="center"/>
                </w:tcPr>
                <w:p w14:paraId="233DE286">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555" w:type="pct"/>
                  <w:shd w:val="clear" w:color="auto" w:fill="auto"/>
                  <w:noWrap w:val="0"/>
                  <w:vAlign w:val="center"/>
                </w:tcPr>
                <w:p w14:paraId="05E860DC">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color w:val="auto"/>
                      <w:sz w:val="21"/>
                      <w:szCs w:val="21"/>
                      <w:lang w:val="en-US" w:eastAsia="zh-CN"/>
                    </w:rPr>
                  </w:pPr>
                  <w:r>
                    <w:rPr>
                      <w:rFonts w:hint="default" w:ascii="Times New Roman" w:hAnsi="Times New Roman" w:cs="Times New Roman" w:eastAsiaTheme="minorEastAsia"/>
                      <w:b w:val="0"/>
                      <w:bCs/>
                      <w:color w:val="auto"/>
                      <w:sz w:val="21"/>
                      <w:szCs w:val="21"/>
                      <w:lang w:val="en-US" w:eastAsia="zh-CN"/>
                    </w:rPr>
                    <w:t>风机2</w:t>
                  </w:r>
                </w:p>
              </w:tc>
              <w:tc>
                <w:tcPr>
                  <w:tcW w:w="421" w:type="pct"/>
                  <w:noWrap w:val="0"/>
                  <w:vAlign w:val="center"/>
                </w:tcPr>
                <w:p w14:paraId="0C1C396B">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90</w:t>
                  </w:r>
                </w:p>
              </w:tc>
              <w:tc>
                <w:tcPr>
                  <w:tcW w:w="325" w:type="pct"/>
                  <w:vMerge w:val="continue"/>
                  <w:noWrap w:val="0"/>
                  <w:vAlign w:val="center"/>
                </w:tcPr>
                <w:p w14:paraId="520DDCF0">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363" w:type="pct"/>
                  <w:noWrap w:val="0"/>
                  <w:vAlign w:val="center"/>
                </w:tcPr>
                <w:p w14:paraId="7572DD2B">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25.77</w:t>
                  </w:r>
                </w:p>
              </w:tc>
              <w:tc>
                <w:tcPr>
                  <w:tcW w:w="315" w:type="pct"/>
                  <w:noWrap w:val="0"/>
                  <w:vAlign w:val="center"/>
                </w:tcPr>
                <w:p w14:paraId="2B1259B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12.31</w:t>
                  </w:r>
                </w:p>
              </w:tc>
              <w:tc>
                <w:tcPr>
                  <w:tcW w:w="239" w:type="pct"/>
                  <w:noWrap w:val="0"/>
                  <w:vAlign w:val="center"/>
                </w:tcPr>
                <w:p w14:paraId="0DDD90B4">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w:t>
                  </w:r>
                </w:p>
              </w:tc>
              <w:tc>
                <w:tcPr>
                  <w:tcW w:w="335" w:type="pct"/>
                  <w:noWrap w:val="0"/>
                  <w:vAlign w:val="center"/>
                </w:tcPr>
                <w:p w14:paraId="6C336BD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42</w:t>
                  </w:r>
                </w:p>
              </w:tc>
              <w:tc>
                <w:tcPr>
                  <w:tcW w:w="336" w:type="pct"/>
                  <w:noWrap w:val="0"/>
                  <w:vAlign w:val="center"/>
                </w:tcPr>
                <w:p w14:paraId="3ED85637">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57.53</w:t>
                  </w:r>
                </w:p>
              </w:tc>
              <w:tc>
                <w:tcPr>
                  <w:tcW w:w="340" w:type="pct"/>
                  <w:vMerge w:val="continue"/>
                  <w:noWrap w:val="0"/>
                  <w:vAlign w:val="center"/>
                </w:tcPr>
                <w:p w14:paraId="6DB1B93E">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416" w:type="pct"/>
                  <w:noWrap w:val="0"/>
                  <w:vAlign w:val="center"/>
                </w:tcPr>
                <w:p w14:paraId="75784A5F">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15</w:t>
                  </w:r>
                </w:p>
              </w:tc>
              <w:tc>
                <w:tcPr>
                  <w:tcW w:w="406" w:type="pct"/>
                  <w:noWrap w:val="0"/>
                  <w:vAlign w:val="center"/>
                </w:tcPr>
                <w:p w14:paraId="3E06B419">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36.53</w:t>
                  </w:r>
                </w:p>
              </w:tc>
              <w:tc>
                <w:tcPr>
                  <w:tcW w:w="448" w:type="pct"/>
                  <w:noWrap w:val="0"/>
                  <w:vAlign w:val="center"/>
                </w:tcPr>
                <w:p w14:paraId="4677B190">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w:t>
                  </w:r>
                </w:p>
              </w:tc>
            </w:tr>
            <w:tr w14:paraId="34628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247" w:type="pct"/>
                  <w:shd w:val="clear" w:color="auto" w:fill="auto"/>
                  <w:noWrap w:val="0"/>
                  <w:vAlign w:val="center"/>
                </w:tcPr>
                <w:p w14:paraId="71E52E25">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kern w:val="2"/>
                      <w:sz w:val="21"/>
                      <w:szCs w:val="21"/>
                      <w:lang w:val="en-US" w:eastAsia="zh-CN" w:bidi="ar-SA"/>
                    </w:rPr>
                  </w:pPr>
                  <w:r>
                    <w:rPr>
                      <w:rFonts w:hint="default" w:ascii="Times New Roman" w:hAnsi="Times New Roman" w:cs="Times New Roman" w:eastAsiaTheme="minorEastAsia"/>
                      <w:i w:val="0"/>
                      <w:iCs/>
                      <w:color w:val="auto"/>
                      <w:kern w:val="2"/>
                      <w:sz w:val="21"/>
                      <w:szCs w:val="21"/>
                      <w:lang w:val="en-US" w:eastAsia="zh-CN" w:bidi="ar-SA"/>
                    </w:rPr>
                    <w:t>6</w:t>
                  </w:r>
                </w:p>
              </w:tc>
              <w:tc>
                <w:tcPr>
                  <w:tcW w:w="248" w:type="pct"/>
                  <w:vMerge w:val="continue"/>
                  <w:noWrap w:val="0"/>
                  <w:vAlign w:val="center"/>
                </w:tcPr>
                <w:p w14:paraId="7FF32F49">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555" w:type="pct"/>
                  <w:shd w:val="clear" w:color="auto" w:fill="auto"/>
                  <w:noWrap w:val="0"/>
                  <w:vAlign w:val="center"/>
                </w:tcPr>
                <w:p w14:paraId="170CBECE">
                  <w:pPr>
                    <w:pStyle w:val="5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eastAsiaTheme="minorEastAsia"/>
                      <w:b w:val="0"/>
                      <w:bCs/>
                      <w:color w:val="auto"/>
                      <w:kern w:val="2"/>
                      <w:sz w:val="21"/>
                      <w:szCs w:val="21"/>
                      <w:lang w:val="en-US" w:eastAsia="zh-CN" w:bidi="ar-SA"/>
                    </w:rPr>
                  </w:pPr>
                  <w:r>
                    <w:rPr>
                      <w:rFonts w:hint="default" w:ascii="Times New Roman" w:hAnsi="Times New Roman" w:cs="Times New Roman" w:eastAsiaTheme="minorEastAsia"/>
                      <w:b w:val="0"/>
                      <w:bCs/>
                      <w:color w:val="auto"/>
                      <w:sz w:val="21"/>
                      <w:szCs w:val="21"/>
                      <w:lang w:eastAsia="zh-CN"/>
                    </w:rPr>
                    <w:t>水泵</w:t>
                  </w:r>
                  <w:r>
                    <w:rPr>
                      <w:rFonts w:hint="default" w:ascii="Times New Roman" w:hAnsi="Times New Roman" w:cs="Times New Roman" w:eastAsiaTheme="minorEastAsia"/>
                      <w:b w:val="0"/>
                      <w:bCs/>
                      <w:color w:val="auto"/>
                      <w:sz w:val="21"/>
                      <w:szCs w:val="21"/>
                      <w:lang w:val="en-US" w:eastAsia="zh-CN"/>
                    </w:rPr>
                    <w:t>1</w:t>
                  </w:r>
                </w:p>
              </w:tc>
              <w:tc>
                <w:tcPr>
                  <w:tcW w:w="421" w:type="pct"/>
                  <w:noWrap w:val="0"/>
                  <w:vAlign w:val="center"/>
                </w:tcPr>
                <w:p w14:paraId="4DEA0E9C">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baseline"/>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b w:val="0"/>
                      <w:bCs/>
                      <w:i w:val="0"/>
                      <w:iCs/>
                      <w:color w:val="auto"/>
                      <w:kern w:val="2"/>
                      <w:sz w:val="21"/>
                      <w:szCs w:val="21"/>
                      <w:lang w:val="en-US" w:eastAsia="zh-CN"/>
                    </w:rPr>
                    <w:t>85</w:t>
                  </w:r>
                </w:p>
              </w:tc>
              <w:tc>
                <w:tcPr>
                  <w:tcW w:w="325" w:type="pct"/>
                  <w:vMerge w:val="continue"/>
                  <w:noWrap w:val="0"/>
                  <w:vAlign w:val="center"/>
                </w:tcPr>
                <w:p w14:paraId="2DB014AD">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363" w:type="pct"/>
                  <w:noWrap w:val="0"/>
                  <w:vAlign w:val="center"/>
                </w:tcPr>
                <w:p w14:paraId="0B5553AC">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26.77</w:t>
                  </w:r>
                </w:p>
              </w:tc>
              <w:tc>
                <w:tcPr>
                  <w:tcW w:w="315" w:type="pct"/>
                  <w:noWrap w:val="0"/>
                  <w:vAlign w:val="center"/>
                </w:tcPr>
                <w:p w14:paraId="6D20FB32">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7.9</w:t>
                  </w:r>
                </w:p>
              </w:tc>
              <w:tc>
                <w:tcPr>
                  <w:tcW w:w="239" w:type="pct"/>
                  <w:noWrap w:val="0"/>
                  <w:vAlign w:val="center"/>
                </w:tcPr>
                <w:p w14:paraId="0A26ED07">
                  <w:pPr>
                    <w:pStyle w:val="15"/>
                    <w:keepNext w:val="0"/>
                    <w:keepLines w:val="0"/>
                    <w:pageBreakBefore w:val="0"/>
                    <w:kinsoku/>
                    <w:wordWrap/>
                    <w:overflowPunct/>
                    <w:topLinePunct w:val="0"/>
                    <w:autoSpaceDE/>
                    <w:autoSpaceDN/>
                    <w:bidi w:val="0"/>
                    <w:adjustRightInd w:val="0"/>
                    <w:snapToGrid w:val="0"/>
                    <w:spacing w:before="0" w:after="0" w:line="240" w:lineRule="auto"/>
                    <w:ind w:right="0" w:rightChars="0" w:firstLine="0" w:firstLineChars="0"/>
                    <w:jc w:val="center"/>
                    <w:textAlignment w:val="auto"/>
                    <w:rPr>
                      <w:rFonts w:hint="default" w:ascii="Times New Roman" w:hAnsi="Times New Roman" w:cs="Times New Roman" w:eastAsiaTheme="minorEastAsia"/>
                      <w:i w:val="0"/>
                      <w:iCs/>
                      <w:color w:val="auto"/>
                      <w:kern w:val="0"/>
                      <w:sz w:val="21"/>
                      <w:szCs w:val="21"/>
                      <w:lang w:val="en-US" w:eastAsia="zh-CN" w:bidi="ar-SA"/>
                    </w:rPr>
                  </w:pPr>
                  <w:r>
                    <w:rPr>
                      <w:rFonts w:hint="default" w:ascii="Times New Roman" w:hAnsi="Times New Roman" w:cs="Times New Roman" w:eastAsiaTheme="minorEastAsia"/>
                      <w:i w:val="0"/>
                      <w:iCs/>
                      <w:color w:val="auto"/>
                      <w:sz w:val="21"/>
                      <w:szCs w:val="21"/>
                      <w:lang w:val="en-US" w:eastAsia="zh-CN"/>
                    </w:rPr>
                    <w:t>1</w:t>
                  </w:r>
                </w:p>
              </w:tc>
              <w:tc>
                <w:tcPr>
                  <w:tcW w:w="335" w:type="pct"/>
                  <w:noWrap w:val="0"/>
                  <w:vAlign w:val="center"/>
                </w:tcPr>
                <w:p w14:paraId="4A9AEB2D">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26</w:t>
                  </w:r>
                </w:p>
              </w:tc>
              <w:tc>
                <w:tcPr>
                  <w:tcW w:w="336" w:type="pct"/>
                  <w:noWrap w:val="0"/>
                  <w:vAlign w:val="center"/>
                </w:tcPr>
                <w:p w14:paraId="19B1510B">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56.7</w:t>
                  </w:r>
                </w:p>
              </w:tc>
              <w:tc>
                <w:tcPr>
                  <w:tcW w:w="340" w:type="pct"/>
                  <w:vMerge w:val="continue"/>
                  <w:noWrap w:val="0"/>
                  <w:vAlign w:val="center"/>
                </w:tcPr>
                <w:p w14:paraId="66345094">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416" w:type="pct"/>
                  <w:noWrap w:val="0"/>
                  <w:vAlign w:val="center"/>
                </w:tcPr>
                <w:p w14:paraId="78F2369D">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15</w:t>
                  </w:r>
                </w:p>
              </w:tc>
              <w:tc>
                <w:tcPr>
                  <w:tcW w:w="406" w:type="pct"/>
                  <w:noWrap w:val="0"/>
                  <w:vAlign w:val="center"/>
                </w:tcPr>
                <w:p w14:paraId="647C2F2C">
                  <w:pPr>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35.7</w:t>
                  </w:r>
                </w:p>
              </w:tc>
              <w:tc>
                <w:tcPr>
                  <w:tcW w:w="448" w:type="pct"/>
                  <w:noWrap w:val="0"/>
                  <w:vAlign w:val="center"/>
                </w:tcPr>
                <w:p w14:paraId="2461F1F0">
                  <w:pPr>
                    <w:pStyle w:val="15"/>
                    <w:keepNext w:val="0"/>
                    <w:keepLines w:val="0"/>
                    <w:pageBreakBefore w:val="0"/>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w:t>
                  </w:r>
                </w:p>
              </w:tc>
            </w:tr>
          </w:tbl>
          <w:p w14:paraId="7FA69786">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auto"/>
                <w:sz w:val="24"/>
                <w:szCs w:val="24"/>
                <w:lang w:val="en-US" w:eastAsia="zh-CN"/>
              </w:rPr>
            </w:pPr>
            <w:r>
              <w:rPr>
                <w:rFonts w:hint="eastAsia" w:cs="Times New Roman"/>
                <w:color w:val="auto"/>
                <w:kern w:val="24"/>
                <w:sz w:val="24"/>
                <w:szCs w:val="24"/>
                <w:lang w:val="en-US" w:eastAsia="zh-CN"/>
              </w:rPr>
              <w:t>本项目一体化污水处理设施位于办公生活区，为室外声源，</w:t>
            </w:r>
            <w:r>
              <w:rPr>
                <w:rFonts w:hint="default" w:ascii="Times New Roman" w:hAnsi="Times New Roman" w:eastAsia="宋体" w:cs="Times New Roman"/>
                <w:color w:val="auto"/>
                <w:sz w:val="24"/>
                <w:szCs w:val="24"/>
              </w:rPr>
              <w:t>噪声源强调查清单见表4-1</w:t>
            </w:r>
            <w:r>
              <w:rPr>
                <w:rFonts w:hint="eastAsia" w:cs="Times New Roman"/>
                <w:color w:val="auto"/>
                <w:sz w:val="24"/>
                <w:szCs w:val="24"/>
                <w:lang w:val="en-US" w:eastAsia="zh-CN"/>
              </w:rPr>
              <w:t>7。</w:t>
            </w:r>
          </w:p>
          <w:p w14:paraId="62100E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color w:val="auto"/>
                <w:sz w:val="24"/>
                <w:szCs w:val="24"/>
                <w:lang w:val="en-US" w:eastAsia="zh-CN"/>
              </w:rPr>
            </w:pPr>
            <w:r>
              <w:rPr>
                <w:rFonts w:hint="eastAsia" w:ascii="Times New Roman" w:hAnsi="Times New Roman" w:cs="Times New Roman"/>
                <w:b/>
                <w:color w:val="auto"/>
                <w:sz w:val="24"/>
                <w:szCs w:val="24"/>
                <w:lang w:val="en-US" w:eastAsia="zh-CN"/>
              </w:rPr>
              <w:t>表4-1</w:t>
            </w:r>
            <w:r>
              <w:rPr>
                <w:rFonts w:hint="eastAsia" w:cs="Times New Roman"/>
                <w:b/>
                <w:color w:val="auto"/>
                <w:sz w:val="24"/>
                <w:szCs w:val="24"/>
                <w:lang w:val="en-US" w:eastAsia="zh-CN"/>
              </w:rPr>
              <w:t>7</w:t>
            </w:r>
            <w:r>
              <w:rPr>
                <w:rFonts w:hint="eastAsia" w:ascii="Times New Roman" w:hAnsi="Times New Roman" w:cs="Times New Roman"/>
                <w:b/>
                <w:color w:val="auto"/>
                <w:sz w:val="24"/>
                <w:szCs w:val="24"/>
                <w:lang w:val="en-US" w:eastAsia="zh-CN"/>
              </w:rPr>
              <w:t xml:space="preserve"> 室外声源调查</w:t>
            </w:r>
            <w:r>
              <w:rPr>
                <w:rFonts w:hint="eastAsia" w:cs="Times New Roman"/>
                <w:b/>
                <w:color w:val="auto"/>
                <w:sz w:val="24"/>
                <w:szCs w:val="24"/>
                <w:lang w:val="en-US" w:eastAsia="zh-CN"/>
              </w:rPr>
              <w:t>清单</w:t>
            </w:r>
          </w:p>
          <w:tbl>
            <w:tblPr>
              <w:tblStyle w:val="34"/>
              <w:tblW w:w="7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1552"/>
              <w:gridCol w:w="878"/>
              <w:gridCol w:w="855"/>
              <w:gridCol w:w="900"/>
              <w:gridCol w:w="1260"/>
              <w:gridCol w:w="1050"/>
              <w:gridCol w:w="779"/>
            </w:tblGrid>
            <w:tr w14:paraId="1938F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72" w:type="dxa"/>
                  <w:vMerge w:val="restart"/>
                  <w:vAlign w:val="center"/>
                </w:tcPr>
                <w:p w14:paraId="07FAE107">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序号</w:t>
                  </w:r>
                </w:p>
              </w:tc>
              <w:tc>
                <w:tcPr>
                  <w:tcW w:w="1552" w:type="dxa"/>
                  <w:vMerge w:val="restart"/>
                  <w:vAlign w:val="center"/>
                </w:tcPr>
                <w:p w14:paraId="76A365B1">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p>
                <w:p w14:paraId="0CB08BA3">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声源名称</w:t>
                  </w:r>
                </w:p>
              </w:tc>
              <w:tc>
                <w:tcPr>
                  <w:tcW w:w="2633" w:type="dxa"/>
                  <w:gridSpan w:val="3"/>
                  <w:vAlign w:val="center"/>
                </w:tcPr>
                <w:p w14:paraId="376130DF">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空间位置</w:t>
                  </w:r>
                </w:p>
              </w:tc>
              <w:tc>
                <w:tcPr>
                  <w:tcW w:w="1260" w:type="dxa"/>
                  <w:vAlign w:val="center"/>
                </w:tcPr>
                <w:p w14:paraId="6D4B4419">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声源源强</w:t>
                  </w:r>
                </w:p>
              </w:tc>
              <w:tc>
                <w:tcPr>
                  <w:tcW w:w="1050" w:type="dxa"/>
                  <w:vMerge w:val="restart"/>
                  <w:vAlign w:val="center"/>
                </w:tcPr>
                <w:p w14:paraId="5ADFE824">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控制措施</w:t>
                  </w:r>
                </w:p>
              </w:tc>
              <w:tc>
                <w:tcPr>
                  <w:tcW w:w="779" w:type="dxa"/>
                  <w:vMerge w:val="restart"/>
                  <w:vAlign w:val="center"/>
                </w:tcPr>
                <w:p w14:paraId="524197B9">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运行时段</w:t>
                  </w:r>
                </w:p>
              </w:tc>
            </w:tr>
            <w:tr w14:paraId="4E91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72" w:type="dxa"/>
                  <w:vMerge w:val="continue"/>
                  <w:vAlign w:val="center"/>
                </w:tcPr>
                <w:p w14:paraId="5AF63ED1">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p>
              </w:tc>
              <w:tc>
                <w:tcPr>
                  <w:tcW w:w="1552" w:type="dxa"/>
                  <w:vMerge w:val="continue"/>
                  <w:vAlign w:val="center"/>
                </w:tcPr>
                <w:p w14:paraId="28D3B329">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p>
              </w:tc>
              <w:tc>
                <w:tcPr>
                  <w:tcW w:w="878" w:type="dxa"/>
                  <w:vAlign w:val="center"/>
                </w:tcPr>
                <w:p w14:paraId="66D93B17">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X</w:t>
                  </w:r>
                </w:p>
              </w:tc>
              <w:tc>
                <w:tcPr>
                  <w:tcW w:w="855" w:type="dxa"/>
                  <w:vAlign w:val="center"/>
                </w:tcPr>
                <w:p w14:paraId="27FEED56">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Y</w:t>
                  </w:r>
                </w:p>
              </w:tc>
              <w:tc>
                <w:tcPr>
                  <w:tcW w:w="900" w:type="dxa"/>
                  <w:vAlign w:val="center"/>
                </w:tcPr>
                <w:p w14:paraId="300250B0">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Z</w:t>
                  </w:r>
                </w:p>
              </w:tc>
              <w:tc>
                <w:tcPr>
                  <w:tcW w:w="1260" w:type="dxa"/>
                  <w:vAlign w:val="center"/>
                </w:tcPr>
                <w:p w14:paraId="08028A11">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声功率级/dB（A）</w:t>
                  </w:r>
                </w:p>
              </w:tc>
              <w:tc>
                <w:tcPr>
                  <w:tcW w:w="1050" w:type="dxa"/>
                  <w:vMerge w:val="continue"/>
                  <w:vAlign w:val="center"/>
                </w:tcPr>
                <w:p w14:paraId="67DD4979">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p>
              </w:tc>
              <w:tc>
                <w:tcPr>
                  <w:tcW w:w="779" w:type="dxa"/>
                  <w:vMerge w:val="continue"/>
                  <w:vAlign w:val="center"/>
                </w:tcPr>
                <w:p w14:paraId="2D96C544">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p>
              </w:tc>
            </w:tr>
            <w:tr w14:paraId="5E4E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572" w:type="dxa"/>
                  <w:vAlign w:val="center"/>
                </w:tcPr>
                <w:p w14:paraId="6486C837">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1</w:t>
                  </w:r>
                </w:p>
              </w:tc>
              <w:tc>
                <w:tcPr>
                  <w:tcW w:w="1552" w:type="dxa"/>
                  <w:vAlign w:val="center"/>
                </w:tcPr>
                <w:p w14:paraId="7945D4CC">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一体化污水处理设施</w:t>
                  </w:r>
                </w:p>
              </w:tc>
              <w:tc>
                <w:tcPr>
                  <w:tcW w:w="878" w:type="dxa"/>
                  <w:vAlign w:val="center"/>
                </w:tcPr>
                <w:p w14:paraId="696B16F1">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eastAsia" w:ascii="Times New Roman" w:hAnsi="Times New Roman" w:cs="Times New Roman" w:eastAsiaTheme="minorEastAsia"/>
                      <w:b w:val="0"/>
                      <w:bCs w:val="0"/>
                      <w:i w:val="0"/>
                      <w:iCs/>
                      <w:color w:val="auto"/>
                      <w:sz w:val="21"/>
                      <w:szCs w:val="21"/>
                      <w:lang w:val="en-US" w:eastAsia="zh-CN"/>
                    </w:rPr>
                    <w:t>50.04</w:t>
                  </w:r>
                </w:p>
              </w:tc>
              <w:tc>
                <w:tcPr>
                  <w:tcW w:w="855" w:type="dxa"/>
                  <w:vAlign w:val="center"/>
                </w:tcPr>
                <w:p w14:paraId="071A0827">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eastAsia" w:ascii="Times New Roman" w:hAnsi="Times New Roman" w:cs="Times New Roman" w:eastAsiaTheme="minorEastAsia"/>
                      <w:b w:val="0"/>
                      <w:bCs w:val="0"/>
                      <w:i w:val="0"/>
                      <w:iCs/>
                      <w:color w:val="auto"/>
                      <w:sz w:val="21"/>
                      <w:szCs w:val="21"/>
                      <w:lang w:val="en-US" w:eastAsia="zh-CN"/>
                    </w:rPr>
                    <w:t>-38.31</w:t>
                  </w:r>
                </w:p>
              </w:tc>
              <w:tc>
                <w:tcPr>
                  <w:tcW w:w="900" w:type="dxa"/>
                  <w:vAlign w:val="center"/>
                </w:tcPr>
                <w:p w14:paraId="7129582D">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eastAsia" w:ascii="Times New Roman" w:hAnsi="Times New Roman" w:cs="Times New Roman" w:eastAsiaTheme="minorEastAsia"/>
                      <w:b w:val="0"/>
                      <w:bCs w:val="0"/>
                      <w:i w:val="0"/>
                      <w:iCs/>
                      <w:color w:val="auto"/>
                      <w:sz w:val="21"/>
                      <w:szCs w:val="21"/>
                      <w:lang w:val="en-US" w:eastAsia="zh-CN"/>
                    </w:rPr>
                    <w:t>1</w:t>
                  </w:r>
                </w:p>
              </w:tc>
              <w:tc>
                <w:tcPr>
                  <w:tcW w:w="1260" w:type="dxa"/>
                  <w:vAlign w:val="center"/>
                </w:tcPr>
                <w:p w14:paraId="0705F9E5">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80</w:t>
                  </w:r>
                </w:p>
              </w:tc>
              <w:tc>
                <w:tcPr>
                  <w:tcW w:w="1050" w:type="dxa"/>
                  <w:vMerge w:val="restart"/>
                  <w:vAlign w:val="center"/>
                </w:tcPr>
                <w:p w14:paraId="24645D82">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低噪声设备、减震垫等</w:t>
                  </w:r>
                </w:p>
              </w:tc>
              <w:tc>
                <w:tcPr>
                  <w:tcW w:w="779" w:type="dxa"/>
                  <w:vAlign w:val="center"/>
                </w:tcPr>
                <w:p w14:paraId="7B5903C1">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2400</w:t>
                  </w:r>
                </w:p>
              </w:tc>
            </w:tr>
            <w:tr w14:paraId="5049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72" w:type="dxa"/>
                  <w:vAlign w:val="center"/>
                </w:tcPr>
                <w:p w14:paraId="7FB630B4">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2</w:t>
                  </w:r>
                </w:p>
              </w:tc>
              <w:tc>
                <w:tcPr>
                  <w:tcW w:w="1552" w:type="dxa"/>
                  <w:vAlign w:val="center"/>
                </w:tcPr>
                <w:p w14:paraId="6BC50A03">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default" w:ascii="Times New Roman" w:hAnsi="Times New Roman" w:cs="Times New Roman" w:eastAsiaTheme="minorEastAsia"/>
                      <w:b w:val="0"/>
                      <w:bCs w:val="0"/>
                      <w:i w:val="0"/>
                      <w:iCs/>
                      <w:color w:val="auto"/>
                      <w:sz w:val="21"/>
                      <w:szCs w:val="21"/>
                      <w:lang w:val="en-US" w:eastAsia="zh-CN"/>
                    </w:rPr>
                    <w:t>水泵2</w:t>
                  </w:r>
                </w:p>
              </w:tc>
              <w:tc>
                <w:tcPr>
                  <w:tcW w:w="878" w:type="dxa"/>
                  <w:vAlign w:val="center"/>
                </w:tcPr>
                <w:p w14:paraId="6A585725">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eastAsia" w:ascii="Times New Roman" w:hAnsi="Times New Roman" w:cs="Times New Roman" w:eastAsiaTheme="minorEastAsia"/>
                      <w:b w:val="0"/>
                      <w:bCs w:val="0"/>
                      <w:i w:val="0"/>
                      <w:iCs/>
                      <w:color w:val="auto"/>
                      <w:sz w:val="21"/>
                      <w:szCs w:val="21"/>
                      <w:lang w:val="en-US" w:eastAsia="zh-CN"/>
                    </w:rPr>
                    <w:t>48.68</w:t>
                  </w:r>
                </w:p>
              </w:tc>
              <w:tc>
                <w:tcPr>
                  <w:tcW w:w="855" w:type="dxa"/>
                  <w:vAlign w:val="center"/>
                </w:tcPr>
                <w:p w14:paraId="00BCFE75">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eastAsia" w:ascii="Times New Roman" w:hAnsi="Times New Roman" w:cs="Times New Roman" w:eastAsiaTheme="minorEastAsia"/>
                      <w:b w:val="0"/>
                      <w:bCs w:val="0"/>
                      <w:i w:val="0"/>
                      <w:iCs/>
                      <w:color w:val="auto"/>
                      <w:sz w:val="21"/>
                      <w:szCs w:val="21"/>
                      <w:lang w:val="en-US" w:eastAsia="zh-CN"/>
                    </w:rPr>
                    <w:t>-38.55</w:t>
                  </w:r>
                </w:p>
              </w:tc>
              <w:tc>
                <w:tcPr>
                  <w:tcW w:w="900" w:type="dxa"/>
                  <w:vAlign w:val="center"/>
                </w:tcPr>
                <w:p w14:paraId="1ECCD438">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eastAsia" w:ascii="Times New Roman" w:hAnsi="Times New Roman" w:cs="Times New Roman" w:eastAsiaTheme="minorEastAsia"/>
                      <w:b w:val="0"/>
                      <w:bCs w:val="0"/>
                      <w:i w:val="0"/>
                      <w:iCs/>
                      <w:color w:val="auto"/>
                      <w:sz w:val="21"/>
                      <w:szCs w:val="21"/>
                      <w:lang w:val="en-US" w:eastAsia="zh-CN"/>
                    </w:rPr>
                    <w:t>1</w:t>
                  </w:r>
                </w:p>
              </w:tc>
              <w:tc>
                <w:tcPr>
                  <w:tcW w:w="1260" w:type="dxa"/>
                  <w:vAlign w:val="center"/>
                </w:tcPr>
                <w:p w14:paraId="0E67ED48">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eastAsia" w:ascii="Times New Roman" w:hAnsi="Times New Roman" w:cs="Times New Roman" w:eastAsiaTheme="minorEastAsia"/>
                      <w:b w:val="0"/>
                      <w:bCs w:val="0"/>
                      <w:i w:val="0"/>
                      <w:iCs/>
                      <w:color w:val="auto"/>
                      <w:sz w:val="21"/>
                      <w:szCs w:val="21"/>
                      <w:lang w:val="en-US" w:eastAsia="zh-CN"/>
                    </w:rPr>
                    <w:t>85</w:t>
                  </w:r>
                </w:p>
              </w:tc>
              <w:tc>
                <w:tcPr>
                  <w:tcW w:w="1050" w:type="dxa"/>
                  <w:vMerge w:val="continue"/>
                  <w:vAlign w:val="center"/>
                </w:tcPr>
                <w:p w14:paraId="730E57B9">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p>
              </w:tc>
              <w:tc>
                <w:tcPr>
                  <w:tcW w:w="779" w:type="dxa"/>
                  <w:vAlign w:val="center"/>
                </w:tcPr>
                <w:p w14:paraId="4264506B">
                  <w:pPr>
                    <w:pStyle w:val="15"/>
                    <w:keepNext w:val="0"/>
                    <w:keepLines w:val="0"/>
                    <w:pageBreakBefore w:val="0"/>
                    <w:widowControl/>
                    <w:kinsoku/>
                    <w:wordWrap/>
                    <w:overflowPunct/>
                    <w:topLinePunct w:val="0"/>
                    <w:autoSpaceDE/>
                    <w:autoSpaceDN/>
                    <w:bidi w:val="0"/>
                    <w:adjustRightInd w:val="0"/>
                    <w:snapToGrid w:val="0"/>
                    <w:spacing w:before="0" w:after="0" w:line="240" w:lineRule="auto"/>
                    <w:ind w:right="0" w:firstLine="0" w:firstLineChars="0"/>
                    <w:jc w:val="center"/>
                    <w:textAlignment w:val="auto"/>
                    <w:rPr>
                      <w:rFonts w:hint="default" w:ascii="Times New Roman" w:hAnsi="Times New Roman" w:cs="Times New Roman" w:eastAsiaTheme="minorEastAsia"/>
                      <w:b w:val="0"/>
                      <w:bCs w:val="0"/>
                      <w:i w:val="0"/>
                      <w:iCs/>
                      <w:color w:val="auto"/>
                      <w:sz w:val="21"/>
                      <w:szCs w:val="21"/>
                      <w:lang w:val="en-US" w:eastAsia="zh-CN"/>
                    </w:rPr>
                  </w:pPr>
                  <w:r>
                    <w:rPr>
                      <w:rFonts w:hint="eastAsia" w:ascii="Times New Roman" w:hAnsi="Times New Roman" w:cs="Times New Roman" w:eastAsiaTheme="minorEastAsia"/>
                      <w:b w:val="0"/>
                      <w:bCs w:val="0"/>
                      <w:i w:val="0"/>
                      <w:iCs/>
                      <w:color w:val="auto"/>
                      <w:sz w:val="21"/>
                      <w:szCs w:val="21"/>
                      <w:lang w:val="en-US" w:eastAsia="zh-CN"/>
                    </w:rPr>
                    <w:t>2400</w:t>
                  </w:r>
                </w:p>
              </w:tc>
            </w:tr>
          </w:tbl>
          <w:p w14:paraId="14743DFB">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kern w:val="24"/>
                <w:sz w:val="24"/>
                <w:szCs w:val="24"/>
              </w:rPr>
            </w:pPr>
            <w:r>
              <w:rPr>
                <w:rFonts w:hint="default" w:ascii="Times New Roman" w:hAnsi="Times New Roman" w:eastAsia="宋体" w:cs="Times New Roman"/>
                <w:color w:val="auto"/>
                <w:kern w:val="24"/>
                <w:sz w:val="24"/>
                <w:szCs w:val="24"/>
              </w:rPr>
              <w:t>（2）预测结果</w:t>
            </w:r>
          </w:p>
          <w:p w14:paraId="5E9D9851">
            <w:pPr>
              <w:pStyle w:val="22"/>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本项目噪声预测采用</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环安科技在线模型计算平台</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中的</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噪声环境影响评级系统</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，该系统是根据《环境影响评价技术导则 声环境》（HJ2.4-2021）构建，基于GIS的三维噪声影响评价系统。软件综合考虑预测区域内所有声源、遮蔽物、气象要素等在声传播过程的综合效应，最终给出符合导则的计算结果。本项目预测结果</w:t>
            </w:r>
            <w:r>
              <w:rPr>
                <w:rFonts w:hint="eastAsia" w:ascii="Times New Roman" w:hAnsi="Times New Roman" w:cs="Times New Roman"/>
                <w:color w:val="auto"/>
                <w:sz w:val="24"/>
                <w:szCs w:val="24"/>
                <w:lang w:val="en-US" w:eastAsia="zh-CN"/>
              </w:rPr>
              <w:t>图</w:t>
            </w:r>
            <w:r>
              <w:rPr>
                <w:rFonts w:hint="default" w:ascii="Times New Roman" w:hAnsi="Times New Roman" w:eastAsia="宋体" w:cs="Times New Roman"/>
                <w:color w:val="auto"/>
                <w:sz w:val="24"/>
                <w:szCs w:val="24"/>
              </w:rPr>
              <w:t>如下：</w:t>
            </w:r>
          </w:p>
          <w:p w14:paraId="5DBF6A03">
            <w:pPr>
              <w:pStyle w:val="8"/>
              <w:ind w:left="0" w:leftChars="0" w:firstLine="0" w:firstLineChars="0"/>
              <w:rPr>
                <w:rFonts w:hint="default" w:ascii="Times New Roman" w:hAnsi="Times New Roman" w:eastAsia="宋体" w:cs="Times New Roman"/>
                <w:color w:val="auto"/>
                <w:sz w:val="24"/>
                <w:szCs w:val="24"/>
              </w:rPr>
            </w:pPr>
            <w:r>
              <w:rPr>
                <w:color w:val="auto"/>
              </w:rPr>
              <w:drawing>
                <wp:inline distT="0" distB="0" distL="114300" distR="114300">
                  <wp:extent cx="5013960" cy="3915410"/>
                  <wp:effectExtent l="0" t="0" r="15240" b="889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45"/>
                          <a:stretch>
                            <a:fillRect/>
                          </a:stretch>
                        </pic:blipFill>
                        <pic:spPr>
                          <a:xfrm>
                            <a:off x="0" y="0"/>
                            <a:ext cx="5013960" cy="3915410"/>
                          </a:xfrm>
                          <a:prstGeom prst="rect">
                            <a:avLst/>
                          </a:prstGeom>
                          <a:noFill/>
                          <a:ln>
                            <a:noFill/>
                          </a:ln>
                        </pic:spPr>
                      </pic:pic>
                    </a:graphicData>
                  </a:graphic>
                </wp:inline>
              </w:drawing>
            </w:r>
          </w:p>
          <w:p w14:paraId="6C411903">
            <w:pPr>
              <w:pStyle w:val="22"/>
              <w:keepNext w:val="0"/>
              <w:keepLines w:val="0"/>
              <w:pageBreakBefore w:val="0"/>
              <w:widowControl w:val="0"/>
              <w:kinsoku/>
              <w:wordWrap/>
              <w:overflowPunct/>
              <w:topLinePunct w:val="0"/>
              <w:autoSpaceDE w:val="0"/>
              <w:autoSpaceDN w:val="0"/>
              <w:bidi w:val="0"/>
              <w:adjustRightInd w:val="0"/>
              <w:snapToGrid/>
              <w:spacing w:after="157" w:afterLines="50" w:line="240" w:lineRule="auto"/>
              <w:ind w:firstLine="0" w:firstLineChars="0"/>
              <w:jc w:val="center"/>
              <w:textAlignment w:val="auto"/>
              <w:rPr>
                <w:rFonts w:hint="eastAsia" w:cs="Times New Roman"/>
                <w:color w:val="auto"/>
                <w:sz w:val="24"/>
                <w:szCs w:val="24"/>
                <w:lang w:val="en-US" w:eastAsia="zh-CN"/>
              </w:rPr>
            </w:pPr>
            <w:r>
              <w:rPr>
                <w:rFonts w:hint="default" w:ascii="Times New Roman" w:hAnsi="Times New Roman" w:eastAsia="宋体" w:cs="Times New Roman"/>
                <w:b/>
                <w:color w:val="auto"/>
                <w:sz w:val="24"/>
                <w:szCs w:val="24"/>
              </w:rPr>
              <w:t>图4-</w:t>
            </w:r>
            <w:r>
              <w:rPr>
                <w:rFonts w:hint="eastAsia" w:ascii="Times New Roman" w:hAnsi="Times New Roman" w:eastAsia="宋体" w:cs="Times New Roman"/>
                <w:b/>
                <w:color w:val="auto"/>
                <w:sz w:val="24"/>
                <w:szCs w:val="24"/>
                <w:lang w:val="en-US" w:eastAsia="zh-CN"/>
              </w:rPr>
              <w:t xml:space="preserve">1 </w:t>
            </w:r>
            <w:r>
              <w:rPr>
                <w:rFonts w:hint="default" w:ascii="Times New Roman" w:hAnsi="Times New Roman" w:eastAsia="宋体" w:cs="Times New Roman"/>
                <w:b/>
                <w:color w:val="auto"/>
                <w:sz w:val="24"/>
                <w:szCs w:val="24"/>
              </w:rPr>
              <w:t xml:space="preserve">  项目厂界噪声贡献值预测结果图</w:t>
            </w:r>
          </w:p>
          <w:p w14:paraId="02BC275D">
            <w:pPr>
              <w:keepNext w:val="0"/>
              <w:keepLines w:val="0"/>
              <w:pageBreakBefore w:val="0"/>
              <w:widowControl w:val="0"/>
              <w:kinsoku/>
              <w:wordWrap/>
              <w:overflowPunct/>
              <w:topLinePunct w:val="0"/>
              <w:autoSpaceDE w:val="0"/>
              <w:autoSpaceDN w:val="0"/>
              <w:bidi w:val="0"/>
              <w:adjustRightInd w:val="0"/>
              <w:snapToGrid w:val="0"/>
              <w:spacing w:after="313" w:afterLines="100" w:line="240" w:lineRule="auto"/>
              <w:ind w:firstLine="0" w:firstLineChars="0"/>
              <w:jc w:val="center"/>
              <w:textAlignment w:val="auto"/>
              <w:rPr>
                <w:rFonts w:hint="eastAsia"/>
                <w:color w:val="auto"/>
                <w:lang w:val="en-US" w:eastAsia="zh-CN"/>
              </w:rPr>
            </w:pPr>
            <w:r>
              <w:rPr>
                <w:color w:val="auto"/>
              </w:rPr>
              <w:drawing>
                <wp:inline distT="0" distB="0" distL="114300" distR="114300">
                  <wp:extent cx="5016500" cy="1026160"/>
                  <wp:effectExtent l="0" t="0" r="12700" b="254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46"/>
                          <a:stretch>
                            <a:fillRect/>
                          </a:stretch>
                        </pic:blipFill>
                        <pic:spPr>
                          <a:xfrm>
                            <a:off x="0" y="0"/>
                            <a:ext cx="5016500" cy="1026160"/>
                          </a:xfrm>
                          <a:prstGeom prst="rect">
                            <a:avLst/>
                          </a:prstGeom>
                          <a:noFill/>
                          <a:ln>
                            <a:noFill/>
                          </a:ln>
                        </pic:spPr>
                      </pic:pic>
                    </a:graphicData>
                  </a:graphic>
                </wp:inline>
              </w:drawing>
            </w:r>
            <w:r>
              <w:rPr>
                <w:rFonts w:hint="eastAsia" w:ascii="Times New Roman" w:hAnsi="Times New Roman" w:eastAsia="宋体" w:cs="Times New Roman"/>
                <w:b/>
                <w:color w:val="auto"/>
                <w:kern w:val="2"/>
                <w:sz w:val="24"/>
                <w:szCs w:val="24"/>
                <w:lang w:val="en-US" w:eastAsia="zh-CN" w:bidi="ar-SA"/>
              </w:rPr>
              <w:t>图4-</w:t>
            </w:r>
            <w:r>
              <w:rPr>
                <w:rFonts w:hint="eastAsia" w:cs="Times New Roman"/>
                <w:b/>
                <w:color w:val="auto"/>
                <w:kern w:val="2"/>
                <w:sz w:val="24"/>
                <w:szCs w:val="24"/>
                <w:lang w:val="en-US" w:eastAsia="zh-CN" w:bidi="ar-SA"/>
              </w:rPr>
              <w:t>2</w:t>
            </w:r>
            <w:r>
              <w:rPr>
                <w:rFonts w:hint="eastAsia" w:ascii="Times New Roman" w:hAnsi="Times New Roman" w:eastAsia="宋体" w:cs="Times New Roman"/>
                <w:b/>
                <w:color w:val="auto"/>
                <w:kern w:val="2"/>
                <w:sz w:val="24"/>
                <w:szCs w:val="24"/>
                <w:lang w:val="en-US" w:eastAsia="zh-CN" w:bidi="ar-SA"/>
              </w:rPr>
              <w:t xml:space="preserve"> 项目区</w:t>
            </w:r>
            <w:r>
              <w:rPr>
                <w:rFonts w:hint="eastAsia" w:cs="Times New Roman"/>
                <w:b/>
                <w:color w:val="auto"/>
                <w:kern w:val="2"/>
                <w:sz w:val="24"/>
                <w:szCs w:val="24"/>
                <w:lang w:val="en-US" w:eastAsia="zh-CN" w:bidi="ar-SA"/>
              </w:rPr>
              <w:t>东</w:t>
            </w:r>
            <w:r>
              <w:rPr>
                <w:rFonts w:hint="eastAsia" w:ascii="Times New Roman" w:hAnsi="Times New Roman" w:eastAsia="宋体" w:cs="Times New Roman"/>
                <w:b/>
                <w:color w:val="auto"/>
                <w:kern w:val="2"/>
                <w:sz w:val="24"/>
                <w:szCs w:val="24"/>
                <w:lang w:val="en-US" w:eastAsia="zh-CN" w:bidi="ar-SA"/>
              </w:rPr>
              <w:t>界北噪声趋势图</w:t>
            </w:r>
          </w:p>
          <w:p w14:paraId="24B2D9FD">
            <w:pPr>
              <w:pStyle w:val="8"/>
              <w:keepNext w:val="0"/>
              <w:keepLines w:val="0"/>
              <w:pageBreakBefore w:val="0"/>
              <w:widowControl w:val="0"/>
              <w:kinsoku/>
              <w:wordWrap/>
              <w:overflowPunct/>
              <w:topLinePunct w:val="0"/>
              <w:autoSpaceDE/>
              <w:autoSpaceDN/>
              <w:bidi w:val="0"/>
              <w:adjustRightInd/>
              <w:snapToGrid/>
              <w:spacing w:after="313" w:afterLines="100" w:line="240" w:lineRule="auto"/>
              <w:ind w:left="0" w:leftChars="0" w:firstLine="0" w:firstLineChars="0"/>
              <w:jc w:val="center"/>
              <w:textAlignment w:val="auto"/>
              <w:rPr>
                <w:rFonts w:hint="eastAsia"/>
                <w:color w:val="auto"/>
                <w:lang w:val="en-US" w:eastAsia="zh-CN"/>
              </w:rPr>
            </w:pPr>
            <w:r>
              <w:rPr>
                <w:color w:val="auto"/>
              </w:rPr>
              <w:drawing>
                <wp:inline distT="0" distB="0" distL="114300" distR="114300">
                  <wp:extent cx="4977765" cy="1074420"/>
                  <wp:effectExtent l="0" t="0" r="13335" b="1143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pic:cNvPicPr>
                            <a:picLocks noChangeAspect="1"/>
                          </pic:cNvPicPr>
                        </pic:nvPicPr>
                        <pic:blipFill>
                          <a:blip r:embed="rId47"/>
                          <a:stretch>
                            <a:fillRect/>
                          </a:stretch>
                        </pic:blipFill>
                        <pic:spPr>
                          <a:xfrm>
                            <a:off x="0" y="0"/>
                            <a:ext cx="4977765" cy="1074420"/>
                          </a:xfrm>
                          <a:prstGeom prst="rect">
                            <a:avLst/>
                          </a:prstGeom>
                          <a:noFill/>
                          <a:ln>
                            <a:noFill/>
                          </a:ln>
                        </pic:spPr>
                      </pic:pic>
                    </a:graphicData>
                  </a:graphic>
                </wp:inline>
              </w:drawing>
            </w:r>
            <w:r>
              <w:rPr>
                <w:rFonts w:hint="eastAsia" w:ascii="Times New Roman" w:hAnsi="Times New Roman" w:eastAsia="宋体" w:cs="Times New Roman"/>
                <w:b/>
                <w:color w:val="auto"/>
                <w:kern w:val="2"/>
                <w:sz w:val="24"/>
                <w:szCs w:val="24"/>
                <w:lang w:val="en-US" w:eastAsia="zh-CN" w:bidi="ar-SA"/>
              </w:rPr>
              <w:t>图4-</w:t>
            </w:r>
            <w:r>
              <w:rPr>
                <w:rFonts w:hint="eastAsia" w:cs="Times New Roman"/>
                <w:b/>
                <w:color w:val="auto"/>
                <w:kern w:val="2"/>
                <w:sz w:val="24"/>
                <w:szCs w:val="24"/>
                <w:lang w:val="en-US" w:eastAsia="zh-CN" w:bidi="ar-SA"/>
              </w:rPr>
              <w:t>3</w:t>
            </w:r>
            <w:r>
              <w:rPr>
                <w:rFonts w:hint="eastAsia" w:ascii="Times New Roman" w:hAnsi="Times New Roman" w:eastAsia="宋体" w:cs="Times New Roman"/>
                <w:b/>
                <w:color w:val="auto"/>
                <w:kern w:val="2"/>
                <w:sz w:val="24"/>
                <w:szCs w:val="24"/>
                <w:lang w:val="en-US" w:eastAsia="zh-CN" w:bidi="ar-SA"/>
              </w:rPr>
              <w:t xml:space="preserve"> 项目区厂界</w:t>
            </w:r>
            <w:r>
              <w:rPr>
                <w:rFonts w:hint="eastAsia" w:cs="Times New Roman"/>
                <w:b/>
                <w:color w:val="auto"/>
                <w:kern w:val="2"/>
                <w:sz w:val="24"/>
                <w:szCs w:val="24"/>
                <w:lang w:val="en-US" w:eastAsia="zh-CN" w:bidi="ar-SA"/>
              </w:rPr>
              <w:t>北</w:t>
            </w:r>
            <w:r>
              <w:rPr>
                <w:rFonts w:hint="eastAsia" w:ascii="Times New Roman" w:hAnsi="Times New Roman" w:eastAsia="宋体" w:cs="Times New Roman"/>
                <w:b/>
                <w:color w:val="auto"/>
                <w:kern w:val="2"/>
                <w:sz w:val="24"/>
                <w:szCs w:val="24"/>
                <w:lang w:val="en-US" w:eastAsia="zh-CN" w:bidi="ar-SA"/>
              </w:rPr>
              <w:t>噪声趋势图</w:t>
            </w:r>
          </w:p>
          <w:p w14:paraId="36013733">
            <w:pPr>
              <w:pStyle w:val="8"/>
              <w:ind w:left="0" w:leftChars="0" w:firstLine="0" w:firstLineChars="0"/>
              <w:rPr>
                <w:rFonts w:hint="eastAsia"/>
                <w:color w:val="auto"/>
                <w:lang w:val="en-US" w:eastAsia="zh-CN"/>
              </w:rPr>
            </w:pPr>
            <w:r>
              <w:rPr>
                <w:color w:val="auto"/>
              </w:rPr>
              <w:drawing>
                <wp:inline distT="0" distB="0" distL="114300" distR="114300">
                  <wp:extent cx="5002530" cy="1111885"/>
                  <wp:effectExtent l="0" t="0" r="7620" b="1206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48"/>
                          <a:stretch>
                            <a:fillRect/>
                          </a:stretch>
                        </pic:blipFill>
                        <pic:spPr>
                          <a:xfrm>
                            <a:off x="0" y="0"/>
                            <a:ext cx="5002530" cy="1111885"/>
                          </a:xfrm>
                          <a:prstGeom prst="rect">
                            <a:avLst/>
                          </a:prstGeom>
                          <a:noFill/>
                          <a:ln>
                            <a:noFill/>
                          </a:ln>
                        </pic:spPr>
                      </pic:pic>
                    </a:graphicData>
                  </a:graphic>
                </wp:inline>
              </w:drawing>
            </w:r>
          </w:p>
          <w:p w14:paraId="0CA60BC2">
            <w:pPr>
              <w:keepNext w:val="0"/>
              <w:keepLines w:val="0"/>
              <w:pageBreakBefore w:val="0"/>
              <w:widowControl w:val="0"/>
              <w:kinsoku/>
              <w:wordWrap/>
              <w:overflowPunct/>
              <w:topLinePunct w:val="0"/>
              <w:autoSpaceDE w:val="0"/>
              <w:autoSpaceDN w:val="0"/>
              <w:bidi w:val="0"/>
              <w:adjustRightInd w:val="0"/>
              <w:snapToGrid w:val="0"/>
              <w:spacing w:line="240" w:lineRule="auto"/>
              <w:ind w:right="0" w:firstLine="0" w:firstLineChars="0"/>
              <w:jc w:val="center"/>
              <w:textAlignment w:val="auto"/>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图4-</w:t>
            </w:r>
            <w:r>
              <w:rPr>
                <w:rFonts w:hint="eastAsia" w:cs="Times New Roman"/>
                <w:b/>
                <w:color w:val="auto"/>
                <w:kern w:val="2"/>
                <w:sz w:val="24"/>
                <w:szCs w:val="24"/>
                <w:lang w:val="en-US" w:eastAsia="zh-CN" w:bidi="ar-SA"/>
              </w:rPr>
              <w:t>4</w:t>
            </w:r>
            <w:r>
              <w:rPr>
                <w:rFonts w:hint="eastAsia" w:ascii="Times New Roman" w:hAnsi="Times New Roman" w:eastAsia="宋体" w:cs="Times New Roman"/>
                <w:b/>
                <w:color w:val="auto"/>
                <w:kern w:val="2"/>
                <w:sz w:val="24"/>
                <w:szCs w:val="24"/>
                <w:lang w:val="en-US" w:eastAsia="zh-CN" w:bidi="ar-SA"/>
              </w:rPr>
              <w:t xml:space="preserve"> 项目区厂界西噪声趋势图</w:t>
            </w:r>
          </w:p>
          <w:p w14:paraId="09EEBD30">
            <w:pPr>
              <w:pStyle w:val="2"/>
              <w:keepNext w:val="0"/>
              <w:keepLines w:val="0"/>
              <w:pageBreakBefore w:val="0"/>
              <w:widowControl w:val="0"/>
              <w:kinsoku/>
              <w:wordWrap/>
              <w:overflowPunct/>
              <w:topLinePunct w:val="0"/>
              <w:bidi w:val="0"/>
              <w:ind w:left="0" w:leftChars="0" w:firstLine="0" w:firstLineChars="0"/>
              <w:jc w:val="both"/>
              <w:textAlignment w:val="auto"/>
              <w:rPr>
                <w:rFonts w:hint="eastAsia"/>
                <w:color w:val="auto"/>
                <w:lang w:val="en-US" w:eastAsia="zh-CN"/>
              </w:rPr>
            </w:pPr>
            <w:r>
              <w:rPr>
                <w:color w:val="auto"/>
              </w:rPr>
              <w:drawing>
                <wp:inline distT="0" distB="0" distL="114300" distR="114300">
                  <wp:extent cx="4976495" cy="1405890"/>
                  <wp:effectExtent l="0" t="0" r="14605" b="381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pic:cNvPicPr>
                            <a:picLocks noChangeAspect="1"/>
                          </pic:cNvPicPr>
                        </pic:nvPicPr>
                        <pic:blipFill>
                          <a:blip r:embed="rId49"/>
                          <a:stretch>
                            <a:fillRect/>
                          </a:stretch>
                        </pic:blipFill>
                        <pic:spPr>
                          <a:xfrm>
                            <a:off x="0" y="0"/>
                            <a:ext cx="4976495" cy="1405890"/>
                          </a:xfrm>
                          <a:prstGeom prst="rect">
                            <a:avLst/>
                          </a:prstGeom>
                          <a:noFill/>
                          <a:ln>
                            <a:noFill/>
                          </a:ln>
                        </pic:spPr>
                      </pic:pic>
                    </a:graphicData>
                  </a:graphic>
                </wp:inline>
              </w:drawing>
            </w:r>
          </w:p>
          <w:p w14:paraId="29F09BB7">
            <w:pPr>
              <w:keepNext w:val="0"/>
              <w:keepLines w:val="0"/>
              <w:pageBreakBefore w:val="0"/>
              <w:widowControl w:val="0"/>
              <w:kinsoku/>
              <w:wordWrap/>
              <w:overflowPunct/>
              <w:topLinePunct w:val="0"/>
              <w:autoSpaceDE w:val="0"/>
              <w:autoSpaceDN w:val="0"/>
              <w:bidi w:val="0"/>
              <w:adjustRightInd w:val="0"/>
              <w:snapToGrid w:val="0"/>
              <w:spacing w:after="157" w:afterLines="50" w:line="240" w:lineRule="auto"/>
              <w:ind w:firstLine="0" w:firstLineChars="0"/>
              <w:jc w:val="center"/>
              <w:textAlignment w:val="auto"/>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图4-5 项目区厂界南噪声趋势图</w:t>
            </w:r>
          </w:p>
          <w:p w14:paraId="521FFA02">
            <w:pPr>
              <w:pStyle w:val="8"/>
              <w:ind w:left="0" w:leftChars="0" w:firstLine="0" w:firstLineChars="0"/>
              <w:rPr>
                <w:rFonts w:hint="default"/>
                <w:color w:val="auto"/>
                <w:lang w:val="en-US" w:eastAsia="zh-CN"/>
              </w:rPr>
            </w:pPr>
            <w:r>
              <w:rPr>
                <w:color w:val="auto"/>
              </w:rPr>
              <w:drawing>
                <wp:inline distT="0" distB="0" distL="114300" distR="114300">
                  <wp:extent cx="4977130" cy="3937635"/>
                  <wp:effectExtent l="0" t="0" r="13970" b="571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50"/>
                          <a:stretch>
                            <a:fillRect/>
                          </a:stretch>
                        </pic:blipFill>
                        <pic:spPr>
                          <a:xfrm>
                            <a:off x="0" y="0"/>
                            <a:ext cx="4977130" cy="3937635"/>
                          </a:xfrm>
                          <a:prstGeom prst="rect">
                            <a:avLst/>
                          </a:prstGeom>
                          <a:noFill/>
                          <a:ln>
                            <a:noFill/>
                          </a:ln>
                        </pic:spPr>
                      </pic:pic>
                    </a:graphicData>
                  </a:graphic>
                </wp:inline>
              </w:drawing>
            </w:r>
          </w:p>
          <w:p w14:paraId="760BF035">
            <w:pPr>
              <w:keepNext w:val="0"/>
              <w:keepLines w:val="0"/>
              <w:pageBreakBefore w:val="0"/>
              <w:widowControl w:val="0"/>
              <w:kinsoku/>
              <w:wordWrap/>
              <w:overflowPunct/>
              <w:topLinePunct w:val="0"/>
              <w:autoSpaceDE w:val="0"/>
              <w:autoSpaceDN w:val="0"/>
              <w:bidi w:val="0"/>
              <w:adjustRightInd w:val="0"/>
              <w:snapToGrid w:val="0"/>
              <w:spacing w:after="157" w:afterLines="50" w:line="240" w:lineRule="auto"/>
              <w:ind w:firstLine="0" w:firstLineChars="0"/>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图4-</w:t>
            </w:r>
            <w:r>
              <w:rPr>
                <w:rFonts w:hint="eastAsia" w:ascii="Times New Roman" w:hAnsi="Times New Roman" w:eastAsia="宋体" w:cs="Times New Roman"/>
                <w:b/>
                <w:color w:val="auto"/>
                <w:kern w:val="2"/>
                <w:sz w:val="24"/>
                <w:szCs w:val="24"/>
                <w:lang w:val="en-US" w:eastAsia="zh-CN" w:bidi="ar-SA"/>
              </w:rPr>
              <w:t xml:space="preserve">6 </w:t>
            </w:r>
            <w:r>
              <w:rPr>
                <w:rFonts w:hint="default" w:ascii="Times New Roman" w:hAnsi="Times New Roman" w:eastAsia="宋体" w:cs="Times New Roman"/>
                <w:b/>
                <w:color w:val="auto"/>
                <w:kern w:val="2"/>
                <w:sz w:val="24"/>
                <w:szCs w:val="24"/>
                <w:lang w:val="en-US" w:eastAsia="zh-CN" w:bidi="ar-SA"/>
              </w:rPr>
              <w:t>项目区噪声设备分布图</w:t>
            </w:r>
          </w:p>
          <w:p w14:paraId="5F01469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通过预测模型计算，项目厂界噪声的最大值预测结果与达标分析见表4-1</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w:t>
            </w:r>
          </w:p>
          <w:p w14:paraId="0466BC35">
            <w:pPr>
              <w:spacing w:line="240" w:lineRule="auto"/>
              <w:ind w:firstLine="422"/>
              <w:jc w:val="center"/>
              <w:rPr>
                <w:rFonts w:hint="default"/>
                <w:b/>
                <w:color w:val="auto"/>
                <w:sz w:val="24"/>
                <w:szCs w:val="24"/>
              </w:rPr>
            </w:pPr>
            <w:r>
              <w:rPr>
                <w:rFonts w:hint="default"/>
                <w:b/>
                <w:color w:val="auto"/>
                <w:sz w:val="24"/>
                <w:szCs w:val="24"/>
              </w:rPr>
              <w:t>表4-1</w:t>
            </w:r>
            <w:r>
              <w:rPr>
                <w:rFonts w:hint="eastAsia"/>
                <w:b/>
                <w:color w:val="auto"/>
                <w:sz w:val="24"/>
                <w:szCs w:val="24"/>
                <w:lang w:val="en-US" w:eastAsia="zh-CN"/>
              </w:rPr>
              <w:t>8</w:t>
            </w:r>
            <w:r>
              <w:rPr>
                <w:rFonts w:hint="default"/>
                <w:b/>
                <w:color w:val="auto"/>
                <w:sz w:val="24"/>
                <w:szCs w:val="24"/>
                <w:lang w:val="en-US" w:eastAsia="zh-CN"/>
              </w:rPr>
              <w:t xml:space="preserve"> </w:t>
            </w:r>
            <w:r>
              <w:rPr>
                <w:rFonts w:hint="default"/>
                <w:b/>
                <w:color w:val="auto"/>
                <w:sz w:val="24"/>
                <w:szCs w:val="24"/>
              </w:rPr>
              <w:t xml:space="preserve"> 厂界噪声预测结果与达标分析表</w:t>
            </w:r>
          </w:p>
          <w:tbl>
            <w:tblPr>
              <w:tblStyle w:val="3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987"/>
              <w:gridCol w:w="1228"/>
              <w:gridCol w:w="750"/>
              <w:gridCol w:w="855"/>
              <w:gridCol w:w="1274"/>
              <w:gridCol w:w="1164"/>
              <w:gridCol w:w="711"/>
            </w:tblGrid>
            <w:tr w14:paraId="1D9C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vMerge w:val="restart"/>
                  <w:noWrap w:val="0"/>
                  <w:vAlign w:val="center"/>
                </w:tcPr>
                <w:p w14:paraId="6EDCA14A">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预测点</w:t>
                  </w:r>
                </w:p>
              </w:tc>
              <w:tc>
                <w:tcPr>
                  <w:tcW w:w="1893" w:type="pct"/>
                  <w:gridSpan w:val="3"/>
                  <w:noWrap w:val="0"/>
                  <w:vAlign w:val="center"/>
                </w:tcPr>
                <w:p w14:paraId="1B049F98">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空间相对位置/m</w:t>
                  </w:r>
                </w:p>
              </w:tc>
              <w:tc>
                <w:tcPr>
                  <w:tcW w:w="545" w:type="pct"/>
                  <w:vMerge w:val="restart"/>
                  <w:noWrap w:val="0"/>
                  <w:vAlign w:val="center"/>
                </w:tcPr>
                <w:p w14:paraId="301DE80B">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时段</w:t>
                  </w:r>
                </w:p>
              </w:tc>
              <w:tc>
                <w:tcPr>
                  <w:tcW w:w="813" w:type="pct"/>
                  <w:vMerge w:val="restart"/>
                  <w:noWrap w:val="0"/>
                  <w:vAlign w:val="center"/>
                </w:tcPr>
                <w:p w14:paraId="3C7FACC6">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噪声预测贡献值/dB(A)</w:t>
                  </w:r>
                </w:p>
              </w:tc>
              <w:tc>
                <w:tcPr>
                  <w:tcW w:w="743" w:type="pct"/>
                  <w:vMerge w:val="restart"/>
                  <w:noWrap w:val="0"/>
                  <w:vAlign w:val="center"/>
                </w:tcPr>
                <w:p w14:paraId="0D19BF92">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噪声标准值/dB(A)</w:t>
                  </w:r>
                </w:p>
              </w:tc>
              <w:tc>
                <w:tcPr>
                  <w:tcW w:w="453" w:type="pct"/>
                  <w:vMerge w:val="restart"/>
                  <w:noWrap w:val="0"/>
                  <w:vAlign w:val="center"/>
                </w:tcPr>
                <w:p w14:paraId="07EC6EEF">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达标情况</w:t>
                  </w:r>
                </w:p>
              </w:tc>
            </w:tr>
            <w:tr w14:paraId="46909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vMerge w:val="continue"/>
                  <w:noWrap w:val="0"/>
                  <w:vAlign w:val="center"/>
                </w:tcPr>
                <w:p w14:paraId="709564EC">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630" w:type="pct"/>
                  <w:noWrap w:val="0"/>
                  <w:vAlign w:val="center"/>
                </w:tcPr>
                <w:p w14:paraId="61AA2497">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X</w:t>
                  </w:r>
                </w:p>
              </w:tc>
              <w:tc>
                <w:tcPr>
                  <w:tcW w:w="784" w:type="pct"/>
                  <w:noWrap w:val="0"/>
                  <w:vAlign w:val="center"/>
                </w:tcPr>
                <w:p w14:paraId="3401605A">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Y</w:t>
                  </w:r>
                </w:p>
              </w:tc>
              <w:tc>
                <w:tcPr>
                  <w:tcW w:w="478" w:type="pct"/>
                  <w:noWrap w:val="0"/>
                  <w:vAlign w:val="center"/>
                </w:tcPr>
                <w:p w14:paraId="7992374E">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b/>
                      <w:bCs/>
                      <w:i w:val="0"/>
                      <w:iCs/>
                      <w:color w:val="auto"/>
                      <w:sz w:val="21"/>
                      <w:szCs w:val="21"/>
                      <w:lang w:val="en-US" w:eastAsia="zh-CN"/>
                    </w:rPr>
                  </w:pPr>
                  <w:r>
                    <w:rPr>
                      <w:rFonts w:hint="default" w:ascii="Times New Roman" w:hAnsi="Times New Roman" w:cs="Times New Roman" w:eastAsiaTheme="minorEastAsia"/>
                      <w:b/>
                      <w:bCs/>
                      <w:i w:val="0"/>
                      <w:iCs/>
                      <w:color w:val="auto"/>
                      <w:sz w:val="21"/>
                      <w:szCs w:val="21"/>
                      <w:lang w:val="en-US" w:eastAsia="zh-CN"/>
                    </w:rPr>
                    <w:t>Z</w:t>
                  </w:r>
                </w:p>
              </w:tc>
              <w:tc>
                <w:tcPr>
                  <w:tcW w:w="545" w:type="pct"/>
                  <w:vMerge w:val="continue"/>
                  <w:noWrap w:val="0"/>
                  <w:vAlign w:val="center"/>
                </w:tcPr>
                <w:p w14:paraId="73F54CDF">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813" w:type="pct"/>
                  <w:vMerge w:val="continue"/>
                  <w:noWrap w:val="0"/>
                  <w:vAlign w:val="center"/>
                </w:tcPr>
                <w:p w14:paraId="2B457EC5">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743" w:type="pct"/>
                  <w:vMerge w:val="continue"/>
                  <w:noWrap w:val="0"/>
                  <w:vAlign w:val="center"/>
                </w:tcPr>
                <w:p w14:paraId="20352A97">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c>
                <w:tcPr>
                  <w:tcW w:w="453" w:type="pct"/>
                  <w:vMerge w:val="continue"/>
                  <w:noWrap w:val="0"/>
                  <w:vAlign w:val="center"/>
                </w:tcPr>
                <w:p w14:paraId="3A070E76">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p>
              </w:tc>
            </w:tr>
            <w:tr w14:paraId="14B19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noWrap w:val="0"/>
                  <w:vAlign w:val="center"/>
                </w:tcPr>
                <w:p w14:paraId="672972F8">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东厂界</w:t>
                  </w:r>
                </w:p>
              </w:tc>
              <w:tc>
                <w:tcPr>
                  <w:tcW w:w="630" w:type="pct"/>
                  <w:noWrap w:val="0"/>
                  <w:vAlign w:val="center"/>
                </w:tcPr>
                <w:p w14:paraId="414DBE5C">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cs="Times New Roman" w:eastAsiaTheme="minorEastAsia"/>
                      <w:i w:val="0"/>
                      <w:iCs/>
                      <w:color w:val="auto"/>
                      <w:sz w:val="21"/>
                      <w:szCs w:val="21"/>
                      <w:lang w:val="en-US" w:eastAsia="zh-CN"/>
                    </w:rPr>
                    <w:t>50.93</w:t>
                  </w:r>
                </w:p>
              </w:tc>
              <w:tc>
                <w:tcPr>
                  <w:tcW w:w="784" w:type="pct"/>
                  <w:noWrap w:val="0"/>
                  <w:vAlign w:val="center"/>
                </w:tcPr>
                <w:p w14:paraId="5D9FF039">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w:t>
                  </w:r>
                  <w:r>
                    <w:rPr>
                      <w:rFonts w:hint="eastAsia" w:cs="Times New Roman" w:eastAsiaTheme="minorEastAsia"/>
                      <w:i w:val="0"/>
                      <w:iCs/>
                      <w:color w:val="auto"/>
                      <w:sz w:val="21"/>
                      <w:szCs w:val="21"/>
                      <w:lang w:val="en-US" w:eastAsia="zh-CN"/>
                    </w:rPr>
                    <w:t>46.64</w:t>
                  </w:r>
                </w:p>
              </w:tc>
              <w:tc>
                <w:tcPr>
                  <w:tcW w:w="478" w:type="pct"/>
                  <w:noWrap w:val="0"/>
                  <w:vAlign w:val="center"/>
                </w:tcPr>
                <w:p w14:paraId="76F24842">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rPr>
                  </w:pPr>
                  <w:r>
                    <w:rPr>
                      <w:rFonts w:hint="default" w:ascii="Times New Roman" w:hAnsi="Times New Roman" w:cs="Times New Roman" w:eastAsiaTheme="minorEastAsia"/>
                      <w:i w:val="0"/>
                      <w:iCs/>
                      <w:color w:val="auto"/>
                      <w:sz w:val="21"/>
                      <w:szCs w:val="21"/>
                    </w:rPr>
                    <w:t>1.2</w:t>
                  </w:r>
                </w:p>
              </w:tc>
              <w:tc>
                <w:tcPr>
                  <w:tcW w:w="545" w:type="pct"/>
                  <w:noWrap w:val="0"/>
                  <w:vAlign w:val="center"/>
                </w:tcPr>
                <w:p w14:paraId="684780A4">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rPr>
                  </w:pPr>
                  <w:r>
                    <w:rPr>
                      <w:rFonts w:hint="default" w:ascii="Times New Roman" w:hAnsi="Times New Roman" w:cs="Times New Roman" w:eastAsiaTheme="minorEastAsia"/>
                      <w:i w:val="0"/>
                      <w:iCs/>
                      <w:color w:val="auto"/>
                      <w:sz w:val="21"/>
                      <w:szCs w:val="21"/>
                    </w:rPr>
                    <w:t>昼间</w:t>
                  </w:r>
                </w:p>
              </w:tc>
              <w:tc>
                <w:tcPr>
                  <w:tcW w:w="813" w:type="pct"/>
                  <w:noWrap w:val="0"/>
                  <w:vAlign w:val="center"/>
                </w:tcPr>
                <w:p w14:paraId="35A00E45">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cs="Times New Roman" w:eastAsiaTheme="minorEastAsia"/>
                      <w:i w:val="0"/>
                      <w:iCs/>
                      <w:color w:val="auto"/>
                      <w:sz w:val="21"/>
                      <w:szCs w:val="21"/>
                      <w:lang w:val="en-US" w:eastAsia="zh-CN"/>
                    </w:rPr>
                    <w:t>59.88</w:t>
                  </w:r>
                </w:p>
              </w:tc>
              <w:tc>
                <w:tcPr>
                  <w:tcW w:w="743" w:type="pct"/>
                  <w:noWrap w:val="0"/>
                  <w:vAlign w:val="center"/>
                </w:tcPr>
                <w:p w14:paraId="6C3B745F">
                  <w:pPr>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60</w:t>
                  </w:r>
                </w:p>
              </w:tc>
              <w:tc>
                <w:tcPr>
                  <w:tcW w:w="453" w:type="pct"/>
                  <w:noWrap w:val="0"/>
                  <w:vAlign w:val="center"/>
                </w:tcPr>
                <w:p w14:paraId="17DC6922">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达标</w:t>
                  </w:r>
                </w:p>
              </w:tc>
            </w:tr>
            <w:tr w14:paraId="2E08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noWrap w:val="0"/>
                  <w:vAlign w:val="center"/>
                </w:tcPr>
                <w:p w14:paraId="23048738">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南厂界</w:t>
                  </w:r>
                </w:p>
              </w:tc>
              <w:tc>
                <w:tcPr>
                  <w:tcW w:w="630" w:type="pct"/>
                  <w:noWrap w:val="0"/>
                  <w:vAlign w:val="center"/>
                </w:tcPr>
                <w:p w14:paraId="3355BC85">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cs="Times New Roman" w:eastAsiaTheme="minorEastAsia"/>
                      <w:i w:val="0"/>
                      <w:iCs/>
                      <w:color w:val="auto"/>
                      <w:sz w:val="21"/>
                      <w:szCs w:val="21"/>
                      <w:lang w:val="en-US" w:eastAsia="zh-CN"/>
                    </w:rPr>
                    <w:t>34.29</w:t>
                  </w:r>
                </w:p>
              </w:tc>
              <w:tc>
                <w:tcPr>
                  <w:tcW w:w="784" w:type="pct"/>
                  <w:noWrap w:val="0"/>
                  <w:vAlign w:val="center"/>
                </w:tcPr>
                <w:p w14:paraId="1E00EF97">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cs="Times New Roman" w:eastAsiaTheme="minorEastAsia"/>
                      <w:i w:val="0"/>
                      <w:iCs/>
                      <w:color w:val="auto"/>
                      <w:sz w:val="21"/>
                      <w:szCs w:val="21"/>
                      <w:lang w:val="en-US" w:eastAsia="zh-CN"/>
                    </w:rPr>
                    <w:t>-35.77</w:t>
                  </w:r>
                </w:p>
              </w:tc>
              <w:tc>
                <w:tcPr>
                  <w:tcW w:w="478" w:type="pct"/>
                  <w:noWrap w:val="0"/>
                  <w:vAlign w:val="center"/>
                </w:tcPr>
                <w:p w14:paraId="12D903D4">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rPr>
                  </w:pPr>
                  <w:r>
                    <w:rPr>
                      <w:rFonts w:hint="default" w:ascii="Times New Roman" w:hAnsi="Times New Roman" w:cs="Times New Roman" w:eastAsiaTheme="minorEastAsia"/>
                      <w:i w:val="0"/>
                      <w:iCs/>
                      <w:color w:val="auto"/>
                      <w:sz w:val="21"/>
                      <w:szCs w:val="21"/>
                    </w:rPr>
                    <w:t>1.2</w:t>
                  </w:r>
                </w:p>
              </w:tc>
              <w:tc>
                <w:tcPr>
                  <w:tcW w:w="545" w:type="pct"/>
                  <w:noWrap w:val="0"/>
                  <w:vAlign w:val="center"/>
                </w:tcPr>
                <w:p w14:paraId="40EF0231">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kern w:val="2"/>
                      <w:sz w:val="21"/>
                      <w:szCs w:val="21"/>
                      <w:lang w:val="en-US" w:eastAsia="zh-CN"/>
                    </w:rPr>
                  </w:pPr>
                  <w:r>
                    <w:rPr>
                      <w:rFonts w:hint="default" w:ascii="Times New Roman" w:hAnsi="Times New Roman" w:cs="Times New Roman" w:eastAsiaTheme="minorEastAsia"/>
                      <w:i w:val="0"/>
                      <w:iCs/>
                      <w:color w:val="auto"/>
                      <w:kern w:val="2"/>
                      <w:sz w:val="21"/>
                      <w:szCs w:val="21"/>
                      <w:lang w:val="en-US" w:eastAsia="zh-CN"/>
                    </w:rPr>
                    <w:t>昼间</w:t>
                  </w:r>
                </w:p>
              </w:tc>
              <w:tc>
                <w:tcPr>
                  <w:tcW w:w="813" w:type="pct"/>
                  <w:noWrap w:val="0"/>
                  <w:vAlign w:val="center"/>
                </w:tcPr>
                <w:p w14:paraId="2391A699">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ascii="Times New Roman" w:hAnsi="Times New Roman" w:cs="Times New Roman" w:eastAsiaTheme="minorEastAsia"/>
                      <w:i w:val="0"/>
                      <w:iCs/>
                      <w:color w:val="auto"/>
                      <w:sz w:val="21"/>
                      <w:szCs w:val="21"/>
                      <w:lang w:val="en-US" w:eastAsia="zh-CN"/>
                    </w:rPr>
                    <w:t>58.53</w:t>
                  </w:r>
                </w:p>
              </w:tc>
              <w:tc>
                <w:tcPr>
                  <w:tcW w:w="743" w:type="pct"/>
                  <w:noWrap w:val="0"/>
                  <w:vAlign w:val="center"/>
                </w:tcPr>
                <w:p w14:paraId="456156BC">
                  <w:pPr>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60</w:t>
                  </w:r>
                </w:p>
              </w:tc>
              <w:tc>
                <w:tcPr>
                  <w:tcW w:w="453" w:type="pct"/>
                  <w:noWrap w:val="0"/>
                  <w:vAlign w:val="center"/>
                </w:tcPr>
                <w:p w14:paraId="1288BE22">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达标</w:t>
                  </w:r>
                </w:p>
              </w:tc>
            </w:tr>
            <w:tr w14:paraId="5BD8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noWrap w:val="0"/>
                  <w:vAlign w:val="center"/>
                </w:tcPr>
                <w:p w14:paraId="565C41B5">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西厂界</w:t>
                  </w:r>
                </w:p>
              </w:tc>
              <w:tc>
                <w:tcPr>
                  <w:tcW w:w="630" w:type="pct"/>
                  <w:noWrap w:val="0"/>
                  <w:vAlign w:val="center"/>
                </w:tcPr>
                <w:p w14:paraId="2AE426D8">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ascii="Times New Roman" w:hAnsi="Times New Roman" w:cs="Times New Roman" w:eastAsiaTheme="minorEastAsia"/>
                      <w:i w:val="0"/>
                      <w:iCs/>
                      <w:color w:val="auto"/>
                      <w:sz w:val="21"/>
                      <w:szCs w:val="21"/>
                      <w:lang w:val="en-US" w:eastAsia="zh-CN"/>
                    </w:rPr>
                    <w:t>1.83</w:t>
                  </w:r>
                </w:p>
              </w:tc>
              <w:tc>
                <w:tcPr>
                  <w:tcW w:w="784" w:type="pct"/>
                  <w:noWrap w:val="0"/>
                  <w:vAlign w:val="center"/>
                </w:tcPr>
                <w:p w14:paraId="5B402553">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ascii="Times New Roman" w:hAnsi="Times New Roman" w:cs="Times New Roman" w:eastAsiaTheme="minorEastAsia"/>
                      <w:i w:val="0"/>
                      <w:iCs/>
                      <w:color w:val="auto"/>
                      <w:sz w:val="21"/>
                      <w:szCs w:val="21"/>
                      <w:lang w:val="en-US" w:eastAsia="zh-CN"/>
                    </w:rPr>
                    <w:t>3.47</w:t>
                  </w:r>
                </w:p>
              </w:tc>
              <w:tc>
                <w:tcPr>
                  <w:tcW w:w="478" w:type="pct"/>
                  <w:noWrap w:val="0"/>
                  <w:vAlign w:val="center"/>
                </w:tcPr>
                <w:p w14:paraId="7765EED5">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1.2</w:t>
                  </w:r>
                </w:p>
              </w:tc>
              <w:tc>
                <w:tcPr>
                  <w:tcW w:w="545" w:type="pct"/>
                  <w:noWrap w:val="0"/>
                  <w:vAlign w:val="center"/>
                </w:tcPr>
                <w:p w14:paraId="25F74EF0">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kern w:val="2"/>
                      <w:sz w:val="21"/>
                      <w:szCs w:val="21"/>
                      <w:lang w:val="en-US" w:eastAsia="zh-CN"/>
                    </w:rPr>
                  </w:pPr>
                  <w:r>
                    <w:rPr>
                      <w:rFonts w:hint="default" w:ascii="Times New Roman" w:hAnsi="Times New Roman" w:cs="Times New Roman" w:eastAsiaTheme="minorEastAsia"/>
                      <w:i w:val="0"/>
                      <w:iCs/>
                      <w:color w:val="auto"/>
                      <w:kern w:val="2"/>
                      <w:sz w:val="21"/>
                      <w:szCs w:val="21"/>
                      <w:lang w:val="en-US" w:eastAsia="zh-CN"/>
                    </w:rPr>
                    <w:t>昼间</w:t>
                  </w:r>
                </w:p>
              </w:tc>
              <w:tc>
                <w:tcPr>
                  <w:tcW w:w="813" w:type="pct"/>
                  <w:noWrap w:val="0"/>
                  <w:vAlign w:val="center"/>
                </w:tcPr>
                <w:p w14:paraId="7485E4EF">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ascii="Times New Roman" w:hAnsi="Times New Roman" w:cs="Times New Roman" w:eastAsiaTheme="minorEastAsia"/>
                      <w:i w:val="0"/>
                      <w:iCs/>
                      <w:color w:val="auto"/>
                      <w:sz w:val="21"/>
                      <w:szCs w:val="21"/>
                      <w:lang w:val="en-US" w:eastAsia="zh-CN"/>
                    </w:rPr>
                    <w:t>59.7</w:t>
                  </w:r>
                </w:p>
              </w:tc>
              <w:tc>
                <w:tcPr>
                  <w:tcW w:w="743" w:type="pct"/>
                  <w:noWrap w:val="0"/>
                  <w:vAlign w:val="center"/>
                </w:tcPr>
                <w:p w14:paraId="07981377">
                  <w:pPr>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60</w:t>
                  </w:r>
                </w:p>
              </w:tc>
              <w:tc>
                <w:tcPr>
                  <w:tcW w:w="453" w:type="pct"/>
                  <w:noWrap w:val="0"/>
                  <w:vAlign w:val="center"/>
                </w:tcPr>
                <w:p w14:paraId="12A3C7B3">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达标</w:t>
                  </w:r>
                </w:p>
              </w:tc>
            </w:tr>
            <w:tr w14:paraId="78EE2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0" w:type="pct"/>
                  <w:noWrap w:val="0"/>
                  <w:vAlign w:val="center"/>
                </w:tcPr>
                <w:p w14:paraId="032C24B8">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北厂界</w:t>
                  </w:r>
                </w:p>
              </w:tc>
              <w:tc>
                <w:tcPr>
                  <w:tcW w:w="630" w:type="pct"/>
                  <w:noWrap w:val="0"/>
                  <w:vAlign w:val="center"/>
                </w:tcPr>
                <w:p w14:paraId="4E120A2E">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cs="Times New Roman" w:eastAsiaTheme="minorEastAsia"/>
                      <w:i w:val="0"/>
                      <w:iCs/>
                      <w:color w:val="auto"/>
                      <w:sz w:val="21"/>
                      <w:szCs w:val="21"/>
                      <w:lang w:val="en-US" w:eastAsia="zh-CN"/>
                    </w:rPr>
                    <w:t>41.26</w:t>
                  </w:r>
                </w:p>
              </w:tc>
              <w:tc>
                <w:tcPr>
                  <w:tcW w:w="784" w:type="pct"/>
                  <w:noWrap w:val="0"/>
                  <w:vAlign w:val="center"/>
                </w:tcPr>
                <w:p w14:paraId="0EB5B3E6">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cs="Times New Roman" w:eastAsiaTheme="minorEastAsia"/>
                      <w:i w:val="0"/>
                      <w:iCs/>
                      <w:color w:val="auto"/>
                      <w:sz w:val="21"/>
                      <w:szCs w:val="21"/>
                      <w:lang w:val="en-US" w:eastAsia="zh-CN"/>
                    </w:rPr>
                    <w:t>15.79</w:t>
                  </w:r>
                </w:p>
              </w:tc>
              <w:tc>
                <w:tcPr>
                  <w:tcW w:w="478" w:type="pct"/>
                  <w:noWrap w:val="0"/>
                  <w:vAlign w:val="center"/>
                </w:tcPr>
                <w:p w14:paraId="0A0246B7">
                  <w:pPr>
                    <w:keepNext w:val="0"/>
                    <w:keepLines w:val="0"/>
                    <w:pageBreakBefore w:val="0"/>
                    <w:kinsoku/>
                    <w:wordWrap/>
                    <w:overflowPunct/>
                    <w:topLinePunct w:val="0"/>
                    <w:autoSpaceDE/>
                    <w:autoSpaceDN/>
                    <w:bidi w:val="0"/>
                    <w:adjustRightInd w:val="0"/>
                    <w:spacing w:line="240" w:lineRule="auto"/>
                    <w:ind w:firstLine="0" w:firstLineChars="0"/>
                    <w:jc w:val="center"/>
                    <w:textAlignment w:val="auto"/>
                    <w:rPr>
                      <w:rFonts w:hint="default" w:ascii="Times New Roman" w:hAnsi="Times New Roman" w:cs="Times New Roman" w:eastAsiaTheme="minorEastAsia"/>
                      <w:i w:val="0"/>
                      <w:iCs/>
                      <w:color w:val="auto"/>
                      <w:sz w:val="21"/>
                      <w:szCs w:val="21"/>
                    </w:rPr>
                  </w:pPr>
                  <w:r>
                    <w:rPr>
                      <w:rFonts w:hint="default" w:ascii="Times New Roman" w:hAnsi="Times New Roman" w:cs="Times New Roman" w:eastAsiaTheme="minorEastAsia"/>
                      <w:i w:val="0"/>
                      <w:iCs/>
                      <w:color w:val="auto"/>
                      <w:sz w:val="21"/>
                      <w:szCs w:val="21"/>
                    </w:rPr>
                    <w:t>1.2</w:t>
                  </w:r>
                </w:p>
              </w:tc>
              <w:tc>
                <w:tcPr>
                  <w:tcW w:w="545" w:type="pct"/>
                  <w:noWrap w:val="0"/>
                  <w:vAlign w:val="center"/>
                </w:tcPr>
                <w:p w14:paraId="3996F05D">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kern w:val="2"/>
                      <w:sz w:val="21"/>
                      <w:szCs w:val="21"/>
                      <w:lang w:val="en-US" w:eastAsia="zh-CN"/>
                    </w:rPr>
                  </w:pPr>
                  <w:r>
                    <w:rPr>
                      <w:rFonts w:hint="default" w:ascii="Times New Roman" w:hAnsi="Times New Roman" w:cs="Times New Roman" w:eastAsiaTheme="minorEastAsia"/>
                      <w:i w:val="0"/>
                      <w:iCs/>
                      <w:color w:val="auto"/>
                      <w:kern w:val="2"/>
                      <w:sz w:val="21"/>
                      <w:szCs w:val="21"/>
                      <w:lang w:val="en-US" w:eastAsia="zh-CN"/>
                    </w:rPr>
                    <w:t>昼间</w:t>
                  </w:r>
                </w:p>
              </w:tc>
              <w:tc>
                <w:tcPr>
                  <w:tcW w:w="813" w:type="pct"/>
                  <w:noWrap w:val="0"/>
                  <w:vAlign w:val="center"/>
                </w:tcPr>
                <w:p w14:paraId="7FACE4A7">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eastAsia" w:ascii="Times New Roman" w:hAnsi="Times New Roman" w:cs="Times New Roman" w:eastAsiaTheme="minorEastAsia"/>
                      <w:i w:val="0"/>
                      <w:iCs/>
                      <w:color w:val="auto"/>
                      <w:sz w:val="21"/>
                      <w:szCs w:val="21"/>
                      <w:lang w:val="en-US" w:eastAsia="zh-CN"/>
                    </w:rPr>
                    <w:t>58.4</w:t>
                  </w:r>
                </w:p>
              </w:tc>
              <w:tc>
                <w:tcPr>
                  <w:tcW w:w="743" w:type="pct"/>
                  <w:noWrap w:val="0"/>
                  <w:vAlign w:val="center"/>
                </w:tcPr>
                <w:p w14:paraId="0BF11E2C">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60</w:t>
                  </w:r>
                </w:p>
              </w:tc>
              <w:tc>
                <w:tcPr>
                  <w:tcW w:w="453" w:type="pct"/>
                  <w:noWrap w:val="0"/>
                  <w:vAlign w:val="center"/>
                </w:tcPr>
                <w:p w14:paraId="043D3613">
                  <w:pPr>
                    <w:pStyle w:val="15"/>
                    <w:keepNext w:val="0"/>
                    <w:keepLines w:val="0"/>
                    <w:pageBreakBefore w:val="0"/>
                    <w:kinsoku/>
                    <w:wordWrap/>
                    <w:overflowPunct/>
                    <w:topLinePunct w:val="0"/>
                    <w:autoSpaceDE/>
                    <w:autoSpaceDN/>
                    <w:bidi w:val="0"/>
                    <w:adjustRightInd w:val="0"/>
                    <w:spacing w:before="0" w:after="0" w:line="240" w:lineRule="auto"/>
                    <w:ind w:right="0" w:firstLine="0" w:firstLineChars="0"/>
                    <w:jc w:val="center"/>
                    <w:textAlignment w:val="auto"/>
                    <w:rPr>
                      <w:rFonts w:hint="default" w:ascii="Times New Roman" w:hAnsi="Times New Roman" w:cs="Times New Roman" w:eastAsiaTheme="minorEastAsia"/>
                      <w:i w:val="0"/>
                      <w:iCs/>
                      <w:color w:val="auto"/>
                      <w:sz w:val="21"/>
                      <w:szCs w:val="21"/>
                      <w:lang w:val="en-US" w:eastAsia="zh-CN"/>
                    </w:rPr>
                  </w:pPr>
                  <w:r>
                    <w:rPr>
                      <w:rFonts w:hint="default" w:ascii="Times New Roman" w:hAnsi="Times New Roman" w:cs="Times New Roman" w:eastAsiaTheme="minorEastAsia"/>
                      <w:i w:val="0"/>
                      <w:iCs/>
                      <w:color w:val="auto"/>
                      <w:sz w:val="21"/>
                      <w:szCs w:val="21"/>
                      <w:lang w:val="en-US" w:eastAsia="zh-CN"/>
                    </w:rPr>
                    <w:t>达标</w:t>
                  </w:r>
                </w:p>
              </w:tc>
            </w:tr>
          </w:tbl>
          <w:p w14:paraId="6D53042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根据上表4-1</w:t>
            </w:r>
            <w:r>
              <w:rPr>
                <w:rFonts w:hint="eastAsia" w:cs="Times New Roman" w:eastAsiaTheme="minorEastAsia"/>
                <w:color w:val="auto"/>
                <w:sz w:val="24"/>
                <w:szCs w:val="24"/>
                <w:lang w:val="en-US" w:eastAsia="zh-CN"/>
              </w:rPr>
              <w:t>8</w:t>
            </w:r>
            <w:r>
              <w:rPr>
                <w:rFonts w:hint="default" w:ascii="Times New Roman" w:hAnsi="Times New Roman" w:cs="Times New Roman" w:eastAsiaTheme="minorEastAsia"/>
                <w:color w:val="auto"/>
                <w:sz w:val="24"/>
                <w:szCs w:val="24"/>
              </w:rPr>
              <w:t>可知，项目厂界噪声均能达到《工业企业厂界环境噪声排放标准》（GB12348-2008）</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类标准</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rPr>
              <w:t>且本项目夜间不进行生产，项目产生的噪声对周边环境影响不大。</w:t>
            </w:r>
          </w:p>
          <w:p w14:paraId="7193786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 xml:space="preserve">为避免本项目设备运行噪声对周围声环境产生不良影响，建设单位应采取从声源上控制、从传播途径上控制等综合措施对设备运行噪声加以控制，具体如下： </w:t>
            </w:r>
          </w:p>
          <w:p w14:paraId="50B8A23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（1）合理布设生产车间，使强噪声设备远离车间边界，</w:t>
            </w:r>
            <w:r>
              <w:rPr>
                <w:rFonts w:hint="default" w:ascii="Times New Roman" w:hAnsi="Times New Roman" w:cs="Times New Roman" w:eastAsiaTheme="minorEastAsia"/>
                <w:color w:val="auto"/>
                <w:spacing w:val="16"/>
                <w:sz w:val="24"/>
                <w:szCs w:val="24"/>
              </w:rPr>
              <w:t>尽</w:t>
            </w:r>
            <w:r>
              <w:rPr>
                <w:rFonts w:hint="default" w:ascii="Times New Roman" w:hAnsi="Times New Roman" w:cs="Times New Roman" w:eastAsiaTheme="minorEastAsia"/>
                <w:color w:val="auto"/>
                <w:spacing w:val="11"/>
                <w:sz w:val="24"/>
                <w:szCs w:val="24"/>
              </w:rPr>
              <w:t>量</w:t>
            </w:r>
            <w:r>
              <w:rPr>
                <w:rFonts w:hint="default" w:ascii="Times New Roman" w:hAnsi="Times New Roman" w:cs="Times New Roman" w:eastAsiaTheme="minorEastAsia"/>
                <w:color w:val="auto"/>
                <w:spacing w:val="8"/>
                <w:sz w:val="24"/>
                <w:szCs w:val="24"/>
              </w:rPr>
              <w:t>选用噪声值较低、环保型加工设备；对设备安装基础减震设施，合理</w:t>
            </w:r>
            <w:r>
              <w:rPr>
                <w:rFonts w:hint="default" w:ascii="Times New Roman" w:hAnsi="Times New Roman" w:cs="Times New Roman" w:eastAsiaTheme="minorEastAsia"/>
                <w:color w:val="auto"/>
                <w:spacing w:val="13"/>
                <w:sz w:val="24"/>
                <w:szCs w:val="24"/>
              </w:rPr>
              <w:t>布</w:t>
            </w:r>
            <w:r>
              <w:rPr>
                <w:rFonts w:hint="default" w:ascii="Times New Roman" w:hAnsi="Times New Roman" w:cs="Times New Roman" w:eastAsiaTheme="minorEastAsia"/>
                <w:color w:val="auto"/>
                <w:spacing w:val="9"/>
                <w:sz w:val="24"/>
                <w:szCs w:val="24"/>
              </w:rPr>
              <w:t>局设备，因震动而产生的噪声源，增加避震橡胶垫</w:t>
            </w:r>
            <w:r>
              <w:rPr>
                <w:rFonts w:hint="default" w:ascii="Times New Roman" w:hAnsi="Times New Roman" w:cs="Times New Roman" w:eastAsiaTheme="minorEastAsia"/>
                <w:color w:val="auto"/>
                <w:sz w:val="24"/>
                <w:szCs w:val="24"/>
              </w:rPr>
              <w:t xml:space="preserve">。 </w:t>
            </w:r>
          </w:p>
          <w:p w14:paraId="16A2431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w:t>
            </w:r>
            <w:r>
              <w:rPr>
                <w:rFonts w:hint="default" w:ascii="Times New Roman" w:hAnsi="Times New Roman" w:cs="Times New Roman" w:eastAsiaTheme="minorEastAsia"/>
                <w:color w:val="auto"/>
                <w:spacing w:val="6"/>
                <w:sz w:val="24"/>
                <w:szCs w:val="24"/>
              </w:rPr>
              <w:t>加强设</w:t>
            </w:r>
            <w:r>
              <w:rPr>
                <w:rFonts w:hint="default" w:ascii="Times New Roman" w:hAnsi="Times New Roman" w:cs="Times New Roman" w:eastAsiaTheme="minorEastAsia"/>
                <w:color w:val="auto"/>
                <w:spacing w:val="4"/>
                <w:sz w:val="24"/>
                <w:szCs w:val="24"/>
              </w:rPr>
              <w:t>备</w:t>
            </w:r>
            <w:r>
              <w:rPr>
                <w:rFonts w:hint="default" w:ascii="Times New Roman" w:hAnsi="Times New Roman" w:cs="Times New Roman" w:eastAsiaTheme="minorEastAsia"/>
                <w:color w:val="auto"/>
                <w:spacing w:val="3"/>
                <w:sz w:val="24"/>
                <w:szCs w:val="24"/>
              </w:rPr>
              <w:t>的巡检和维护，定时加注润滑油，保证设备处于良好的运转状态</w:t>
            </w:r>
            <w:r>
              <w:rPr>
                <w:rFonts w:hint="default" w:ascii="Times New Roman" w:hAnsi="Times New Roman" w:cs="Times New Roman" w:eastAsiaTheme="minorEastAsia"/>
                <w:color w:val="auto"/>
                <w:spacing w:val="3"/>
                <w:sz w:val="24"/>
                <w:szCs w:val="24"/>
                <w:lang w:eastAsia="zh-CN"/>
              </w:rPr>
              <w:t>，</w:t>
            </w:r>
            <w:r>
              <w:rPr>
                <w:rFonts w:hint="default" w:ascii="Times New Roman" w:hAnsi="Times New Roman" w:cs="Times New Roman" w:eastAsiaTheme="minorEastAsia"/>
                <w:color w:val="auto"/>
                <w:spacing w:val="9"/>
                <w:sz w:val="24"/>
                <w:szCs w:val="24"/>
              </w:rPr>
              <w:t>杜绝因设备不正常运转时产生的高噪声现象</w:t>
            </w:r>
            <w:r>
              <w:rPr>
                <w:rFonts w:hint="default" w:ascii="Times New Roman" w:hAnsi="Times New Roman" w:cs="Times New Roman" w:eastAsiaTheme="minorEastAsia"/>
                <w:color w:val="auto"/>
                <w:sz w:val="24"/>
                <w:szCs w:val="24"/>
              </w:rPr>
              <w:t>。</w:t>
            </w:r>
          </w:p>
          <w:p w14:paraId="43FC688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w:t>
            </w:r>
            <w:r>
              <w:rPr>
                <w:rFonts w:hint="default" w:ascii="Times New Roman" w:hAnsi="Times New Roman" w:cs="Times New Roman" w:eastAsiaTheme="minorEastAsia"/>
                <w:color w:val="auto"/>
                <w:spacing w:val="9"/>
                <w:sz w:val="24"/>
                <w:szCs w:val="24"/>
              </w:rPr>
              <w:t>加强作业管理，减少非正常噪声，加强职工环保意识教育</w:t>
            </w:r>
            <w:r>
              <w:rPr>
                <w:rFonts w:hint="default" w:ascii="Times New Roman" w:hAnsi="Times New Roman" w:cs="Times New Roman" w:eastAsiaTheme="minorEastAsia"/>
                <w:color w:val="auto"/>
                <w:sz w:val="24"/>
                <w:szCs w:val="24"/>
              </w:rPr>
              <w:t>。</w:t>
            </w:r>
          </w:p>
          <w:p w14:paraId="01BCD22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w:t>
            </w:r>
            <w:r>
              <w:rPr>
                <w:rFonts w:hint="default" w:ascii="Times New Roman" w:hAnsi="Times New Roman" w:cs="Times New Roman" w:eastAsiaTheme="minorEastAsia"/>
                <w:color w:val="auto"/>
                <w:spacing w:val="16"/>
                <w:sz w:val="24"/>
                <w:szCs w:val="24"/>
              </w:rPr>
              <w:t>加</w:t>
            </w:r>
            <w:r>
              <w:rPr>
                <w:rFonts w:hint="default" w:ascii="Times New Roman" w:hAnsi="Times New Roman" w:cs="Times New Roman" w:eastAsiaTheme="minorEastAsia"/>
                <w:color w:val="auto"/>
                <w:spacing w:val="12"/>
                <w:sz w:val="24"/>
                <w:szCs w:val="24"/>
              </w:rPr>
              <w:t>强</w:t>
            </w:r>
            <w:r>
              <w:rPr>
                <w:rFonts w:hint="default" w:ascii="Times New Roman" w:hAnsi="Times New Roman" w:cs="Times New Roman" w:eastAsiaTheme="minorEastAsia"/>
                <w:color w:val="auto"/>
                <w:spacing w:val="8"/>
                <w:sz w:val="24"/>
                <w:szCs w:val="24"/>
              </w:rPr>
              <w:t>对运输车辆的管理，加强车辆驾驶员的环保意识，尽可能减少鸣笛次</w:t>
            </w:r>
            <w:r>
              <w:rPr>
                <w:rFonts w:hint="default" w:ascii="Times New Roman" w:hAnsi="Times New Roman" w:cs="Times New Roman" w:eastAsiaTheme="minorEastAsia"/>
                <w:color w:val="auto"/>
                <w:spacing w:val="2"/>
                <w:sz w:val="24"/>
                <w:szCs w:val="24"/>
              </w:rPr>
              <w:t>数</w:t>
            </w:r>
            <w:r>
              <w:rPr>
                <w:rFonts w:hint="default" w:ascii="Times New Roman" w:hAnsi="Times New Roman" w:cs="Times New Roman" w:eastAsiaTheme="minorEastAsia"/>
                <w:color w:val="auto"/>
                <w:sz w:val="24"/>
                <w:szCs w:val="24"/>
              </w:rPr>
              <w:t>。</w:t>
            </w:r>
          </w:p>
          <w:p w14:paraId="31E8896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rPr>
              <w:t>）夜间禁止生产。</w:t>
            </w:r>
          </w:p>
          <w:p w14:paraId="0BE8207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color w:val="auto"/>
                <w:sz w:val="24"/>
                <w:szCs w:val="24"/>
              </w:rPr>
              <w:t>在采取上述措施后，项目的厂界噪声可满足《工业企业厂界环境噪声排放标准》（GB12348-2008</w:t>
            </w:r>
            <w:r>
              <w:rPr>
                <w:rFonts w:hint="default" w:ascii="Times New Roman" w:hAnsi="Times New Roman" w:cs="Times New Roman" w:eastAsiaTheme="minorEastAsia"/>
                <w:color w:val="auto"/>
                <w:sz w:val="24"/>
                <w:szCs w:val="24"/>
                <w:lang w:eastAsia="zh-CN"/>
              </w:rPr>
              <w:t>）</w:t>
            </w:r>
            <w:r>
              <w:rPr>
                <w:rFonts w:hint="eastAsia" w:cs="Times New Roman" w:eastAsiaTheme="minorEastAsia"/>
                <w:color w:val="auto"/>
                <w:sz w:val="24"/>
                <w:szCs w:val="24"/>
                <w:lang w:val="en-US" w:eastAsia="zh-CN"/>
              </w:rPr>
              <w:t>2类</w:t>
            </w:r>
            <w:r>
              <w:rPr>
                <w:rFonts w:hint="default" w:ascii="Times New Roman" w:hAnsi="Times New Roman" w:cs="Times New Roman" w:eastAsiaTheme="minorEastAsia"/>
                <w:color w:val="auto"/>
                <w:sz w:val="24"/>
                <w:szCs w:val="24"/>
              </w:rPr>
              <w:t>标准要求，再经距离衰减、建筑物阻隔后对周边声环境影响很小。</w:t>
            </w:r>
          </w:p>
          <w:bookmarkEnd w:id="25"/>
          <w:bookmarkEnd w:id="26"/>
          <w:bookmarkEnd w:id="27"/>
          <w:p w14:paraId="562D55B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32"/>
              </w:rPr>
            </w:pPr>
            <w:r>
              <w:rPr>
                <w:rFonts w:hint="default" w:ascii="Times New Roman" w:hAnsi="Times New Roman" w:eastAsia="宋体" w:cs="Times New Roman"/>
                <w:b/>
                <w:bCs/>
                <w:color w:val="auto"/>
                <w:sz w:val="24"/>
                <w:szCs w:val="32"/>
              </w:rPr>
              <w:t>3、噪声</w:t>
            </w:r>
            <w:r>
              <w:rPr>
                <w:rFonts w:hint="eastAsia" w:eastAsia="宋体" w:cs="Times New Roman"/>
                <w:b/>
                <w:bCs/>
                <w:color w:val="auto"/>
                <w:sz w:val="24"/>
                <w:szCs w:val="32"/>
                <w:lang w:val="en-US" w:eastAsia="zh-CN"/>
              </w:rPr>
              <w:t>自行</w:t>
            </w:r>
            <w:r>
              <w:rPr>
                <w:rFonts w:hint="default" w:ascii="Times New Roman" w:hAnsi="Times New Roman" w:eastAsia="宋体" w:cs="Times New Roman"/>
                <w:b/>
                <w:bCs/>
                <w:color w:val="auto"/>
                <w:sz w:val="24"/>
                <w:szCs w:val="32"/>
              </w:rPr>
              <w:t>监测要求</w:t>
            </w:r>
          </w:p>
          <w:p w14:paraId="6BB4BD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参照《排污单位自行监测技术指南 总则》（HJ819-2017）中要求进行确定，本次环评对建设项目提出实施环境监测建议</w:t>
            </w:r>
            <w:r>
              <w:rPr>
                <w:rFonts w:hint="default" w:ascii="Times New Roman" w:hAnsi="Times New Roman" w:eastAsia="宋体" w:cs="Times New Roman"/>
                <w:color w:val="auto"/>
                <w:sz w:val="24"/>
                <w:szCs w:val="32"/>
                <w:lang w:eastAsia="zh-CN"/>
              </w:rPr>
              <w:t>，</w:t>
            </w:r>
            <w:r>
              <w:rPr>
                <w:rFonts w:hint="default" w:ascii="Times New Roman" w:hAnsi="Times New Roman" w:eastAsia="宋体" w:cs="Times New Roman"/>
                <w:color w:val="auto"/>
                <w:sz w:val="24"/>
                <w:szCs w:val="32"/>
              </w:rPr>
              <w:t>具体建议见表4-1</w:t>
            </w:r>
            <w:r>
              <w:rPr>
                <w:rFonts w:hint="eastAsia" w:cs="Times New Roman"/>
                <w:color w:val="auto"/>
                <w:sz w:val="24"/>
                <w:szCs w:val="32"/>
                <w:lang w:val="en-US" w:eastAsia="zh-CN"/>
              </w:rPr>
              <w:t>9</w:t>
            </w:r>
            <w:r>
              <w:rPr>
                <w:rFonts w:hint="default" w:ascii="Times New Roman" w:hAnsi="Times New Roman" w:eastAsia="宋体" w:cs="Times New Roman"/>
                <w:color w:val="auto"/>
                <w:sz w:val="24"/>
                <w:szCs w:val="32"/>
              </w:rPr>
              <w:t>。</w:t>
            </w:r>
          </w:p>
          <w:p w14:paraId="400612B9">
            <w:pPr>
              <w:spacing w:line="240" w:lineRule="auto"/>
              <w:ind w:firstLine="0" w:firstLineChars="0"/>
              <w:jc w:val="center"/>
              <w:rPr>
                <w:b/>
                <w:bCs/>
                <w:color w:val="auto"/>
                <w:sz w:val="24"/>
                <w:szCs w:val="24"/>
              </w:rPr>
            </w:pPr>
            <w:r>
              <w:rPr>
                <w:b/>
                <w:bCs/>
                <w:color w:val="auto"/>
                <w:sz w:val="24"/>
                <w:szCs w:val="24"/>
              </w:rPr>
              <w:t>表4-</w:t>
            </w:r>
            <w:r>
              <w:rPr>
                <w:rFonts w:hint="eastAsia"/>
                <w:b/>
                <w:bCs/>
                <w:color w:val="auto"/>
                <w:sz w:val="24"/>
                <w:szCs w:val="24"/>
              </w:rPr>
              <w:t>1</w:t>
            </w:r>
            <w:r>
              <w:rPr>
                <w:rFonts w:hint="eastAsia"/>
                <w:b/>
                <w:bCs/>
                <w:color w:val="auto"/>
                <w:sz w:val="24"/>
                <w:szCs w:val="24"/>
                <w:lang w:val="en-US" w:eastAsia="zh-CN"/>
              </w:rPr>
              <w:t>9</w:t>
            </w:r>
            <w:r>
              <w:rPr>
                <w:b/>
                <w:bCs/>
                <w:color w:val="auto"/>
                <w:sz w:val="24"/>
                <w:szCs w:val="24"/>
              </w:rPr>
              <w:t xml:space="preserve">  运营期噪声排放监测计划表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329"/>
              <w:gridCol w:w="1846"/>
              <w:gridCol w:w="1150"/>
              <w:gridCol w:w="2831"/>
            </w:tblGrid>
            <w:tr w14:paraId="730EC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center"/>
                </w:tcPr>
                <w:p w14:paraId="45FA6E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1345" w:type="dxa"/>
                  <w:noWrap w:val="0"/>
                  <w:vAlign w:val="center"/>
                </w:tcPr>
                <w:p w14:paraId="74C083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监测点位</w:t>
                  </w:r>
                </w:p>
              </w:tc>
              <w:tc>
                <w:tcPr>
                  <w:tcW w:w="1870" w:type="dxa"/>
                  <w:noWrap w:val="0"/>
                  <w:vAlign w:val="center"/>
                </w:tcPr>
                <w:p w14:paraId="0CC869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监测因子</w:t>
                  </w:r>
                </w:p>
              </w:tc>
              <w:tc>
                <w:tcPr>
                  <w:tcW w:w="1164" w:type="dxa"/>
                  <w:noWrap w:val="0"/>
                  <w:vAlign w:val="center"/>
                </w:tcPr>
                <w:p w14:paraId="387DC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监测频次</w:t>
                  </w:r>
                </w:p>
              </w:tc>
              <w:tc>
                <w:tcPr>
                  <w:tcW w:w="2870" w:type="dxa"/>
                  <w:noWrap w:val="0"/>
                  <w:vAlign w:val="center"/>
                </w:tcPr>
                <w:p w14:paraId="7A1DD7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7BCF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noWrap w:val="0"/>
                  <w:vAlign w:val="center"/>
                </w:tcPr>
                <w:p w14:paraId="59E440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45" w:type="dxa"/>
                  <w:noWrap w:val="0"/>
                  <w:vAlign w:val="center"/>
                </w:tcPr>
                <w:p w14:paraId="564C7C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东、南、西、北厂界</w:t>
                  </w:r>
                </w:p>
              </w:tc>
              <w:tc>
                <w:tcPr>
                  <w:tcW w:w="1870" w:type="dxa"/>
                  <w:noWrap w:val="0"/>
                  <w:vAlign w:val="center"/>
                </w:tcPr>
                <w:p w14:paraId="2D9929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昼间等效声级 Leq(A)</w:t>
                  </w:r>
                </w:p>
              </w:tc>
              <w:tc>
                <w:tcPr>
                  <w:tcW w:w="1164" w:type="dxa"/>
                  <w:noWrap w:val="0"/>
                  <w:vAlign w:val="center"/>
                </w:tcPr>
                <w:p w14:paraId="68A99D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1次/</w:t>
                  </w:r>
                  <w:r>
                    <w:rPr>
                      <w:rFonts w:hint="default" w:ascii="Times New Roman" w:hAnsi="Times New Roman" w:eastAsia="宋体" w:cs="Times New Roman"/>
                      <w:color w:val="auto"/>
                      <w:sz w:val="21"/>
                      <w:szCs w:val="21"/>
                      <w:lang w:val="en-US" w:eastAsia="zh-CN"/>
                    </w:rPr>
                    <w:t>季度</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每年共监测4次</w:t>
                  </w:r>
                </w:p>
              </w:tc>
              <w:tc>
                <w:tcPr>
                  <w:tcW w:w="2870" w:type="dxa"/>
                  <w:noWrap w:val="0"/>
                  <w:vAlign w:val="center"/>
                </w:tcPr>
                <w:p w14:paraId="6C397B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《工业企业厂界环境噪声排放标准》（GB12348-2008）中</w:t>
                  </w:r>
                  <w:r>
                    <w:rPr>
                      <w:rFonts w:hint="eastAsia"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bl>
          <w:p w14:paraId="258A9FA8">
            <w:pPr>
              <w:keepNext w:val="0"/>
              <w:keepLines/>
              <w:pageBreakBefore w:val="0"/>
              <w:widowControl/>
              <w:kinsoku/>
              <w:overflowPunct/>
              <w:bidi w:val="0"/>
              <w:adjustRightInd/>
              <w:spacing w:line="360" w:lineRule="auto"/>
              <w:ind w:left="0" w:leftChars="0" w:firstLine="0" w:firstLineChars="0"/>
              <w:jc w:val="left"/>
              <w:rPr>
                <w:rFonts w:hint="default" w:ascii="Times New Roman" w:hAnsi="Times New Roman" w:cs="Times New Roman"/>
                <w:b/>
                <w:bCs/>
                <w:color w:val="auto"/>
                <w:kern w:val="0"/>
                <w:sz w:val="24"/>
              </w:rPr>
            </w:pPr>
            <w:r>
              <w:rPr>
                <w:rFonts w:hint="eastAsia" w:cs="Times New Roman"/>
                <w:b/>
                <w:bCs/>
                <w:color w:val="auto"/>
                <w:kern w:val="0"/>
                <w:sz w:val="24"/>
                <w:lang w:val="en-US" w:eastAsia="zh-CN"/>
              </w:rPr>
              <w:t>四、</w:t>
            </w:r>
            <w:r>
              <w:rPr>
                <w:rFonts w:hint="default" w:ascii="Times New Roman" w:hAnsi="Times New Roman" w:cs="Times New Roman"/>
                <w:b/>
                <w:bCs/>
                <w:color w:val="auto"/>
                <w:kern w:val="0"/>
                <w:sz w:val="24"/>
              </w:rPr>
              <w:t>固体废物环境影响和保护措施</w:t>
            </w:r>
          </w:p>
          <w:p w14:paraId="5AC0C44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固体废弃物产生情况</w:t>
            </w:r>
          </w:p>
          <w:p w14:paraId="55E7D368">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本项目营运期产生的固体废物主要包括废弃包装物、</w:t>
            </w:r>
            <w:r>
              <w:rPr>
                <w:rFonts w:hint="eastAsia" w:cs="Times New Roman" w:eastAsiaTheme="minorEastAsia"/>
                <w:b w:val="0"/>
                <w:bCs w:val="0"/>
                <w:color w:val="auto"/>
                <w:kern w:val="2"/>
                <w:sz w:val="24"/>
                <w:szCs w:val="24"/>
                <w:lang w:val="en-US" w:eastAsia="zh-CN" w:bidi="ar-SA"/>
              </w:rPr>
              <w:t>生物质蒸汽发生器</w:t>
            </w:r>
            <w:r>
              <w:rPr>
                <w:rFonts w:hint="default" w:ascii="Times New Roman" w:hAnsi="Times New Roman" w:cs="Times New Roman" w:eastAsiaTheme="minorEastAsia"/>
                <w:b w:val="0"/>
                <w:bCs w:val="0"/>
                <w:color w:val="auto"/>
                <w:kern w:val="2"/>
                <w:sz w:val="24"/>
                <w:szCs w:val="24"/>
                <w:lang w:val="en-US" w:eastAsia="zh-CN" w:bidi="ar-SA"/>
              </w:rPr>
              <w:t>炉渣、除尘器</w:t>
            </w:r>
            <w:r>
              <w:rPr>
                <w:rFonts w:hint="eastAsia" w:cs="Times New Roman" w:eastAsiaTheme="minorEastAsia"/>
                <w:b w:val="0"/>
                <w:bCs w:val="0"/>
                <w:color w:val="auto"/>
                <w:kern w:val="2"/>
                <w:sz w:val="24"/>
                <w:szCs w:val="24"/>
                <w:lang w:val="en-US" w:eastAsia="zh-CN" w:bidi="ar-SA"/>
              </w:rPr>
              <w:t>收集的</w:t>
            </w:r>
            <w:r>
              <w:rPr>
                <w:rFonts w:hint="default" w:ascii="Times New Roman" w:hAnsi="Times New Roman" w:cs="Times New Roman" w:eastAsiaTheme="minorEastAsia"/>
                <w:b w:val="0"/>
                <w:bCs w:val="0"/>
                <w:color w:val="auto"/>
                <w:kern w:val="2"/>
                <w:sz w:val="24"/>
                <w:szCs w:val="24"/>
                <w:lang w:val="en-US" w:eastAsia="zh-CN" w:bidi="ar-SA"/>
              </w:rPr>
              <w:t>除尘灰、废布袋、废离子交换树脂、</w:t>
            </w:r>
            <w:r>
              <w:rPr>
                <w:rFonts w:hint="eastAsia" w:cs="Times New Roman" w:eastAsiaTheme="minorEastAsia"/>
                <w:b w:val="0"/>
                <w:bCs w:val="0"/>
                <w:color w:val="auto"/>
                <w:kern w:val="2"/>
                <w:sz w:val="24"/>
                <w:szCs w:val="24"/>
                <w:lang w:val="en-US" w:eastAsia="zh-CN" w:bidi="ar-SA"/>
              </w:rPr>
              <w:t>投料颗粒物、一体化污水处理设施和化粪池污泥、</w:t>
            </w:r>
            <w:r>
              <w:rPr>
                <w:rFonts w:hint="default" w:ascii="Times New Roman" w:hAnsi="Times New Roman" w:cs="Times New Roman" w:eastAsiaTheme="minorEastAsia"/>
                <w:b w:val="0"/>
                <w:bCs w:val="0"/>
                <w:color w:val="auto"/>
                <w:kern w:val="2"/>
                <w:sz w:val="24"/>
                <w:szCs w:val="24"/>
                <w:lang w:val="en-US" w:eastAsia="zh-CN" w:bidi="ar-SA"/>
              </w:rPr>
              <w:t>生活垃圾、</w:t>
            </w:r>
            <w:r>
              <w:rPr>
                <w:rFonts w:hint="eastAsia" w:cs="Times New Roman" w:eastAsiaTheme="minorEastAsia"/>
                <w:b w:val="0"/>
                <w:bCs w:val="0"/>
                <w:color w:val="auto"/>
                <w:kern w:val="0"/>
                <w:sz w:val="24"/>
                <w:szCs w:val="24"/>
                <w:lang w:val="en-US" w:eastAsia="zh-CN"/>
              </w:rPr>
              <w:t>废弃含油抹布</w:t>
            </w:r>
            <w:r>
              <w:rPr>
                <w:rFonts w:hint="eastAsia" w:cs="Times New Roman" w:eastAsiaTheme="minorEastAsia"/>
                <w:b w:val="0"/>
                <w:bCs w:val="0"/>
                <w:color w:val="auto"/>
                <w:sz w:val="24"/>
                <w:szCs w:val="24"/>
                <w:lang w:val="en-US" w:eastAsia="zh-CN"/>
              </w:rPr>
              <w:t>和劳保用品、</w:t>
            </w:r>
            <w:r>
              <w:rPr>
                <w:rFonts w:hint="default" w:ascii="Times New Roman" w:hAnsi="Times New Roman" w:cs="Times New Roman" w:eastAsiaTheme="minorEastAsia"/>
                <w:b w:val="0"/>
                <w:bCs w:val="0"/>
                <w:color w:val="auto"/>
                <w:kern w:val="2"/>
                <w:sz w:val="24"/>
                <w:szCs w:val="24"/>
                <w:lang w:val="en-US" w:eastAsia="zh-CN" w:bidi="ar-SA"/>
              </w:rPr>
              <w:t>废机油以及废活性炭等。</w:t>
            </w:r>
          </w:p>
          <w:p w14:paraId="464C6D9B">
            <w:pPr>
              <w:pStyle w:val="2"/>
              <w:keepNext w:val="0"/>
              <w:keepLines w:val="0"/>
              <w:pageBreakBefore w:val="0"/>
              <w:widowControl w:val="0"/>
              <w:kinsoku/>
              <w:wordWrap/>
              <w:overflowPunct/>
              <w:topLinePunct w:val="0"/>
              <w:autoSpaceDE/>
              <w:autoSpaceDN/>
              <w:bidi w:val="0"/>
              <w:adjustRightInd/>
              <w:snapToGrid/>
              <w:ind w:leftChars="0" w:firstLine="480" w:firstLineChars="200"/>
              <w:jc w:val="both"/>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（1）废弃包装物</w:t>
            </w:r>
          </w:p>
          <w:p w14:paraId="5BCE3D1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项目原料开包、产品包装过程会有废包装物产生，项目废包装物产生量为0.8t/a，统一收集后外售处置。</w:t>
            </w:r>
          </w:p>
          <w:p w14:paraId="32A5A34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（2）</w:t>
            </w:r>
            <w:r>
              <w:rPr>
                <w:rFonts w:hint="eastAsia" w:cs="Times New Roman" w:eastAsiaTheme="minorEastAsia"/>
                <w:b w:val="0"/>
                <w:bCs w:val="0"/>
                <w:color w:val="auto"/>
                <w:kern w:val="2"/>
                <w:sz w:val="24"/>
                <w:szCs w:val="24"/>
                <w:lang w:val="en-US" w:eastAsia="zh-CN" w:bidi="ar-SA"/>
              </w:rPr>
              <w:t>生物质蒸汽发生器</w:t>
            </w:r>
            <w:r>
              <w:rPr>
                <w:rFonts w:hint="default" w:ascii="Times New Roman" w:hAnsi="Times New Roman" w:cs="Times New Roman" w:eastAsiaTheme="minorEastAsia"/>
                <w:b w:val="0"/>
                <w:bCs w:val="0"/>
                <w:color w:val="auto"/>
                <w:kern w:val="2"/>
                <w:sz w:val="24"/>
                <w:szCs w:val="24"/>
                <w:lang w:val="en-US" w:eastAsia="zh-CN" w:bidi="ar-SA"/>
              </w:rPr>
              <w:t>炉渣</w:t>
            </w:r>
          </w:p>
          <w:p w14:paraId="2829512B">
            <w:pPr>
              <w:pStyle w:val="92"/>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auto"/>
                <w:sz w:val="24"/>
                <w:szCs w:val="24"/>
                <w:lang w:eastAsia="zh-CN"/>
              </w:rPr>
            </w:pPr>
            <w:r>
              <w:rPr>
                <w:rFonts w:hint="eastAsia" w:cs="Times New Roman" w:eastAsiaTheme="minorEastAsia"/>
                <w:b w:val="0"/>
                <w:bCs w:val="0"/>
                <w:color w:val="auto"/>
                <w:sz w:val="24"/>
                <w:szCs w:val="24"/>
                <w:lang w:eastAsia="zh-CN"/>
              </w:rPr>
              <w:t>生物质蒸汽发生器</w:t>
            </w:r>
            <w:r>
              <w:rPr>
                <w:rFonts w:hint="default" w:ascii="Times New Roman" w:hAnsi="Times New Roman" w:cs="Times New Roman" w:eastAsiaTheme="minorEastAsia"/>
                <w:b w:val="0"/>
                <w:bCs w:val="0"/>
                <w:color w:val="auto"/>
                <w:sz w:val="24"/>
                <w:szCs w:val="24"/>
              </w:rPr>
              <w:t>炉渣的产生量参照中《排放源统计调查产排污核算方法和系数手册》（公告2021年第24号）中《锅炉产排污量核算系数手册》4430工业锅炉（热力生产和供应行业）产排污系数表-工业固体废物中燃煤锅炉的产排污系数进行计算</w:t>
            </w:r>
            <w:r>
              <w:rPr>
                <w:rFonts w:hint="default" w:ascii="Times New Roman" w:hAnsi="Times New Roman" w:cs="Times New Roman" w:eastAsiaTheme="minorEastAsia"/>
                <w:b w:val="0"/>
                <w:bCs w:val="0"/>
                <w:color w:val="auto"/>
                <w:spacing w:val="6"/>
                <w:sz w:val="24"/>
                <w:szCs w:val="24"/>
              </w:rPr>
              <w:t>，层燃</w:t>
            </w:r>
            <w:r>
              <w:rPr>
                <w:rFonts w:hint="default" w:ascii="Times New Roman" w:hAnsi="Times New Roman" w:cs="Times New Roman" w:eastAsiaTheme="minorEastAsia"/>
                <w:b w:val="0"/>
                <w:bCs w:val="0"/>
                <w:color w:val="auto"/>
                <w:sz w:val="24"/>
                <w:szCs w:val="24"/>
              </w:rPr>
              <w:t>炉渣产生量为9.24Akg/t燃料（A为灰分含量，项目使用的生物质燃料灰分为4.02%），本项目生物质燃料</w:t>
            </w:r>
            <w:r>
              <w:rPr>
                <w:rFonts w:hint="default" w:ascii="Times New Roman" w:hAnsi="Times New Roman" w:cs="Times New Roman" w:eastAsiaTheme="minorEastAsia"/>
                <w:b w:val="0"/>
                <w:bCs w:val="0"/>
                <w:color w:val="auto"/>
                <w:sz w:val="24"/>
                <w:szCs w:val="24"/>
                <w:lang w:val="en-US" w:eastAsia="zh-CN"/>
              </w:rPr>
              <w:t>使</w:t>
            </w:r>
            <w:r>
              <w:rPr>
                <w:rFonts w:hint="default" w:ascii="Times New Roman" w:hAnsi="Times New Roman" w:cs="Times New Roman" w:eastAsiaTheme="minorEastAsia"/>
                <w:b w:val="0"/>
                <w:bCs w:val="0"/>
                <w:color w:val="auto"/>
                <w:sz w:val="24"/>
                <w:szCs w:val="24"/>
              </w:rPr>
              <w:t>用量为</w:t>
            </w:r>
            <w:r>
              <w:rPr>
                <w:rFonts w:hint="default" w:ascii="Times New Roman" w:hAnsi="Times New Roman" w:cs="Times New Roman" w:eastAsiaTheme="minorEastAsia"/>
                <w:b w:val="0"/>
                <w:bCs w:val="0"/>
                <w:color w:val="auto"/>
                <w:sz w:val="24"/>
                <w:szCs w:val="24"/>
                <w:lang w:val="en-US" w:eastAsia="zh-CN"/>
              </w:rPr>
              <w:t>1500</w:t>
            </w:r>
            <w:r>
              <w:rPr>
                <w:rFonts w:hint="default" w:ascii="Times New Roman" w:hAnsi="Times New Roman" w:cs="Times New Roman" w:eastAsiaTheme="minorEastAsia"/>
                <w:b w:val="0"/>
                <w:bCs w:val="0"/>
                <w:color w:val="auto"/>
                <w:sz w:val="24"/>
                <w:szCs w:val="24"/>
              </w:rPr>
              <w:t>t/a，则项目炉渣产生量为</w:t>
            </w:r>
            <w:r>
              <w:rPr>
                <w:rFonts w:hint="default" w:ascii="Times New Roman" w:hAnsi="Times New Roman" w:cs="Times New Roman" w:eastAsiaTheme="minorEastAsia"/>
                <w:b w:val="0"/>
                <w:bCs w:val="0"/>
                <w:color w:val="auto"/>
                <w:sz w:val="24"/>
                <w:szCs w:val="24"/>
                <w:lang w:val="en-US" w:eastAsia="zh-CN"/>
              </w:rPr>
              <w:t>55.72</w:t>
            </w:r>
            <w:r>
              <w:rPr>
                <w:rFonts w:hint="default" w:ascii="Times New Roman" w:hAnsi="Times New Roman" w:cs="Times New Roman" w:eastAsiaTheme="minorEastAsia"/>
                <w:b w:val="0"/>
                <w:bCs w:val="0"/>
                <w:color w:val="auto"/>
                <w:sz w:val="24"/>
                <w:szCs w:val="24"/>
              </w:rPr>
              <w:t>t/a，产生的</w:t>
            </w:r>
            <w:r>
              <w:rPr>
                <w:rFonts w:hint="eastAsia" w:cs="Times New Roman" w:eastAsiaTheme="minorEastAsia"/>
                <w:b w:val="0"/>
                <w:bCs w:val="0"/>
                <w:color w:val="auto"/>
                <w:sz w:val="24"/>
                <w:szCs w:val="24"/>
                <w:lang w:eastAsia="zh-CN"/>
              </w:rPr>
              <w:t>生物质蒸汽发生器</w:t>
            </w:r>
            <w:r>
              <w:rPr>
                <w:rFonts w:hint="default" w:ascii="Times New Roman" w:hAnsi="Times New Roman" w:cs="Times New Roman" w:eastAsiaTheme="minorEastAsia"/>
                <w:b w:val="0"/>
                <w:bCs w:val="0"/>
                <w:color w:val="auto"/>
                <w:sz w:val="24"/>
                <w:szCs w:val="24"/>
              </w:rPr>
              <w:t>炉渣统一收集袋装后暂存于一般固废暂存间内，外售其他企业制作复合肥料。</w:t>
            </w:r>
          </w:p>
          <w:p w14:paraId="32599B4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（3）除尘器</w:t>
            </w:r>
            <w:r>
              <w:rPr>
                <w:rFonts w:hint="eastAsia" w:cs="Times New Roman" w:eastAsiaTheme="minorEastAsia"/>
                <w:b w:val="0"/>
                <w:bCs w:val="0"/>
                <w:color w:val="auto"/>
                <w:kern w:val="2"/>
                <w:sz w:val="24"/>
                <w:szCs w:val="24"/>
                <w:lang w:val="en-US" w:eastAsia="zh-CN" w:bidi="ar-SA"/>
              </w:rPr>
              <w:t>收集的</w:t>
            </w:r>
            <w:r>
              <w:rPr>
                <w:rFonts w:hint="default" w:ascii="Times New Roman" w:hAnsi="Times New Roman" w:cs="Times New Roman" w:eastAsiaTheme="minorEastAsia"/>
                <w:b w:val="0"/>
                <w:bCs w:val="0"/>
                <w:color w:val="auto"/>
                <w:kern w:val="2"/>
                <w:sz w:val="24"/>
                <w:szCs w:val="24"/>
                <w:lang w:val="en-US" w:eastAsia="zh-CN" w:bidi="ar-SA"/>
              </w:rPr>
              <w:t>除尘灰</w:t>
            </w:r>
          </w:p>
          <w:p w14:paraId="74A9595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根据工程分析可知，本项目除尘器收集的除尘灰为</w:t>
            </w:r>
            <w:r>
              <w:rPr>
                <w:rFonts w:hint="eastAsia" w:cs="Times New Roman" w:eastAsiaTheme="minorEastAsia"/>
                <w:b w:val="0"/>
                <w:bCs w:val="0"/>
                <w:color w:val="auto"/>
                <w:sz w:val="24"/>
                <w:szCs w:val="24"/>
                <w:lang w:val="en-US" w:eastAsia="zh-CN"/>
              </w:rPr>
              <w:t>56.34</w:t>
            </w:r>
            <w:r>
              <w:rPr>
                <w:rFonts w:hint="default" w:ascii="Times New Roman" w:hAnsi="Times New Roman" w:cs="Times New Roman" w:eastAsiaTheme="minorEastAsia"/>
                <w:b w:val="0"/>
                <w:bCs w:val="0"/>
                <w:color w:val="auto"/>
                <w:sz w:val="24"/>
                <w:szCs w:val="24"/>
              </w:rPr>
              <w:t>t/a</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rPr>
              <w:t>除尘灰定期清理袋装后暂存于一般固废暂存间内，与炉渣共同外售给其他企业制作复合肥料</w:t>
            </w:r>
            <w:r>
              <w:rPr>
                <w:rFonts w:hint="default" w:ascii="Times New Roman" w:hAnsi="Times New Roman" w:cs="Times New Roman" w:eastAsiaTheme="minorEastAsia"/>
                <w:b w:val="0"/>
                <w:bCs w:val="0"/>
                <w:color w:val="auto"/>
                <w:sz w:val="24"/>
                <w:szCs w:val="24"/>
                <w:lang w:eastAsia="zh-CN"/>
              </w:rPr>
              <w:t>。</w:t>
            </w:r>
          </w:p>
          <w:p w14:paraId="3A2A3A6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（4）废布袋</w:t>
            </w:r>
          </w:p>
          <w:p w14:paraId="753A82D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pacing w:val="-1"/>
                <w:sz w:val="24"/>
                <w:szCs w:val="24"/>
                <w:lang w:val="en-US" w:eastAsia="zh-CN"/>
              </w:rPr>
            </w:pPr>
            <w:r>
              <w:rPr>
                <w:rFonts w:hint="default" w:ascii="Times New Roman" w:hAnsi="Times New Roman" w:cs="Times New Roman" w:eastAsiaTheme="minorEastAsia"/>
                <w:b w:val="0"/>
                <w:bCs w:val="0"/>
                <w:color w:val="auto"/>
                <w:sz w:val="24"/>
                <w:szCs w:val="24"/>
              </w:rPr>
              <w:t>本项目废气治理设施更换的废布袋</w:t>
            </w:r>
            <w:r>
              <w:rPr>
                <w:rFonts w:hint="default" w:ascii="Times New Roman" w:hAnsi="Times New Roman" w:cs="Times New Roman" w:eastAsiaTheme="minorEastAsia"/>
                <w:b w:val="0"/>
                <w:bCs w:val="0"/>
                <w:color w:val="auto"/>
                <w:spacing w:val="-4"/>
                <w:sz w:val="24"/>
                <w:szCs w:val="24"/>
              </w:rPr>
              <w:t>属于一般固体废物</w:t>
            </w:r>
            <w:r>
              <w:rPr>
                <w:rFonts w:hint="default" w:ascii="Times New Roman" w:hAnsi="Times New Roman" w:cs="Times New Roman" w:eastAsiaTheme="minorEastAsia"/>
                <w:b w:val="0"/>
                <w:bCs w:val="0"/>
                <w:color w:val="auto"/>
                <w:spacing w:val="-4"/>
                <w:sz w:val="24"/>
                <w:szCs w:val="24"/>
                <w:lang w:eastAsia="zh-CN"/>
              </w:rPr>
              <w:t>，</w:t>
            </w:r>
            <w:r>
              <w:rPr>
                <w:rFonts w:hint="default" w:ascii="Times New Roman" w:hAnsi="Times New Roman" w:cs="Times New Roman" w:eastAsiaTheme="minorEastAsia"/>
                <w:b w:val="0"/>
                <w:bCs w:val="0"/>
                <w:color w:val="auto"/>
                <w:spacing w:val="-4"/>
                <w:sz w:val="24"/>
                <w:szCs w:val="24"/>
              </w:rPr>
              <w:t>产</w:t>
            </w:r>
            <w:r>
              <w:rPr>
                <w:rFonts w:hint="default" w:ascii="Times New Roman" w:hAnsi="Times New Roman" w:cs="Times New Roman" w:eastAsiaTheme="minorEastAsia"/>
                <w:b w:val="0"/>
                <w:bCs w:val="0"/>
                <w:color w:val="auto"/>
                <w:spacing w:val="-1"/>
                <w:sz w:val="24"/>
                <w:szCs w:val="24"/>
              </w:rPr>
              <w:t>生量约为</w:t>
            </w:r>
            <w:r>
              <w:rPr>
                <w:rFonts w:hint="default" w:ascii="Times New Roman" w:hAnsi="Times New Roman" w:cs="Times New Roman" w:eastAsiaTheme="minorEastAsia"/>
                <w:b w:val="0"/>
                <w:bCs w:val="0"/>
                <w:color w:val="auto"/>
                <w:spacing w:val="-35"/>
                <w:sz w:val="24"/>
                <w:szCs w:val="24"/>
              </w:rPr>
              <w:t xml:space="preserve"> </w:t>
            </w:r>
            <w:r>
              <w:rPr>
                <w:rFonts w:hint="default" w:ascii="Times New Roman" w:hAnsi="Times New Roman" w:cs="Times New Roman" w:eastAsiaTheme="minorEastAsia"/>
                <w:b w:val="0"/>
                <w:bCs w:val="0"/>
                <w:color w:val="auto"/>
                <w:spacing w:val="-1"/>
                <w:sz w:val="24"/>
                <w:szCs w:val="24"/>
              </w:rPr>
              <w:t>0.</w:t>
            </w:r>
            <w:r>
              <w:rPr>
                <w:rFonts w:hint="default" w:ascii="Times New Roman" w:hAnsi="Times New Roman" w:cs="Times New Roman" w:eastAsiaTheme="minorEastAsia"/>
                <w:b w:val="0"/>
                <w:bCs w:val="0"/>
                <w:color w:val="auto"/>
                <w:spacing w:val="-1"/>
                <w:sz w:val="24"/>
                <w:szCs w:val="24"/>
                <w:lang w:val="en-US" w:eastAsia="zh-CN"/>
              </w:rPr>
              <w:t>1</w:t>
            </w:r>
            <w:r>
              <w:rPr>
                <w:rFonts w:hint="default" w:ascii="Times New Roman" w:hAnsi="Times New Roman" w:cs="Times New Roman" w:eastAsiaTheme="minorEastAsia"/>
                <w:b w:val="0"/>
                <w:bCs w:val="0"/>
                <w:color w:val="auto"/>
                <w:spacing w:val="-1"/>
                <w:sz w:val="24"/>
                <w:szCs w:val="24"/>
              </w:rPr>
              <w:t>t/a</w:t>
            </w:r>
            <w:r>
              <w:rPr>
                <w:rFonts w:hint="default" w:ascii="Times New Roman" w:hAnsi="Times New Roman" w:cs="Times New Roman" w:eastAsiaTheme="minorEastAsia"/>
                <w:b w:val="0"/>
                <w:bCs w:val="0"/>
                <w:color w:val="auto"/>
                <w:spacing w:val="-32"/>
                <w:sz w:val="24"/>
                <w:szCs w:val="24"/>
              </w:rPr>
              <w:t xml:space="preserve"> </w:t>
            </w:r>
            <w:r>
              <w:rPr>
                <w:rFonts w:hint="default" w:ascii="Times New Roman" w:hAnsi="Times New Roman" w:cs="Times New Roman" w:eastAsiaTheme="minorEastAsia"/>
                <w:b w:val="0"/>
                <w:bCs w:val="0"/>
                <w:color w:val="auto"/>
                <w:spacing w:val="-1"/>
                <w:sz w:val="24"/>
                <w:szCs w:val="24"/>
              </w:rPr>
              <w:t>，</w:t>
            </w:r>
            <w:r>
              <w:rPr>
                <w:rFonts w:hint="default" w:ascii="Times New Roman" w:hAnsi="Times New Roman" w:cs="Times New Roman" w:eastAsiaTheme="minorEastAsia"/>
                <w:b w:val="0"/>
                <w:bCs w:val="0"/>
                <w:color w:val="auto"/>
                <w:spacing w:val="-1"/>
                <w:sz w:val="24"/>
                <w:szCs w:val="24"/>
                <w:lang w:val="en-US" w:eastAsia="zh-CN"/>
              </w:rPr>
              <w:t>统一收集后外售处置。</w:t>
            </w:r>
          </w:p>
          <w:p w14:paraId="0E00070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（5）</w:t>
            </w:r>
            <w:r>
              <w:rPr>
                <w:rFonts w:hint="default" w:ascii="Times New Roman" w:hAnsi="Times New Roman" w:cs="Times New Roman" w:eastAsiaTheme="minorEastAsia"/>
                <w:b w:val="0"/>
                <w:bCs w:val="0"/>
                <w:color w:val="auto"/>
                <w:sz w:val="24"/>
                <w:szCs w:val="24"/>
              </w:rPr>
              <w:t>废</w:t>
            </w:r>
            <w:r>
              <w:rPr>
                <w:rFonts w:hint="default" w:ascii="Times New Roman" w:hAnsi="Times New Roman" w:cs="Times New Roman" w:eastAsiaTheme="minorEastAsia"/>
                <w:b w:val="0"/>
                <w:bCs w:val="0"/>
                <w:color w:val="auto"/>
                <w:sz w:val="24"/>
                <w:szCs w:val="24"/>
                <w:lang w:val="en-US" w:eastAsia="zh-CN"/>
              </w:rPr>
              <w:t>离子交换</w:t>
            </w:r>
            <w:r>
              <w:rPr>
                <w:rFonts w:hint="default" w:ascii="Times New Roman" w:hAnsi="Times New Roman" w:cs="Times New Roman" w:eastAsiaTheme="minorEastAsia"/>
                <w:b w:val="0"/>
                <w:bCs w:val="0"/>
                <w:color w:val="auto"/>
                <w:sz w:val="24"/>
                <w:szCs w:val="24"/>
              </w:rPr>
              <w:t>树脂</w:t>
            </w:r>
          </w:p>
          <w:p w14:paraId="3BFD58E7">
            <w:pPr>
              <w:pStyle w:val="92"/>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项目</w:t>
            </w:r>
            <w:r>
              <w:rPr>
                <w:rFonts w:hint="eastAsia" w:cs="Times New Roman" w:eastAsiaTheme="minorEastAsia"/>
                <w:b w:val="0"/>
                <w:bCs w:val="0"/>
                <w:color w:val="auto"/>
                <w:sz w:val="24"/>
                <w:szCs w:val="24"/>
                <w:lang w:eastAsia="zh-CN"/>
              </w:rPr>
              <w:t>生物质蒸汽发生器</w:t>
            </w:r>
            <w:r>
              <w:rPr>
                <w:rFonts w:hint="default" w:ascii="Times New Roman" w:hAnsi="Times New Roman" w:cs="Times New Roman" w:eastAsiaTheme="minorEastAsia"/>
                <w:b w:val="0"/>
                <w:bCs w:val="0"/>
                <w:color w:val="auto"/>
                <w:sz w:val="24"/>
                <w:szCs w:val="24"/>
              </w:rPr>
              <w:t>房软水制备设备采用离子交换装置，设备内离子交换树脂需要定期更换，更换期为1年，产生量约0.</w:t>
            </w:r>
            <w:r>
              <w:rPr>
                <w:rFonts w:hint="default" w:ascii="Times New Roman" w:hAnsi="Times New Roman"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rPr>
              <w:t>t/a，树脂由厂家直接回收，不在厂内暂存。</w:t>
            </w:r>
          </w:p>
          <w:p w14:paraId="7D305BD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6</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rPr>
              <w:t>生活垃圾</w:t>
            </w:r>
          </w:p>
          <w:p w14:paraId="0655F3C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生活垃圾产生量按每人每天平均产生量 0.</w:t>
            </w:r>
            <w:r>
              <w:rPr>
                <w:rFonts w:hint="default" w:ascii="Times New Roman" w:hAnsi="Times New Roman" w:cs="Times New Roman" w:eastAsiaTheme="minorEastAsia"/>
                <w:b w:val="0"/>
                <w:bCs w:val="0"/>
                <w:color w:val="auto"/>
                <w:sz w:val="24"/>
                <w:szCs w:val="24"/>
                <w:lang w:val="en-US" w:eastAsia="zh-CN"/>
              </w:rPr>
              <w:t>6</w:t>
            </w:r>
            <w:r>
              <w:rPr>
                <w:rFonts w:hint="default" w:ascii="Times New Roman" w:hAnsi="Times New Roman" w:cs="Times New Roman" w:eastAsiaTheme="minorEastAsia"/>
                <w:b w:val="0"/>
                <w:bCs w:val="0"/>
                <w:color w:val="auto"/>
                <w:sz w:val="24"/>
                <w:szCs w:val="24"/>
                <w:lang w:eastAsia="zh-CN"/>
              </w:rPr>
              <w:t>kg 计，本项目劳动定员</w:t>
            </w:r>
            <w:r>
              <w:rPr>
                <w:rFonts w:hint="default" w:ascii="Times New Roman" w:hAnsi="Times New Roman" w:cs="Times New Roman" w:eastAsiaTheme="minorEastAsia"/>
                <w:b w:val="0"/>
                <w:bCs w:val="0"/>
                <w:color w:val="auto"/>
                <w:sz w:val="24"/>
                <w:szCs w:val="24"/>
                <w:lang w:val="en-US" w:eastAsia="zh-CN"/>
              </w:rPr>
              <w:t>为5</w:t>
            </w:r>
            <w:r>
              <w:rPr>
                <w:rFonts w:hint="default" w:ascii="Times New Roman" w:hAnsi="Times New Roman" w:cs="Times New Roman" w:eastAsiaTheme="minorEastAsia"/>
                <w:b w:val="0"/>
                <w:bCs w:val="0"/>
                <w:color w:val="auto"/>
                <w:sz w:val="24"/>
                <w:szCs w:val="24"/>
                <w:lang w:eastAsia="zh-CN"/>
              </w:rPr>
              <w:t>人</w:t>
            </w:r>
            <w:r>
              <w:rPr>
                <w:rFonts w:hint="default"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z w:val="24"/>
                <w:szCs w:val="24"/>
                <w:lang w:eastAsia="zh-CN"/>
              </w:rPr>
              <w:t>年生产天数为</w:t>
            </w:r>
            <w:r>
              <w:rPr>
                <w:rFonts w:hint="default" w:ascii="Times New Roman" w:hAnsi="Times New Roman" w:cs="Times New Roman" w:eastAsiaTheme="minorEastAsia"/>
                <w:b w:val="0"/>
                <w:bCs w:val="0"/>
                <w:color w:val="auto"/>
                <w:sz w:val="24"/>
                <w:szCs w:val="24"/>
                <w:lang w:val="en-US" w:eastAsia="zh-CN"/>
              </w:rPr>
              <w:t>300</w:t>
            </w:r>
            <w:r>
              <w:rPr>
                <w:rFonts w:hint="default" w:ascii="Times New Roman" w:hAnsi="Times New Roman" w:cs="Times New Roman" w:eastAsiaTheme="minorEastAsia"/>
                <w:b w:val="0"/>
                <w:bCs w:val="0"/>
                <w:color w:val="auto"/>
                <w:sz w:val="24"/>
                <w:szCs w:val="24"/>
                <w:lang w:eastAsia="zh-CN"/>
              </w:rPr>
              <w:t>天，生活垃圾产生量约</w:t>
            </w:r>
            <w:r>
              <w:rPr>
                <w:rFonts w:hint="default" w:ascii="Times New Roman" w:hAnsi="Times New Roman" w:cs="Times New Roman" w:eastAsiaTheme="minorEastAsia"/>
                <w:b w:val="0"/>
                <w:bCs w:val="0"/>
                <w:color w:val="auto"/>
                <w:sz w:val="24"/>
                <w:szCs w:val="24"/>
                <w:lang w:val="en-US" w:eastAsia="zh-CN"/>
              </w:rPr>
              <w:t>0.9</w:t>
            </w:r>
            <w:r>
              <w:rPr>
                <w:rFonts w:hint="default" w:ascii="Times New Roman" w:hAnsi="Times New Roman" w:cs="Times New Roman" w:eastAsiaTheme="minorEastAsia"/>
                <w:b w:val="0"/>
                <w:bCs w:val="0"/>
                <w:color w:val="auto"/>
                <w:sz w:val="24"/>
                <w:szCs w:val="24"/>
                <w:lang w:eastAsia="zh-CN"/>
              </w:rPr>
              <w:t>t/a，</w:t>
            </w:r>
            <w:r>
              <w:rPr>
                <w:rFonts w:hint="default" w:ascii="Times New Roman" w:hAnsi="Times New Roman" w:cs="Times New Roman" w:eastAsiaTheme="minorEastAsia"/>
                <w:b w:val="0"/>
                <w:bCs w:val="0"/>
                <w:color w:val="auto"/>
                <w:sz w:val="24"/>
                <w:szCs w:val="24"/>
                <w:lang w:val="en-US" w:eastAsia="zh-CN"/>
              </w:rPr>
              <w:t>本项目拟在</w:t>
            </w:r>
            <w:r>
              <w:rPr>
                <w:rFonts w:hint="default" w:ascii="Times New Roman" w:hAnsi="Times New Roman" w:cs="Times New Roman" w:eastAsiaTheme="minorEastAsia"/>
                <w:b w:val="0"/>
                <w:bCs w:val="0"/>
                <w:color w:val="auto"/>
                <w:sz w:val="24"/>
                <w:szCs w:val="24"/>
              </w:rPr>
              <w:t>厂区设置若干</w:t>
            </w:r>
            <w:r>
              <w:rPr>
                <w:rFonts w:hint="default" w:ascii="Times New Roman" w:hAnsi="Times New Roman" w:cs="Times New Roman" w:eastAsiaTheme="minorEastAsia"/>
                <w:b w:val="0"/>
                <w:bCs w:val="0"/>
                <w:color w:val="auto"/>
                <w:sz w:val="24"/>
                <w:szCs w:val="24"/>
                <w:lang w:val="en-US" w:eastAsia="zh-CN"/>
              </w:rPr>
              <w:t>的</w:t>
            </w:r>
            <w:r>
              <w:rPr>
                <w:rFonts w:hint="default" w:ascii="Times New Roman" w:hAnsi="Times New Roman" w:cs="Times New Roman" w:eastAsiaTheme="minorEastAsia"/>
                <w:b w:val="0"/>
                <w:bCs w:val="0"/>
                <w:color w:val="auto"/>
                <w:sz w:val="24"/>
                <w:szCs w:val="24"/>
              </w:rPr>
              <w:t>垃圾桶，用于收集生活垃圾，</w:t>
            </w:r>
            <w:r>
              <w:rPr>
                <w:rFonts w:hint="default" w:ascii="Times New Roman" w:hAnsi="Times New Roman" w:cs="Times New Roman" w:eastAsiaTheme="minorEastAsia"/>
                <w:b w:val="0"/>
                <w:bCs w:val="0"/>
                <w:color w:val="auto"/>
                <w:sz w:val="24"/>
                <w:szCs w:val="24"/>
                <w:lang w:val="en-US" w:eastAsia="zh-CN"/>
              </w:rPr>
              <w:t>生活垃圾统一袋装收集后，</w:t>
            </w:r>
            <w:r>
              <w:rPr>
                <w:rFonts w:hint="default" w:ascii="Times New Roman" w:hAnsi="Times New Roman" w:cs="Times New Roman" w:eastAsiaTheme="minorEastAsia"/>
                <w:b w:val="0"/>
                <w:bCs w:val="0"/>
                <w:color w:val="auto"/>
                <w:sz w:val="24"/>
                <w:szCs w:val="24"/>
              </w:rPr>
              <w:t>运至附近垃圾收集点</w:t>
            </w:r>
            <w:r>
              <w:rPr>
                <w:rFonts w:hint="default"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z w:val="24"/>
                <w:szCs w:val="24"/>
                <w:lang w:eastAsia="zh-CN"/>
              </w:rPr>
              <w:t>由</w:t>
            </w:r>
            <w:r>
              <w:rPr>
                <w:rFonts w:hint="default" w:ascii="Times New Roman" w:hAnsi="Times New Roman" w:cs="Times New Roman" w:eastAsiaTheme="minorEastAsia"/>
                <w:b w:val="0"/>
                <w:bCs w:val="0"/>
                <w:color w:val="auto"/>
                <w:sz w:val="24"/>
                <w:szCs w:val="24"/>
                <w:lang w:val="en-US" w:eastAsia="zh-CN"/>
              </w:rPr>
              <w:t>当地</w:t>
            </w:r>
            <w:r>
              <w:rPr>
                <w:rFonts w:hint="default" w:ascii="Times New Roman" w:hAnsi="Times New Roman" w:cs="Times New Roman" w:eastAsiaTheme="minorEastAsia"/>
                <w:b w:val="0"/>
                <w:bCs w:val="0"/>
                <w:color w:val="auto"/>
                <w:sz w:val="24"/>
                <w:szCs w:val="24"/>
                <w:lang w:eastAsia="zh-CN"/>
              </w:rPr>
              <w:t xml:space="preserve">环卫部门统一清运。 </w:t>
            </w:r>
          </w:p>
          <w:p w14:paraId="07CC6C0B">
            <w:pPr>
              <w:widowControl w:val="0"/>
              <w:ind w:firstLine="480"/>
              <w:rPr>
                <w:rFonts w:hint="default" w:ascii="Times New Roman" w:hAnsi="Times New Roman" w:cs="Times New Roman" w:eastAsiaTheme="minorEastAsia"/>
                <w:color w:val="auto"/>
                <w:lang w:val="en-US" w:eastAsia="zh-CN"/>
              </w:rPr>
            </w:pPr>
            <w:r>
              <w:rPr>
                <w:rFonts w:hint="default" w:ascii="Times New Roman" w:hAnsi="Times New Roman" w:cs="Times New Roman" w:eastAsiaTheme="minorEastAsia"/>
                <w:color w:val="auto"/>
                <w:lang w:val="en-US" w:eastAsia="zh-CN"/>
              </w:rPr>
              <w:t>（</w:t>
            </w:r>
            <w:r>
              <w:rPr>
                <w:rFonts w:hint="eastAsia" w:cs="Times New Roman" w:eastAsiaTheme="minorEastAsia"/>
                <w:color w:val="auto"/>
                <w:lang w:val="en-US" w:eastAsia="zh-CN"/>
              </w:rPr>
              <w:t>7</w:t>
            </w:r>
            <w:r>
              <w:rPr>
                <w:rFonts w:hint="default" w:ascii="Times New Roman" w:hAnsi="Times New Roman" w:cs="Times New Roman" w:eastAsiaTheme="minorEastAsia"/>
                <w:color w:val="auto"/>
                <w:lang w:val="en-US" w:eastAsia="zh-CN"/>
              </w:rPr>
              <w:t>）化粪池</w:t>
            </w:r>
            <w:r>
              <w:rPr>
                <w:rFonts w:hint="eastAsia" w:cs="Times New Roman" w:eastAsiaTheme="minorEastAsia"/>
                <w:color w:val="auto"/>
                <w:lang w:val="en-US" w:eastAsia="zh-CN"/>
              </w:rPr>
              <w:t>和一体化污水处理设施</w:t>
            </w:r>
            <w:r>
              <w:rPr>
                <w:rFonts w:hint="default" w:ascii="Times New Roman" w:hAnsi="Times New Roman" w:cs="Times New Roman" w:eastAsiaTheme="minorEastAsia"/>
                <w:color w:val="auto"/>
                <w:lang w:val="en-US" w:eastAsia="zh-CN"/>
              </w:rPr>
              <w:t>污泥</w:t>
            </w:r>
          </w:p>
          <w:p w14:paraId="6BDE0BA7">
            <w:pPr>
              <w:keepNext w:val="0"/>
              <w:keepLines w:val="0"/>
              <w:pageBreakBefore w:val="0"/>
              <w:widowControl w:val="0"/>
              <w:kinsoku/>
              <w:wordWrap/>
              <w:overflowPunct/>
              <w:topLinePunct w:val="0"/>
              <w:autoSpaceDE/>
              <w:autoSpaceDN/>
              <w:bidi w:val="0"/>
              <w:adjustRightInd/>
              <w:snapToGrid/>
              <w:spacing w:after="0"/>
              <w:ind w:left="0" w:leftChars="0" w:firstLineChars="200"/>
              <w:textAlignment w:val="auto"/>
              <w:outlineLvl w:val="9"/>
              <w:rPr>
                <w:rFonts w:hint="default" w:ascii="Times New Roman" w:hAnsi="Times New Roman" w:cs="Times New Roman" w:eastAsiaTheme="minorEastAsia"/>
                <w:color w:val="auto"/>
                <w:kern w:val="2"/>
                <w:sz w:val="24"/>
                <w:szCs w:val="24"/>
                <w:lang w:val="en-US" w:eastAsia="zh-CN" w:bidi="ar"/>
              </w:rPr>
            </w:pPr>
            <w:r>
              <w:rPr>
                <w:rFonts w:hint="default" w:ascii="Times New Roman" w:hAnsi="Times New Roman" w:cs="Times New Roman" w:eastAsiaTheme="minorEastAsia"/>
                <w:color w:val="auto"/>
                <w:lang w:val="en-US" w:eastAsia="zh-CN"/>
              </w:rPr>
              <w:t>本项目化粪池</w:t>
            </w:r>
            <w:r>
              <w:rPr>
                <w:rFonts w:hint="eastAsia" w:cs="Times New Roman" w:eastAsiaTheme="minorEastAsia"/>
                <w:color w:val="auto"/>
                <w:lang w:val="en-US" w:eastAsia="zh-CN"/>
              </w:rPr>
              <w:t>和一体化污水处理设施</w:t>
            </w:r>
            <w:r>
              <w:rPr>
                <w:rFonts w:hint="default" w:ascii="Times New Roman" w:hAnsi="Times New Roman" w:cs="Times New Roman" w:eastAsiaTheme="minorEastAsia"/>
                <w:color w:val="auto"/>
                <w:lang w:val="en-US" w:eastAsia="zh-CN"/>
              </w:rPr>
              <w:t>污泥产生量约为0.1</w:t>
            </w:r>
            <w:r>
              <w:rPr>
                <w:rFonts w:hint="default" w:ascii="Times New Roman" w:hAnsi="Times New Roman" w:cs="Times New Roman" w:eastAsiaTheme="minorEastAsia"/>
                <w:color w:val="auto"/>
              </w:rPr>
              <w:t>t/a</w:t>
            </w:r>
            <w:r>
              <w:rPr>
                <w:rFonts w:hint="default" w:ascii="Times New Roman" w:hAnsi="Times New Roman" w:cs="Times New Roman" w:eastAsiaTheme="minorEastAsia"/>
                <w:color w:val="auto"/>
                <w:lang w:eastAsia="zh-CN"/>
              </w:rPr>
              <w:t>，</w:t>
            </w:r>
            <w:r>
              <w:rPr>
                <w:rFonts w:hint="default" w:ascii="Times New Roman" w:hAnsi="Times New Roman" w:cs="Times New Roman" w:eastAsiaTheme="minorEastAsia"/>
                <w:color w:val="auto"/>
                <w:lang w:val="en-US" w:eastAsia="zh-CN"/>
              </w:rPr>
              <w:t>委托</w:t>
            </w:r>
            <w:r>
              <w:rPr>
                <w:rFonts w:hint="eastAsia" w:cs="Times New Roman" w:eastAsiaTheme="minorEastAsia"/>
                <w:color w:val="auto"/>
                <w:kern w:val="2"/>
                <w:sz w:val="24"/>
                <w:szCs w:val="24"/>
                <w:lang w:val="en-US" w:eastAsia="zh-CN" w:bidi="ar"/>
              </w:rPr>
              <w:t>当地环卫部门负责清理清运</w:t>
            </w:r>
            <w:r>
              <w:rPr>
                <w:rFonts w:hint="default" w:ascii="Times New Roman" w:hAnsi="Times New Roman" w:cs="Times New Roman" w:eastAsiaTheme="minorEastAsia"/>
                <w:color w:val="auto"/>
                <w:kern w:val="2"/>
                <w:sz w:val="24"/>
                <w:szCs w:val="24"/>
                <w:lang w:val="en-US" w:eastAsia="zh-CN" w:bidi="ar"/>
              </w:rPr>
              <w:t>。</w:t>
            </w:r>
          </w:p>
          <w:p w14:paraId="256419E6">
            <w:pPr>
              <w:widowControl w:val="0"/>
              <w:ind w:firstLine="480"/>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（8）车间内收集的颗粒物</w:t>
            </w:r>
          </w:p>
          <w:p w14:paraId="34FAB45A">
            <w:pPr>
              <w:pStyle w:val="2"/>
              <w:jc w:val="both"/>
              <w:rPr>
                <w:rFonts w:hint="default"/>
                <w:color w:val="auto"/>
                <w:lang w:val="en-US" w:eastAsia="zh-CN"/>
              </w:rPr>
            </w:pPr>
            <w:r>
              <w:rPr>
                <w:rFonts w:hint="eastAsia"/>
                <w:color w:val="auto"/>
                <w:lang w:val="en-US" w:eastAsia="zh-CN"/>
              </w:rPr>
              <w:t>项目投料工段产生的无组织颗粒物经密闭遮挡和密闭车间收集后，在车间内自然沉降，产生量为0.3t/a，经人工清扫收集后，回用于生产，不外排。</w:t>
            </w:r>
          </w:p>
          <w:p w14:paraId="0864F0CB">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eastAsia="zh-CN"/>
              </w:rPr>
              <w:t>（</w:t>
            </w:r>
            <w:r>
              <w:rPr>
                <w:rFonts w:hint="eastAsia" w:cs="Times New Roman" w:eastAsiaTheme="minorEastAsia"/>
                <w:b w:val="0"/>
                <w:bCs w:val="0"/>
                <w:color w:val="auto"/>
                <w:sz w:val="24"/>
                <w:szCs w:val="24"/>
                <w:lang w:val="en-US" w:eastAsia="zh-CN"/>
              </w:rPr>
              <w:t>9</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废机油</w:t>
            </w:r>
          </w:p>
          <w:p w14:paraId="720A19F9">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kern w:val="0"/>
                <w:sz w:val="24"/>
                <w:szCs w:val="24"/>
                <w:lang w:val="en-US" w:eastAsia="zh-CN"/>
              </w:rPr>
            </w:pPr>
            <w:r>
              <w:rPr>
                <w:rFonts w:hint="default" w:ascii="Times New Roman" w:hAnsi="Times New Roman" w:cs="Times New Roman" w:eastAsiaTheme="minorEastAsia"/>
                <w:b w:val="0"/>
                <w:bCs w:val="0"/>
                <w:color w:val="auto"/>
                <w:sz w:val="24"/>
                <w:szCs w:val="24"/>
              </w:rPr>
              <w:t>根据建设单位提供资料，项目区内的机械设备需定期进行维修保养，该过程会产生废机油，废机油产生量约为0.1t/a。</w:t>
            </w:r>
            <w:r>
              <w:rPr>
                <w:rStyle w:val="115"/>
                <w:rFonts w:hint="default" w:ascii="Times New Roman" w:hAnsi="Times New Roman" w:cs="Times New Roman" w:eastAsiaTheme="minorEastAsia"/>
                <w:b w:val="0"/>
                <w:bCs w:val="0"/>
                <w:color w:val="auto"/>
                <w:spacing w:val="0"/>
                <w:sz w:val="24"/>
                <w:szCs w:val="24"/>
              </w:rPr>
              <w:t>根据</w:t>
            </w:r>
            <w:r>
              <w:rPr>
                <w:rFonts w:hint="default" w:ascii="Times New Roman" w:hAnsi="Times New Roman" w:cs="Times New Roman" w:eastAsiaTheme="minorEastAsia"/>
                <w:b w:val="0"/>
                <w:bCs w:val="0"/>
                <w:color w:val="auto"/>
                <w:sz w:val="24"/>
                <w:szCs w:val="24"/>
              </w:rPr>
              <w:t>《国家危险废物名录》（202</w:t>
            </w:r>
            <w:r>
              <w:rPr>
                <w:rFonts w:hint="default" w:ascii="Times New Roman" w:hAnsi="Times New Roman" w:cs="Times New Roman" w:eastAsiaTheme="minorEastAsia"/>
                <w:b w:val="0"/>
                <w:bCs w:val="0"/>
                <w:color w:val="auto"/>
                <w:sz w:val="24"/>
                <w:szCs w:val="24"/>
                <w:lang w:val="en-US" w:eastAsia="zh-CN"/>
              </w:rPr>
              <w:t>5</w:t>
            </w:r>
            <w:r>
              <w:rPr>
                <w:rFonts w:hint="default" w:ascii="Times New Roman" w:hAnsi="Times New Roman" w:cs="Times New Roman" w:eastAsiaTheme="minorEastAsia"/>
                <w:b w:val="0"/>
                <w:bCs w:val="0"/>
                <w:color w:val="auto"/>
                <w:sz w:val="24"/>
                <w:szCs w:val="24"/>
              </w:rPr>
              <w:t>版），废机油</w:t>
            </w:r>
            <w:r>
              <w:rPr>
                <w:rFonts w:hint="default" w:ascii="Times New Roman" w:hAnsi="Times New Roman" w:cs="Times New Roman" w:eastAsiaTheme="minorEastAsia"/>
                <w:b w:val="0"/>
                <w:bCs w:val="0"/>
                <w:color w:val="auto"/>
                <w:sz w:val="24"/>
                <w:szCs w:val="24"/>
                <w:lang w:bidi="ar"/>
              </w:rPr>
              <w:t>属于</w:t>
            </w:r>
            <w:r>
              <w:rPr>
                <w:rFonts w:hint="eastAsia" w:cs="Times New Roman" w:eastAsiaTheme="minorEastAsia"/>
                <w:b w:val="0"/>
                <w:bCs w:val="0"/>
                <w:color w:val="auto"/>
                <w:sz w:val="24"/>
                <w:szCs w:val="24"/>
                <w:lang w:eastAsia="zh-CN" w:bidi="ar"/>
              </w:rPr>
              <w:t>“</w:t>
            </w:r>
            <w:r>
              <w:rPr>
                <w:rFonts w:hint="default" w:ascii="Times New Roman" w:hAnsi="Times New Roman" w:cs="Times New Roman" w:eastAsiaTheme="minorEastAsia"/>
                <w:b w:val="0"/>
                <w:bCs w:val="0"/>
                <w:color w:val="auto"/>
                <w:sz w:val="24"/>
                <w:szCs w:val="24"/>
              </w:rPr>
              <w:t>HW08废矿物油与含矿物油废物</w:t>
            </w:r>
            <w:r>
              <w:rPr>
                <w:rFonts w:hint="eastAsia" w:cs="Times New Roman" w:eastAsiaTheme="minorEastAsia"/>
                <w:b w:val="0"/>
                <w:bCs w:val="0"/>
                <w:color w:val="auto"/>
                <w:sz w:val="24"/>
                <w:szCs w:val="24"/>
                <w:lang w:eastAsia="zh-CN" w:bidi="ar"/>
              </w:rPr>
              <w:t>”</w:t>
            </w:r>
            <w:r>
              <w:rPr>
                <w:rFonts w:hint="default" w:ascii="Times New Roman" w:hAnsi="Times New Roman" w:cs="Times New Roman" w:eastAsiaTheme="minorEastAsia"/>
                <w:b w:val="0"/>
                <w:bCs w:val="0"/>
                <w:color w:val="auto"/>
                <w:sz w:val="24"/>
                <w:szCs w:val="24"/>
              </w:rPr>
              <w:t>类别中的危险废物，危废代码为</w:t>
            </w:r>
            <w:r>
              <w:rPr>
                <w:rFonts w:hint="default" w:ascii="Times New Roman" w:hAnsi="Times New Roman" w:cs="Times New Roman" w:eastAsiaTheme="minorEastAsia"/>
                <w:b w:val="0"/>
                <w:bCs w:val="0"/>
                <w:color w:val="auto"/>
                <w:kern w:val="0"/>
                <w:sz w:val="24"/>
                <w:szCs w:val="24"/>
              </w:rPr>
              <w:t>900-214-08</w:t>
            </w:r>
            <w:r>
              <w:rPr>
                <w:rFonts w:hint="default" w:ascii="Times New Roman" w:hAnsi="Times New Roman" w:cs="Times New Roman" w:eastAsiaTheme="minorEastAsia"/>
                <w:b w:val="0"/>
                <w:bCs w:val="0"/>
                <w:color w:val="auto"/>
                <w:kern w:val="0"/>
                <w:sz w:val="24"/>
                <w:szCs w:val="24"/>
                <w:lang w:eastAsia="zh-CN"/>
              </w:rPr>
              <w:t>，</w:t>
            </w:r>
            <w:r>
              <w:rPr>
                <w:rFonts w:hint="default" w:ascii="Times New Roman" w:hAnsi="Times New Roman" w:cs="Times New Roman" w:eastAsiaTheme="minorEastAsia"/>
                <w:b w:val="0"/>
                <w:bCs w:val="0"/>
                <w:color w:val="auto"/>
                <w:kern w:val="0"/>
                <w:sz w:val="24"/>
                <w:szCs w:val="24"/>
                <w:lang w:val="en-US" w:eastAsia="zh-CN"/>
              </w:rPr>
              <w:t>项目产生的废机油统一收集后暂存于危废暂存间，委托有资质的单位进行处置。</w:t>
            </w:r>
          </w:p>
          <w:p w14:paraId="4324F583">
            <w:pPr>
              <w:keepNext w:val="0"/>
              <w:keepLines w:val="0"/>
              <w:pageBreakBefore w:val="0"/>
              <w:widowControl w:val="0"/>
              <w:kinsoku/>
              <w:wordWrap/>
              <w:overflowPunct/>
              <w:topLinePunct w:val="0"/>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kern w:val="0"/>
                <w:sz w:val="24"/>
                <w:szCs w:val="24"/>
                <w:lang w:val="en-US" w:eastAsia="zh-CN"/>
              </w:rPr>
            </w:pPr>
            <w:r>
              <w:rPr>
                <w:rFonts w:hint="eastAsia" w:cs="Times New Roman" w:eastAsiaTheme="minorEastAsia"/>
                <w:b w:val="0"/>
                <w:bCs w:val="0"/>
                <w:color w:val="auto"/>
                <w:kern w:val="0"/>
                <w:sz w:val="24"/>
                <w:szCs w:val="24"/>
                <w:lang w:val="en-US" w:eastAsia="zh-CN"/>
              </w:rPr>
              <w:t>（10）废弃含油抹布</w:t>
            </w:r>
            <w:r>
              <w:rPr>
                <w:rFonts w:hint="eastAsia" w:cs="Times New Roman" w:eastAsiaTheme="minorEastAsia"/>
                <w:b w:val="0"/>
                <w:bCs w:val="0"/>
                <w:color w:val="auto"/>
                <w:sz w:val="24"/>
                <w:szCs w:val="24"/>
                <w:lang w:val="en-US" w:eastAsia="zh-CN"/>
              </w:rPr>
              <w:t>和劳保用品</w:t>
            </w:r>
          </w:p>
          <w:p w14:paraId="7B2BEFF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本项目机械设备维修时会产生少量的废弃含油抹布和劳保用品，属于危险废物，废物代码为900-041-49，废弃含油抹布和劳保用品产生量较小，且不集中产生，属于危废豁免管理，可并入生活垃圾一并处理。</w:t>
            </w:r>
          </w:p>
          <w:p w14:paraId="094D626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eastAsia="zh-CN"/>
              </w:rPr>
              <w:t>（</w:t>
            </w:r>
            <w:r>
              <w:rPr>
                <w:rFonts w:hint="eastAsia" w:cs="Times New Roman" w:eastAsiaTheme="minorEastAsia"/>
                <w:b w:val="0"/>
                <w:bCs w:val="0"/>
                <w:color w:val="auto"/>
                <w:sz w:val="24"/>
                <w:szCs w:val="24"/>
                <w:lang w:val="en-US" w:eastAsia="zh-CN"/>
              </w:rPr>
              <w:t>11</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废活性炭</w:t>
            </w:r>
          </w:p>
          <w:p w14:paraId="25B85C85">
            <w:pPr>
              <w:pStyle w:val="66"/>
              <w:keepNext w:val="0"/>
              <w:keepLines w:val="0"/>
              <w:pageBreakBefore w:val="0"/>
              <w:widowControl w:val="0"/>
              <w:kinsoku/>
              <w:wordWrap/>
              <w:overflowPunct/>
              <w:topLinePunct w:val="0"/>
              <w:autoSpaceDE w:val="0"/>
              <w:autoSpaceDN w:val="0"/>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lang w:val="en-US" w:eastAsia="zh-CN"/>
              </w:rPr>
              <w:t>项目废气治理中的活性炭，吸附一段时间后达到饱和，需要及时更换，更换的废活性炭属于《国家危险废物名录》（2025年）</w:t>
            </w:r>
            <w:r>
              <w:rPr>
                <w:rFonts w:hint="eastAsia"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z w:val="24"/>
                <w:szCs w:val="24"/>
                <w:lang w:val="en-US" w:eastAsia="zh-CN"/>
              </w:rPr>
              <w:t>危险废物 HW49其他废物</w:t>
            </w:r>
            <w:r>
              <w:rPr>
                <w:rFonts w:hint="eastAsia"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z w:val="24"/>
                <w:szCs w:val="24"/>
              </w:rPr>
              <w:t>烟气、VOCs治理过程（不包括餐饮行业油烟治理过程）产生的废活性炭</w:t>
            </w:r>
            <w:r>
              <w:rPr>
                <w:rFonts w:hint="eastAsia"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，废物编码为900-039-49。本项目</w:t>
            </w:r>
            <w:r>
              <w:rPr>
                <w:rFonts w:hint="default" w:ascii="Times New Roman" w:hAnsi="Times New Roman" w:cs="Times New Roman" w:eastAsiaTheme="minorEastAsia"/>
                <w:b w:val="0"/>
                <w:bCs w:val="0"/>
                <w:color w:val="auto"/>
                <w:sz w:val="24"/>
                <w:szCs w:val="24"/>
              </w:rPr>
              <w:t>采用碘值不低于800mg/g的活性炭</w:t>
            </w:r>
            <w:r>
              <w:rPr>
                <w:rFonts w:hint="default" w:ascii="Times New Roman" w:hAnsi="Times New Roman" w:cs="Times New Roman" w:eastAsiaTheme="minorEastAsia"/>
                <w:b w:val="0"/>
                <w:bCs w:val="0"/>
                <w:color w:val="auto"/>
                <w:sz w:val="24"/>
                <w:szCs w:val="24"/>
                <w:lang w:eastAsia="zh-CN"/>
              </w:rPr>
              <w:t>，单块活性炭质量为0.45kg，本项目活性炭吸附装置须装填</w:t>
            </w:r>
            <w:r>
              <w:rPr>
                <w:rFonts w:hint="default" w:ascii="Times New Roman" w:hAnsi="Times New Roman" w:cs="Times New Roman" w:eastAsiaTheme="minorEastAsia"/>
                <w:b w:val="0"/>
                <w:bCs w:val="0"/>
                <w:color w:val="auto"/>
                <w:sz w:val="24"/>
                <w:szCs w:val="24"/>
                <w:lang w:val="en-US" w:eastAsia="zh-CN"/>
              </w:rPr>
              <w:t>1200</w:t>
            </w:r>
            <w:r>
              <w:rPr>
                <w:rFonts w:hint="default" w:ascii="Times New Roman" w:hAnsi="Times New Roman" w:cs="Times New Roman" w:eastAsiaTheme="minorEastAsia"/>
                <w:b w:val="0"/>
                <w:bCs w:val="0"/>
                <w:color w:val="auto"/>
                <w:sz w:val="24"/>
                <w:szCs w:val="24"/>
                <w:lang w:eastAsia="zh-CN"/>
              </w:rPr>
              <w:t>块（</w:t>
            </w:r>
            <w:r>
              <w:rPr>
                <w:rFonts w:hint="default" w:ascii="Times New Roman" w:hAnsi="Times New Roman" w:cs="Times New Roman" w:eastAsiaTheme="minorEastAsia"/>
                <w:b w:val="0"/>
                <w:bCs w:val="0"/>
                <w:color w:val="auto"/>
                <w:sz w:val="24"/>
                <w:szCs w:val="24"/>
                <w:lang w:val="en-US" w:eastAsia="zh-CN"/>
              </w:rPr>
              <w:t>每级活性炭布设600块，两级共布设1200块</w:t>
            </w:r>
            <w:r>
              <w:rPr>
                <w:rFonts w:hint="default" w:ascii="Times New Roman" w:hAnsi="Times New Roman" w:cs="Times New Roman" w:eastAsiaTheme="minorEastAsia"/>
                <w:b w:val="0"/>
                <w:bCs w:val="0"/>
                <w:color w:val="auto"/>
                <w:sz w:val="24"/>
                <w:szCs w:val="24"/>
                <w:lang w:eastAsia="zh-CN"/>
              </w:rPr>
              <w:t>），则每次更换活性炭重量为</w:t>
            </w:r>
            <w:r>
              <w:rPr>
                <w:rFonts w:hint="default" w:ascii="Times New Roman" w:hAnsi="Times New Roman" w:cs="Times New Roman" w:eastAsiaTheme="minorEastAsia"/>
                <w:b w:val="0"/>
                <w:bCs w:val="0"/>
                <w:color w:val="auto"/>
                <w:sz w:val="24"/>
                <w:szCs w:val="24"/>
                <w:lang w:val="en-US" w:eastAsia="zh-CN"/>
              </w:rPr>
              <w:t>1200</w:t>
            </w:r>
            <w:r>
              <w:rPr>
                <w:rFonts w:hint="default" w:ascii="Times New Roman" w:hAnsi="Times New Roman" w:cs="Times New Roman" w:eastAsiaTheme="minorEastAsia"/>
                <w:b w:val="0"/>
                <w:bCs w:val="0"/>
                <w:color w:val="auto"/>
                <w:sz w:val="24"/>
                <w:szCs w:val="24"/>
                <w:lang w:eastAsia="zh-CN"/>
              </w:rPr>
              <w:t>×0.45/1000=</w:t>
            </w:r>
            <w:r>
              <w:rPr>
                <w:rFonts w:hint="default" w:ascii="Times New Roman" w:hAnsi="Times New Roman" w:cs="Times New Roman" w:eastAsiaTheme="minorEastAsia"/>
                <w:b w:val="0"/>
                <w:bCs w:val="0"/>
                <w:color w:val="auto"/>
                <w:sz w:val="24"/>
                <w:szCs w:val="24"/>
                <w:lang w:val="en-US" w:eastAsia="zh-CN"/>
              </w:rPr>
              <w:t>0.54</w:t>
            </w:r>
            <w:r>
              <w:rPr>
                <w:rFonts w:hint="default" w:ascii="Times New Roman" w:hAnsi="Times New Roman" w:cs="Times New Roman" w:eastAsiaTheme="minorEastAsia"/>
                <w:b w:val="0"/>
                <w:bCs w:val="0"/>
                <w:color w:val="auto"/>
                <w:sz w:val="24"/>
                <w:szCs w:val="24"/>
                <w:lang w:eastAsia="zh-CN"/>
              </w:rPr>
              <w:t>t/次。</w:t>
            </w:r>
            <w:r>
              <w:rPr>
                <w:rFonts w:hint="default" w:ascii="Times New Roman" w:hAnsi="Times New Roman" w:cs="Times New Roman" w:eastAsiaTheme="minorEastAsia"/>
                <w:b w:val="0"/>
                <w:bCs w:val="0"/>
                <w:color w:val="auto"/>
                <w:sz w:val="24"/>
                <w:szCs w:val="24"/>
                <w:lang w:val="en-US" w:eastAsia="zh-CN"/>
              </w:rPr>
              <w:t>活性炭更换周期</w:t>
            </w:r>
            <w:r>
              <w:rPr>
                <w:rFonts w:hint="default" w:ascii="Times New Roman" w:hAnsi="Times New Roman" w:cs="Times New Roman" w:eastAsiaTheme="minorEastAsia"/>
                <w:b w:val="0"/>
                <w:bCs w:val="0"/>
                <w:color w:val="auto"/>
                <w:sz w:val="24"/>
                <w:szCs w:val="24"/>
              </w:rPr>
              <w:t>参考《</w:t>
            </w:r>
            <w:r>
              <w:rPr>
                <w:rFonts w:hint="default" w:ascii="Times New Roman" w:hAnsi="Times New Roman" w:cs="Times New Roman" w:eastAsiaTheme="minorEastAsia"/>
                <w:b w:val="0"/>
                <w:bCs w:val="0"/>
                <w:color w:val="auto"/>
                <w:sz w:val="24"/>
                <w:szCs w:val="24"/>
                <w:lang w:val="en-US" w:eastAsia="zh-CN"/>
              </w:rPr>
              <w:t>挥发性有机物治理实用手册（第二版）</w:t>
            </w:r>
            <w:r>
              <w:rPr>
                <w:rFonts w:hint="default" w:ascii="Times New Roman" w:hAnsi="Times New Roman" w:cs="Times New Roman" w:eastAsiaTheme="minorEastAsia"/>
                <w:b w:val="0"/>
                <w:bCs w:val="0"/>
                <w:color w:val="auto"/>
                <w:sz w:val="24"/>
                <w:szCs w:val="24"/>
              </w:rPr>
              <w:t>》</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生态环境部大气环境司、生态环境部环境规划院</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rPr>
              <w:t>，活性炭更换周期计算公式如下：</w:t>
            </w:r>
          </w:p>
          <w:p w14:paraId="0E2797F8">
            <w:pPr>
              <w:keepNext w:val="0"/>
              <w:keepLines w:val="0"/>
              <w:pageBreakBefore w:val="0"/>
              <w:widowControl w:val="0"/>
              <w:kinsoku/>
              <w:wordWrap/>
              <w:overflowPunct/>
              <w:topLinePunct w:val="0"/>
              <w:bidi w:val="0"/>
              <w:adjustRightInd/>
              <w:snapToGrid/>
              <w:spacing w:line="360" w:lineRule="auto"/>
              <w:ind w:leftChars="0" w:firstLine="480" w:firstLineChars="200"/>
              <w:jc w:val="center"/>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position w:val="-28"/>
                <w:sz w:val="24"/>
                <w:szCs w:val="24"/>
              </w:rPr>
              <w:object>
                <v:shape id="_x0000_i1037" o:spt="75" type="#_x0000_t75" style="height:33pt;width:94pt;" o:ole="t" filled="f" o:preferrelative="t" stroked="f" coordsize="21600,21600">
                  <v:path/>
                  <v:fill on="f" focussize="0,0"/>
                  <v:stroke on="f"/>
                  <v:imagedata r:id="rId52" o:title=""/>
                  <o:lock v:ext="edit" aspectratio="t"/>
                  <w10:wrap type="none"/>
                  <w10:anchorlock/>
                </v:shape>
                <o:OLEObject Type="Embed" ProgID="Equation.KSEE3" ShapeID="_x0000_i1037" DrawAspect="Content" ObjectID="_1468075737" r:id="rId51">
                  <o:LockedField>false</o:LockedField>
                </o:OLEObject>
              </w:object>
            </w:r>
          </w:p>
          <w:p w14:paraId="423D8DDC">
            <w:pPr>
              <w:pStyle w:val="92"/>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式中：T—周期，d；</w:t>
            </w:r>
          </w:p>
          <w:p w14:paraId="52E4E9F9">
            <w:pPr>
              <w:pStyle w:val="92"/>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m—活性炭的质量，kg；本项目</w:t>
            </w:r>
            <w:r>
              <w:rPr>
                <w:rFonts w:hint="default" w:ascii="Times New Roman" w:hAnsi="Times New Roman" w:cs="Times New Roman" w:eastAsiaTheme="minorEastAsia"/>
                <w:b w:val="0"/>
                <w:bCs w:val="0"/>
                <w:color w:val="auto"/>
                <w:sz w:val="24"/>
                <w:szCs w:val="24"/>
                <w:lang w:val="en-US" w:eastAsia="zh-CN"/>
              </w:rPr>
              <w:t>单次装填量为540</w:t>
            </w:r>
            <w:r>
              <w:rPr>
                <w:rFonts w:hint="default" w:ascii="Times New Roman" w:hAnsi="Times New Roman" w:cs="Times New Roman" w:eastAsiaTheme="minorEastAsia"/>
                <w:b w:val="0"/>
                <w:bCs w:val="0"/>
                <w:color w:val="auto"/>
                <w:sz w:val="24"/>
                <w:szCs w:val="24"/>
              </w:rPr>
              <w:t>kg</w:t>
            </w:r>
          </w:p>
          <w:p w14:paraId="514A6D97">
            <w:pPr>
              <w:pStyle w:val="92"/>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S—平衡保持量，%，本项目S取</w:t>
            </w:r>
            <w:r>
              <w:rPr>
                <w:rFonts w:hint="default" w:ascii="Times New Roman" w:hAnsi="Times New Roman" w:cs="Times New Roman" w:eastAsiaTheme="minorEastAsia"/>
                <w:b w:val="0"/>
                <w:bCs w:val="0"/>
                <w:color w:val="auto"/>
                <w:sz w:val="24"/>
                <w:szCs w:val="24"/>
                <w:lang w:val="en-US" w:eastAsia="zh-CN"/>
              </w:rPr>
              <w:t>15</w:t>
            </w:r>
            <w:r>
              <w:rPr>
                <w:rFonts w:hint="default" w:ascii="Times New Roman" w:hAnsi="Times New Roman" w:cs="Times New Roman" w:eastAsiaTheme="minorEastAsia"/>
                <w:b w:val="0"/>
                <w:bCs w:val="0"/>
                <w:color w:val="auto"/>
                <w:sz w:val="24"/>
                <w:szCs w:val="24"/>
              </w:rPr>
              <w:t>%；</w:t>
            </w:r>
          </w:p>
          <w:p w14:paraId="08D1257A">
            <w:pPr>
              <w:pStyle w:val="92"/>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C—有机废气进口浓度，mg/m</w:t>
            </w:r>
            <w:r>
              <w:rPr>
                <w:rFonts w:hint="default" w:ascii="Times New Roman" w:hAnsi="Times New Roman" w:cs="Times New Roman" w:eastAsiaTheme="minorEastAsia"/>
                <w:b w:val="0"/>
                <w:bCs w:val="0"/>
                <w:color w:val="auto"/>
                <w:sz w:val="24"/>
                <w:szCs w:val="24"/>
                <w:vertAlign w:val="superscript"/>
              </w:rPr>
              <w:t>3</w:t>
            </w:r>
            <w:r>
              <w:rPr>
                <w:rFonts w:hint="default" w:ascii="Times New Roman" w:hAnsi="Times New Roman" w:cs="Times New Roman" w:eastAsiaTheme="minorEastAsia"/>
                <w:b w:val="0"/>
                <w:bCs w:val="0"/>
                <w:color w:val="auto"/>
                <w:sz w:val="24"/>
                <w:szCs w:val="24"/>
              </w:rPr>
              <w:t>；本项目</w:t>
            </w:r>
            <w:r>
              <w:rPr>
                <w:rFonts w:hint="default" w:ascii="Times New Roman" w:hAnsi="Times New Roman" w:cs="Times New Roman" w:eastAsiaTheme="minorEastAsia"/>
                <w:b w:val="0"/>
                <w:bCs w:val="0"/>
                <w:color w:val="auto"/>
                <w:sz w:val="24"/>
                <w:szCs w:val="24"/>
                <w:lang w:val="en-US" w:eastAsia="zh-CN"/>
              </w:rPr>
              <w:t>取</w:t>
            </w:r>
            <w:r>
              <w:rPr>
                <w:rFonts w:hint="eastAsia" w:cs="Times New Roman" w:eastAsiaTheme="minorEastAsia"/>
                <w:b w:val="0"/>
                <w:bCs w:val="0"/>
                <w:color w:val="auto"/>
                <w:sz w:val="24"/>
                <w:szCs w:val="24"/>
                <w:lang w:val="en-US" w:eastAsia="zh-CN"/>
              </w:rPr>
              <w:t>5</w:t>
            </w:r>
            <w:r>
              <w:rPr>
                <w:rFonts w:hint="default" w:ascii="Times New Roman" w:hAnsi="Times New Roman" w:cs="Times New Roman" w:eastAsiaTheme="minorEastAsia"/>
                <w:b w:val="0"/>
                <w:bCs w:val="0"/>
                <w:color w:val="auto"/>
                <w:sz w:val="24"/>
                <w:szCs w:val="24"/>
              </w:rPr>
              <w:t>mg/m</w:t>
            </w:r>
            <w:r>
              <w:rPr>
                <w:rFonts w:hint="default" w:ascii="Times New Roman" w:hAnsi="Times New Roman" w:cs="Times New Roman" w:eastAsiaTheme="minorEastAsia"/>
                <w:b w:val="0"/>
                <w:bCs w:val="0"/>
                <w:color w:val="auto"/>
                <w:sz w:val="24"/>
                <w:szCs w:val="24"/>
                <w:vertAlign w:val="superscript"/>
              </w:rPr>
              <w:t>3</w:t>
            </w:r>
          </w:p>
          <w:p w14:paraId="15DD4930">
            <w:pPr>
              <w:pStyle w:val="92"/>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Q—风量，m</w:t>
            </w:r>
            <w:r>
              <w:rPr>
                <w:rFonts w:hint="default" w:ascii="Times New Roman" w:hAnsi="Times New Roman" w:cs="Times New Roman" w:eastAsiaTheme="minorEastAsia"/>
                <w:b w:val="0"/>
                <w:bCs w:val="0"/>
                <w:color w:val="auto"/>
                <w:sz w:val="24"/>
                <w:szCs w:val="24"/>
                <w:vertAlign w:val="superscript"/>
              </w:rPr>
              <w:t>3</w:t>
            </w:r>
            <w:r>
              <w:rPr>
                <w:rFonts w:hint="default" w:ascii="Times New Roman" w:hAnsi="Times New Roman" w:cs="Times New Roman" w:eastAsiaTheme="minorEastAsia"/>
                <w:b w:val="0"/>
                <w:bCs w:val="0"/>
                <w:color w:val="auto"/>
                <w:sz w:val="24"/>
                <w:szCs w:val="24"/>
              </w:rPr>
              <w:t>/h；本项目为</w:t>
            </w:r>
            <w:r>
              <w:rPr>
                <w:rFonts w:hint="eastAsia" w:cs="Times New Roman" w:eastAsiaTheme="minorEastAsia"/>
                <w:b w:val="0"/>
                <w:bCs w:val="0"/>
                <w:color w:val="auto"/>
                <w:sz w:val="24"/>
                <w:szCs w:val="24"/>
                <w:lang w:val="en-US" w:eastAsia="zh-CN"/>
              </w:rPr>
              <w:t>10</w:t>
            </w:r>
            <w:r>
              <w:rPr>
                <w:rFonts w:hint="default" w:ascii="Times New Roman" w:hAnsi="Times New Roman" w:cs="Times New Roman" w:eastAsiaTheme="minorEastAsia"/>
                <w:b w:val="0"/>
                <w:bCs w:val="0"/>
                <w:color w:val="auto"/>
                <w:sz w:val="24"/>
                <w:szCs w:val="24"/>
                <w:lang w:val="en-US" w:eastAsia="zh-CN"/>
              </w:rPr>
              <w:t>000</w:t>
            </w:r>
            <w:r>
              <w:rPr>
                <w:rFonts w:hint="default" w:ascii="Times New Roman" w:hAnsi="Times New Roman" w:cs="Times New Roman" w:eastAsiaTheme="minorEastAsia"/>
                <w:b w:val="0"/>
                <w:bCs w:val="0"/>
                <w:color w:val="auto"/>
                <w:sz w:val="24"/>
                <w:szCs w:val="24"/>
              </w:rPr>
              <w:t>m</w:t>
            </w:r>
            <w:r>
              <w:rPr>
                <w:rFonts w:hint="default" w:ascii="Times New Roman" w:hAnsi="Times New Roman" w:cs="Times New Roman" w:eastAsiaTheme="minorEastAsia"/>
                <w:b w:val="0"/>
                <w:bCs w:val="0"/>
                <w:color w:val="auto"/>
                <w:sz w:val="24"/>
                <w:szCs w:val="24"/>
                <w:vertAlign w:val="superscript"/>
              </w:rPr>
              <w:t>3</w:t>
            </w:r>
            <w:r>
              <w:rPr>
                <w:rFonts w:hint="default" w:ascii="Times New Roman" w:hAnsi="Times New Roman" w:cs="Times New Roman" w:eastAsiaTheme="minorEastAsia"/>
                <w:b w:val="0"/>
                <w:bCs w:val="0"/>
                <w:color w:val="auto"/>
                <w:sz w:val="24"/>
                <w:szCs w:val="24"/>
              </w:rPr>
              <w:t>/h</w:t>
            </w:r>
          </w:p>
          <w:p w14:paraId="2466D5A9">
            <w:pPr>
              <w:pStyle w:val="92"/>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t—设备运行时间，h/d；本项目取</w:t>
            </w:r>
            <w:r>
              <w:rPr>
                <w:rFonts w:hint="default" w:ascii="Times New Roman" w:hAnsi="Times New Roman" w:cs="Times New Roman" w:eastAsiaTheme="minorEastAsia"/>
                <w:b w:val="0"/>
                <w:bCs w:val="0"/>
                <w:color w:val="auto"/>
                <w:sz w:val="24"/>
                <w:szCs w:val="24"/>
                <w:lang w:val="en-US" w:eastAsia="zh-CN"/>
              </w:rPr>
              <w:t>8</w:t>
            </w:r>
            <w:r>
              <w:rPr>
                <w:rFonts w:hint="default" w:ascii="Times New Roman" w:hAnsi="Times New Roman" w:cs="Times New Roman" w:eastAsiaTheme="minorEastAsia"/>
                <w:b w:val="0"/>
                <w:bCs w:val="0"/>
                <w:color w:val="auto"/>
                <w:sz w:val="24"/>
                <w:szCs w:val="24"/>
              </w:rPr>
              <w:t>h/d</w:t>
            </w:r>
          </w:p>
          <w:p w14:paraId="412CEBA9">
            <w:pPr>
              <w:pStyle w:val="92"/>
              <w:keepNext w:val="0"/>
              <w:keepLines w:val="0"/>
              <w:pageBreakBefore w:val="0"/>
              <w:widowControl w:val="0"/>
              <w:kinsoku/>
              <w:wordWrap/>
              <w:overflowPunct/>
              <w:topLinePunct w:val="0"/>
              <w:bidi w:val="0"/>
              <w:adjustRightInd/>
              <w:snapToGrid/>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经计算，在</w:t>
            </w:r>
            <w:r>
              <w:rPr>
                <w:rFonts w:hint="default" w:ascii="Times New Roman" w:hAnsi="Times New Roman" w:cs="Times New Roman" w:eastAsiaTheme="minorEastAsia"/>
                <w:b w:val="0"/>
                <w:bCs w:val="0"/>
                <w:color w:val="auto"/>
                <w:sz w:val="24"/>
                <w:szCs w:val="24"/>
                <w:lang w:val="en-US" w:eastAsia="zh-CN"/>
              </w:rPr>
              <w:t>每</w:t>
            </w:r>
            <w:r>
              <w:rPr>
                <w:rFonts w:hint="default" w:ascii="Times New Roman" w:hAnsi="Times New Roman" w:cs="Times New Roman" w:eastAsiaTheme="minorEastAsia"/>
                <w:b w:val="0"/>
                <w:bCs w:val="0"/>
                <w:color w:val="auto"/>
                <w:sz w:val="24"/>
                <w:szCs w:val="24"/>
              </w:rPr>
              <w:t>天</w:t>
            </w:r>
            <w:r>
              <w:rPr>
                <w:rFonts w:hint="default" w:ascii="Times New Roman" w:hAnsi="Times New Roman" w:cs="Times New Roman" w:eastAsiaTheme="minorEastAsia"/>
                <w:b w:val="0"/>
                <w:bCs w:val="0"/>
                <w:color w:val="auto"/>
                <w:sz w:val="24"/>
                <w:szCs w:val="24"/>
                <w:lang w:val="en-US" w:eastAsia="zh-CN"/>
              </w:rPr>
              <w:t>8</w:t>
            </w:r>
            <w:r>
              <w:rPr>
                <w:rFonts w:hint="default" w:ascii="Times New Roman" w:hAnsi="Times New Roman" w:cs="Times New Roman" w:eastAsiaTheme="minorEastAsia"/>
                <w:b w:val="0"/>
                <w:bCs w:val="0"/>
                <w:color w:val="auto"/>
                <w:sz w:val="24"/>
                <w:szCs w:val="24"/>
              </w:rPr>
              <w:t>小时运转情况下，本项目活性炭更换周期约为</w:t>
            </w:r>
            <w:r>
              <w:rPr>
                <w:rFonts w:hint="default" w:ascii="Times New Roman" w:hAnsi="Times New Roman" w:cs="Times New Roman" w:eastAsiaTheme="minorEastAsia"/>
                <w:b w:val="0"/>
                <w:bCs w:val="0"/>
                <w:color w:val="auto"/>
                <w:sz w:val="24"/>
                <w:szCs w:val="24"/>
                <w:lang w:val="en-US" w:eastAsia="zh-CN"/>
              </w:rPr>
              <w:t>200</w:t>
            </w:r>
            <w:r>
              <w:rPr>
                <w:rFonts w:hint="default" w:ascii="Times New Roman" w:hAnsi="Times New Roman" w:cs="Times New Roman" w:eastAsiaTheme="minorEastAsia"/>
                <w:b w:val="0"/>
                <w:bCs w:val="0"/>
                <w:color w:val="auto"/>
                <w:sz w:val="24"/>
                <w:szCs w:val="24"/>
              </w:rPr>
              <w:t>天</w:t>
            </w:r>
            <w:r>
              <w:rPr>
                <w:rFonts w:hint="default"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为保证去除效率，本次评价建议建设单位半年更换1次，</w:t>
            </w:r>
            <w:r>
              <w:rPr>
                <w:rFonts w:hint="default" w:ascii="Times New Roman" w:hAnsi="Times New Roman" w:cs="Times New Roman" w:eastAsiaTheme="minorEastAsia"/>
                <w:b w:val="0"/>
                <w:bCs w:val="0"/>
                <w:color w:val="auto"/>
                <w:sz w:val="24"/>
                <w:szCs w:val="24"/>
              </w:rPr>
              <w:t>则更换的废活性炭总量为</w:t>
            </w:r>
            <w:r>
              <w:rPr>
                <w:rFonts w:hint="default" w:ascii="Times New Roman" w:hAnsi="Times New Roman" w:cs="Times New Roman" w:eastAsiaTheme="minorEastAsia"/>
                <w:b w:val="0"/>
                <w:bCs w:val="0"/>
                <w:color w:val="auto"/>
                <w:sz w:val="24"/>
                <w:szCs w:val="24"/>
                <w:lang w:val="en-US" w:eastAsia="zh-CN"/>
              </w:rPr>
              <w:t>2</w:t>
            </w:r>
            <w:r>
              <w:rPr>
                <w:rFonts w:hint="default" w:ascii="Times New Roman" w:hAnsi="Times New Roman" w:cs="Times New Roman" w:eastAsiaTheme="minorEastAsia"/>
                <w:b w:val="0"/>
                <w:bCs w:val="0"/>
                <w:color w:val="auto"/>
                <w:sz w:val="24"/>
                <w:szCs w:val="24"/>
              </w:rPr>
              <w:t>次×</w:t>
            </w:r>
            <w:r>
              <w:rPr>
                <w:rFonts w:hint="default" w:ascii="Times New Roman" w:hAnsi="Times New Roman" w:cs="Times New Roman" w:eastAsiaTheme="minorEastAsia"/>
                <w:b w:val="0"/>
                <w:bCs w:val="0"/>
                <w:color w:val="auto"/>
                <w:sz w:val="24"/>
                <w:szCs w:val="24"/>
                <w:lang w:val="en-US" w:eastAsia="zh-CN"/>
              </w:rPr>
              <w:t>0.54</w:t>
            </w:r>
            <w:r>
              <w:rPr>
                <w:rFonts w:hint="default" w:ascii="Times New Roman" w:hAnsi="Times New Roman" w:cs="Times New Roman" w:eastAsiaTheme="minorEastAsia"/>
                <w:b w:val="0"/>
                <w:bCs w:val="0"/>
                <w:color w:val="auto"/>
                <w:sz w:val="24"/>
                <w:szCs w:val="24"/>
              </w:rPr>
              <w:t>t/次=</w:t>
            </w:r>
            <w:r>
              <w:rPr>
                <w:rFonts w:hint="default" w:ascii="Times New Roman" w:hAnsi="Times New Roman" w:cs="Times New Roman" w:eastAsiaTheme="minorEastAsia"/>
                <w:b w:val="0"/>
                <w:bCs w:val="0"/>
                <w:color w:val="auto"/>
                <w:sz w:val="24"/>
                <w:szCs w:val="24"/>
                <w:lang w:val="en-US" w:eastAsia="zh-CN"/>
              </w:rPr>
              <w:t>1.08</w:t>
            </w:r>
            <w:r>
              <w:rPr>
                <w:rFonts w:hint="default" w:ascii="Times New Roman" w:hAnsi="Times New Roman" w:cs="Times New Roman" w:eastAsiaTheme="minorEastAsia"/>
                <w:b w:val="0"/>
                <w:bCs w:val="0"/>
                <w:color w:val="auto"/>
                <w:sz w:val="24"/>
                <w:szCs w:val="24"/>
              </w:rPr>
              <w:t>t/a。</w:t>
            </w:r>
            <w:r>
              <w:rPr>
                <w:rFonts w:hint="default" w:ascii="Times New Roman" w:hAnsi="Times New Roman" w:cs="Times New Roman" w:eastAsiaTheme="minorEastAsia"/>
                <w:b w:val="0"/>
                <w:bCs w:val="0"/>
                <w:color w:val="auto"/>
                <w:sz w:val="24"/>
                <w:szCs w:val="24"/>
                <w:lang w:val="en-US" w:eastAsia="zh-CN"/>
              </w:rPr>
              <w:t>项目产生的废活性炭统一收集后，暂存于危废暂存间，委托有资质的单位进行处置。</w:t>
            </w:r>
          </w:p>
          <w:p w14:paraId="66AB92FC">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cs="Times New Roman" w:eastAsiaTheme="minorEastAsia"/>
                <w:b w:val="0"/>
                <w:bCs w:val="0"/>
                <w:color w:val="auto"/>
                <w:sz w:val="24"/>
                <w:szCs w:val="24"/>
              </w:rPr>
            </w:pPr>
            <w:r>
              <w:rPr>
                <w:rFonts w:hint="default" w:ascii="Times New Roman" w:hAnsi="Times New Roman" w:cs="Times New Roman" w:eastAsiaTheme="minorEastAsia"/>
                <w:b w:val="0"/>
                <w:bCs w:val="0"/>
                <w:color w:val="auto"/>
                <w:sz w:val="24"/>
                <w:szCs w:val="24"/>
              </w:rPr>
              <w:t>本项目</w:t>
            </w:r>
            <w:r>
              <w:rPr>
                <w:rFonts w:hint="default" w:ascii="Times New Roman" w:hAnsi="Times New Roman" w:cs="Times New Roman" w:eastAsiaTheme="minorEastAsia"/>
                <w:b w:val="0"/>
                <w:bCs w:val="0"/>
                <w:color w:val="auto"/>
                <w:sz w:val="24"/>
                <w:szCs w:val="24"/>
                <w:lang w:val="en-US" w:eastAsia="zh-CN"/>
              </w:rPr>
              <w:t>运营过程</w:t>
            </w:r>
            <w:r>
              <w:rPr>
                <w:rFonts w:hint="default" w:ascii="Times New Roman" w:hAnsi="Times New Roman" w:cs="Times New Roman" w:eastAsiaTheme="minorEastAsia"/>
                <w:b w:val="0"/>
                <w:bCs w:val="0"/>
                <w:color w:val="auto"/>
                <w:sz w:val="24"/>
                <w:szCs w:val="24"/>
              </w:rPr>
              <w:t xml:space="preserve">中主要固体废物排放及处理方法见表 4- </w:t>
            </w:r>
            <w:r>
              <w:rPr>
                <w:rFonts w:hint="eastAsia" w:cs="Times New Roman" w:eastAsiaTheme="minorEastAsia"/>
                <w:b w:val="0"/>
                <w:bCs w:val="0"/>
                <w:color w:val="auto"/>
                <w:sz w:val="24"/>
                <w:szCs w:val="24"/>
                <w:lang w:val="en-US" w:eastAsia="zh-CN"/>
              </w:rPr>
              <w:t>20</w:t>
            </w:r>
            <w:r>
              <w:rPr>
                <w:rFonts w:hint="default" w:ascii="Times New Roman" w:hAnsi="Times New Roman" w:cs="Times New Roman" w:eastAsiaTheme="minorEastAsia"/>
                <w:b w:val="0"/>
                <w:bCs w:val="0"/>
                <w:color w:val="auto"/>
                <w:sz w:val="24"/>
                <w:szCs w:val="24"/>
              </w:rPr>
              <w:t>。</w:t>
            </w:r>
          </w:p>
          <w:p w14:paraId="4E7EED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 4-</w:t>
            </w:r>
            <w:r>
              <w:rPr>
                <w:rFonts w:hint="eastAsia" w:cs="Times New Roman"/>
                <w:b/>
                <w:color w:val="auto"/>
                <w:kern w:val="2"/>
                <w:sz w:val="24"/>
                <w:szCs w:val="24"/>
                <w:lang w:val="en-US" w:eastAsia="zh-CN" w:bidi="ar-SA"/>
              </w:rPr>
              <w:t>20</w:t>
            </w:r>
            <w:r>
              <w:rPr>
                <w:rFonts w:hint="default" w:ascii="Times New Roman" w:hAnsi="Times New Roman" w:eastAsia="宋体" w:cs="Times New Roman"/>
                <w:b/>
                <w:color w:val="auto"/>
                <w:kern w:val="2"/>
                <w:sz w:val="24"/>
                <w:szCs w:val="24"/>
                <w:lang w:val="en-US" w:eastAsia="zh-CN" w:bidi="ar-SA"/>
              </w:rPr>
              <w:t xml:space="preserve">  项目固体废弃物排放量及处置方法</w:t>
            </w:r>
          </w:p>
          <w:tbl>
            <w:tblPr>
              <w:tblStyle w:val="101"/>
              <w:tblW w:w="4998"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81"/>
              <w:gridCol w:w="1151"/>
              <w:gridCol w:w="771"/>
              <w:gridCol w:w="10"/>
              <w:gridCol w:w="768"/>
              <w:gridCol w:w="746"/>
              <w:gridCol w:w="2344"/>
              <w:gridCol w:w="1152"/>
            </w:tblGrid>
            <w:tr w14:paraId="49E4D5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01" w:hRule="atLeast"/>
                <w:jc w:val="center"/>
              </w:trPr>
              <w:tc>
                <w:tcPr>
                  <w:tcW w:w="563" w:type="pct"/>
                  <w:tcBorders>
                    <w:tl2br w:val="nil"/>
                    <w:tr2bl w:val="nil"/>
                  </w:tcBorders>
                  <w:noWrap w:val="0"/>
                  <w:vAlign w:val="center"/>
                </w:tcPr>
                <w:p w14:paraId="27F145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产生环节</w:t>
                  </w:r>
                </w:p>
              </w:tc>
              <w:tc>
                <w:tcPr>
                  <w:tcW w:w="735" w:type="pct"/>
                  <w:tcBorders>
                    <w:tl2br w:val="nil"/>
                    <w:tr2bl w:val="nil"/>
                  </w:tcBorders>
                  <w:noWrap w:val="0"/>
                  <w:vAlign w:val="center"/>
                </w:tcPr>
                <w:p w14:paraId="13FB8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污染名称</w:t>
                  </w:r>
                </w:p>
              </w:tc>
              <w:tc>
                <w:tcPr>
                  <w:tcW w:w="499" w:type="pct"/>
                  <w:gridSpan w:val="2"/>
                  <w:tcBorders>
                    <w:right w:val="single" w:color="auto" w:sz="4" w:space="0"/>
                    <w:tl2br w:val="nil"/>
                    <w:tr2bl w:val="nil"/>
                  </w:tcBorders>
                  <w:noWrap w:val="0"/>
                  <w:vAlign w:val="center"/>
                </w:tcPr>
                <w:p w14:paraId="59878D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属性</w:t>
                  </w:r>
                </w:p>
              </w:tc>
              <w:tc>
                <w:tcPr>
                  <w:tcW w:w="490" w:type="pct"/>
                  <w:tcBorders>
                    <w:left w:val="single" w:color="auto" w:sz="4" w:space="0"/>
                    <w:tl2br w:val="nil"/>
                    <w:tr2bl w:val="nil"/>
                  </w:tcBorders>
                  <w:noWrap w:val="0"/>
                  <w:vAlign w:val="center"/>
                </w:tcPr>
                <w:p w14:paraId="6CB3F9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eastAsia" w:cs="Times New Roman" w:eastAsiaTheme="minorEastAsia"/>
                      <w:b/>
                      <w:bCs/>
                      <w:color w:val="auto"/>
                      <w:sz w:val="21"/>
                      <w:szCs w:val="21"/>
                      <w:lang w:val="en-US" w:eastAsia="zh-CN"/>
                    </w:rPr>
                    <w:t>固废代码</w:t>
                  </w:r>
                </w:p>
              </w:tc>
              <w:tc>
                <w:tcPr>
                  <w:tcW w:w="476" w:type="pct"/>
                  <w:tcBorders>
                    <w:tl2br w:val="nil"/>
                    <w:tr2bl w:val="nil"/>
                  </w:tcBorders>
                  <w:noWrap w:val="0"/>
                  <w:vAlign w:val="center"/>
                </w:tcPr>
                <w:p w14:paraId="52C615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年产生量</w:t>
                  </w:r>
                </w:p>
                <w:p w14:paraId="37E756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（t/a）</w:t>
                  </w:r>
                </w:p>
              </w:tc>
              <w:tc>
                <w:tcPr>
                  <w:tcW w:w="1498" w:type="pct"/>
                  <w:tcBorders>
                    <w:tl2br w:val="nil"/>
                    <w:tr2bl w:val="nil"/>
                  </w:tcBorders>
                  <w:noWrap w:val="0"/>
                  <w:vAlign w:val="center"/>
                </w:tcPr>
                <w:p w14:paraId="451D65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利用或处置方式</w:t>
                  </w:r>
                </w:p>
              </w:tc>
              <w:tc>
                <w:tcPr>
                  <w:tcW w:w="736" w:type="pct"/>
                  <w:tcBorders>
                    <w:tl2br w:val="nil"/>
                    <w:tr2bl w:val="nil"/>
                  </w:tcBorders>
                  <w:noWrap w:val="0"/>
                  <w:vAlign w:val="center"/>
                </w:tcPr>
                <w:p w14:paraId="141172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利用或处置量（t/a）</w:t>
                  </w:r>
                </w:p>
              </w:tc>
            </w:tr>
            <w:tr w14:paraId="553739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563" w:type="pct"/>
                  <w:vMerge w:val="restart"/>
                  <w:tcBorders>
                    <w:tl2br w:val="nil"/>
                    <w:tr2bl w:val="nil"/>
                  </w:tcBorders>
                  <w:noWrap w:val="0"/>
                  <w:vAlign w:val="center"/>
                </w:tcPr>
                <w:p w14:paraId="50A2BE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生产过程</w:t>
                  </w:r>
                </w:p>
              </w:tc>
              <w:tc>
                <w:tcPr>
                  <w:tcW w:w="735" w:type="pct"/>
                  <w:tcBorders>
                    <w:bottom w:val="single" w:color="auto" w:sz="4" w:space="0"/>
                    <w:tl2br w:val="nil"/>
                    <w:tr2bl w:val="nil"/>
                  </w:tcBorders>
                  <w:noWrap w:val="0"/>
                  <w:vAlign w:val="center"/>
                </w:tcPr>
                <w:p w14:paraId="5E3B501A">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color w:val="auto"/>
                      <w:sz w:val="21"/>
                      <w:szCs w:val="21"/>
                      <w:lang w:val="en-US" w:eastAsia="zh-CN"/>
                    </w:rPr>
                    <w:t>废弃包装物</w:t>
                  </w:r>
                </w:p>
              </w:tc>
              <w:tc>
                <w:tcPr>
                  <w:tcW w:w="492" w:type="pct"/>
                  <w:vMerge w:val="restart"/>
                  <w:tcBorders>
                    <w:right w:val="single" w:color="auto" w:sz="4" w:space="0"/>
                    <w:tl2br w:val="nil"/>
                    <w:tr2bl w:val="nil"/>
                  </w:tcBorders>
                  <w:noWrap w:val="0"/>
                  <w:vAlign w:val="center"/>
                </w:tcPr>
                <w:p w14:paraId="6DF4E8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一般工业固体废物</w:t>
                  </w:r>
                </w:p>
              </w:tc>
              <w:tc>
                <w:tcPr>
                  <w:tcW w:w="497" w:type="pct"/>
                  <w:gridSpan w:val="2"/>
                  <w:tcBorders>
                    <w:left w:val="single" w:color="auto" w:sz="4" w:space="0"/>
                    <w:bottom w:val="single" w:color="auto" w:sz="4" w:space="0"/>
                    <w:tl2br w:val="nil"/>
                    <w:tr2bl w:val="nil"/>
                  </w:tcBorders>
                  <w:shd w:val="clear" w:color="auto" w:fill="auto"/>
                  <w:noWrap w:val="0"/>
                  <w:vAlign w:val="center"/>
                </w:tcPr>
                <w:p w14:paraId="697BF1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900-999-99</w:t>
                  </w:r>
                </w:p>
              </w:tc>
              <w:tc>
                <w:tcPr>
                  <w:tcW w:w="476" w:type="pct"/>
                  <w:tcBorders>
                    <w:tl2br w:val="nil"/>
                    <w:tr2bl w:val="nil"/>
                  </w:tcBorders>
                  <w:noWrap w:val="0"/>
                  <w:vAlign w:val="center"/>
                </w:tcPr>
                <w:p w14:paraId="1A944A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0.8</w:t>
                  </w:r>
                </w:p>
              </w:tc>
              <w:tc>
                <w:tcPr>
                  <w:tcW w:w="1498" w:type="pct"/>
                  <w:vMerge w:val="restart"/>
                  <w:tcBorders>
                    <w:tl2br w:val="nil"/>
                    <w:tr2bl w:val="nil"/>
                  </w:tcBorders>
                  <w:noWrap w:val="0"/>
                  <w:vAlign w:val="center"/>
                </w:tcPr>
                <w:p w14:paraId="0254B8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统一收集后外售处置</w:t>
                  </w:r>
                </w:p>
              </w:tc>
              <w:tc>
                <w:tcPr>
                  <w:tcW w:w="736" w:type="pct"/>
                  <w:tcBorders>
                    <w:tl2br w:val="nil"/>
                    <w:tr2bl w:val="nil"/>
                  </w:tcBorders>
                  <w:noWrap w:val="0"/>
                  <w:vAlign w:val="center"/>
                </w:tcPr>
                <w:p w14:paraId="0DC34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0.8</w:t>
                  </w:r>
                </w:p>
              </w:tc>
            </w:tr>
            <w:tr w14:paraId="3D2D9E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jc w:val="center"/>
              </w:trPr>
              <w:tc>
                <w:tcPr>
                  <w:tcW w:w="563" w:type="pct"/>
                  <w:vMerge w:val="continue"/>
                  <w:tcBorders>
                    <w:tl2br w:val="nil"/>
                    <w:tr2bl w:val="nil"/>
                  </w:tcBorders>
                  <w:noWrap w:val="0"/>
                  <w:vAlign w:val="center"/>
                </w:tcPr>
                <w:p w14:paraId="0C9ED7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35" w:type="pct"/>
                  <w:tcBorders>
                    <w:top w:val="single" w:color="auto" w:sz="4" w:space="0"/>
                    <w:bottom w:val="single" w:color="auto" w:sz="4" w:space="0"/>
                    <w:tl2br w:val="nil"/>
                    <w:tr2bl w:val="nil"/>
                  </w:tcBorders>
                  <w:shd w:val="clear" w:color="auto" w:fill="auto"/>
                  <w:noWrap w:val="0"/>
                  <w:vAlign w:val="center"/>
                </w:tcPr>
                <w:p w14:paraId="7FA4F1AA">
                  <w:pPr>
                    <w:pStyle w:val="104"/>
                    <w:keepNext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废布袋</w:t>
                  </w:r>
                </w:p>
              </w:tc>
              <w:tc>
                <w:tcPr>
                  <w:tcW w:w="492" w:type="pct"/>
                  <w:vMerge w:val="continue"/>
                  <w:tcBorders>
                    <w:right w:val="single" w:color="auto" w:sz="4" w:space="0"/>
                    <w:tl2br w:val="nil"/>
                    <w:tr2bl w:val="nil"/>
                  </w:tcBorders>
                  <w:noWrap w:val="0"/>
                  <w:vAlign w:val="center"/>
                </w:tcPr>
                <w:p w14:paraId="4FF6CF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97" w:type="pct"/>
                  <w:gridSpan w:val="2"/>
                  <w:tcBorders>
                    <w:top w:val="single" w:color="auto" w:sz="4" w:space="0"/>
                    <w:left w:val="single" w:color="auto" w:sz="4" w:space="0"/>
                    <w:bottom w:val="single" w:color="auto" w:sz="4" w:space="0"/>
                    <w:tl2br w:val="nil"/>
                    <w:tr2bl w:val="nil"/>
                  </w:tcBorders>
                  <w:shd w:val="clear" w:color="auto" w:fill="auto"/>
                  <w:noWrap w:val="0"/>
                  <w:vAlign w:val="center"/>
                </w:tcPr>
                <w:p w14:paraId="389358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900-999-99</w:t>
                  </w:r>
                </w:p>
              </w:tc>
              <w:tc>
                <w:tcPr>
                  <w:tcW w:w="476" w:type="pct"/>
                  <w:tcBorders>
                    <w:tl2br w:val="nil"/>
                    <w:tr2bl w:val="nil"/>
                  </w:tcBorders>
                  <w:noWrap w:val="0"/>
                  <w:vAlign w:val="center"/>
                </w:tcPr>
                <w:p w14:paraId="3BC449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w:t>
                  </w:r>
                </w:p>
              </w:tc>
              <w:tc>
                <w:tcPr>
                  <w:tcW w:w="1498" w:type="pct"/>
                  <w:vMerge w:val="continue"/>
                  <w:tcBorders>
                    <w:bottom w:val="single" w:color="auto" w:sz="4" w:space="0"/>
                    <w:tl2br w:val="nil"/>
                    <w:tr2bl w:val="nil"/>
                  </w:tcBorders>
                  <w:noWrap w:val="0"/>
                  <w:vAlign w:val="center"/>
                </w:tcPr>
                <w:p w14:paraId="3BAD4A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36" w:type="pct"/>
                  <w:tcBorders>
                    <w:tl2br w:val="nil"/>
                    <w:tr2bl w:val="nil"/>
                  </w:tcBorders>
                  <w:noWrap w:val="0"/>
                  <w:vAlign w:val="center"/>
                </w:tcPr>
                <w:p w14:paraId="17F3C2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w:t>
                  </w:r>
                </w:p>
              </w:tc>
            </w:tr>
            <w:tr w14:paraId="2FAB0D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jc w:val="center"/>
              </w:trPr>
              <w:tc>
                <w:tcPr>
                  <w:tcW w:w="563" w:type="pct"/>
                  <w:vMerge w:val="continue"/>
                  <w:tcBorders>
                    <w:tl2br w:val="nil"/>
                    <w:tr2bl w:val="nil"/>
                  </w:tcBorders>
                  <w:noWrap w:val="0"/>
                  <w:vAlign w:val="center"/>
                </w:tcPr>
                <w:p w14:paraId="7C5D81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35" w:type="pct"/>
                  <w:tcBorders>
                    <w:bottom w:val="single" w:color="auto" w:sz="4" w:space="0"/>
                    <w:tl2br w:val="nil"/>
                    <w:tr2bl w:val="nil"/>
                  </w:tcBorders>
                  <w:shd w:val="clear" w:color="auto" w:fill="auto"/>
                  <w:noWrap w:val="0"/>
                  <w:vAlign w:val="center"/>
                </w:tcPr>
                <w:p w14:paraId="18532581">
                  <w:pPr>
                    <w:pStyle w:val="104"/>
                    <w:keepNext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除尘器</w:t>
                  </w:r>
                  <w:r>
                    <w:rPr>
                      <w:rFonts w:hint="eastAsia" w:cs="Times New Roman" w:eastAsiaTheme="minorEastAsia"/>
                      <w:color w:val="auto"/>
                      <w:kern w:val="2"/>
                      <w:sz w:val="21"/>
                      <w:szCs w:val="21"/>
                      <w:lang w:val="en-US" w:eastAsia="zh-CN" w:bidi="ar-SA"/>
                    </w:rPr>
                    <w:t>收集的</w:t>
                  </w:r>
                  <w:r>
                    <w:rPr>
                      <w:rFonts w:hint="default" w:ascii="Times New Roman" w:hAnsi="Times New Roman" w:cs="Times New Roman" w:eastAsiaTheme="minorEastAsia"/>
                      <w:color w:val="auto"/>
                      <w:kern w:val="2"/>
                      <w:sz w:val="21"/>
                      <w:szCs w:val="21"/>
                      <w:lang w:val="en-US" w:eastAsia="zh-CN" w:bidi="ar-SA"/>
                    </w:rPr>
                    <w:t>除尘灰</w:t>
                  </w:r>
                </w:p>
              </w:tc>
              <w:tc>
                <w:tcPr>
                  <w:tcW w:w="492" w:type="pct"/>
                  <w:vMerge w:val="continue"/>
                  <w:tcBorders>
                    <w:right w:val="single" w:color="auto" w:sz="4" w:space="0"/>
                    <w:tl2br w:val="nil"/>
                    <w:tr2bl w:val="nil"/>
                  </w:tcBorders>
                  <w:noWrap w:val="0"/>
                  <w:vAlign w:val="center"/>
                </w:tcPr>
                <w:p w14:paraId="15A5E7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97" w:type="pct"/>
                  <w:gridSpan w:val="2"/>
                  <w:tcBorders>
                    <w:top w:val="single" w:color="auto" w:sz="4" w:space="0"/>
                    <w:left w:val="single" w:color="auto" w:sz="4" w:space="0"/>
                    <w:bottom w:val="single" w:color="auto" w:sz="4" w:space="0"/>
                    <w:tl2br w:val="nil"/>
                    <w:tr2bl w:val="nil"/>
                  </w:tcBorders>
                  <w:shd w:val="clear" w:color="auto" w:fill="auto"/>
                  <w:noWrap w:val="0"/>
                  <w:vAlign w:val="center"/>
                </w:tcPr>
                <w:p w14:paraId="6B8A0C2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900-999-99</w:t>
                  </w:r>
                </w:p>
              </w:tc>
              <w:tc>
                <w:tcPr>
                  <w:tcW w:w="476" w:type="pct"/>
                  <w:tcBorders>
                    <w:tl2br w:val="nil"/>
                    <w:tr2bl w:val="nil"/>
                  </w:tcBorders>
                  <w:noWrap w:val="0"/>
                  <w:vAlign w:val="center"/>
                </w:tcPr>
                <w:p w14:paraId="38B6B8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56.34</w:t>
                  </w:r>
                </w:p>
              </w:tc>
              <w:tc>
                <w:tcPr>
                  <w:tcW w:w="1498" w:type="pct"/>
                  <w:vMerge w:val="restart"/>
                  <w:tcBorders>
                    <w:top w:val="single" w:color="auto" w:sz="4" w:space="0"/>
                    <w:tl2br w:val="nil"/>
                    <w:tr2bl w:val="nil"/>
                  </w:tcBorders>
                  <w:noWrap w:val="0"/>
                  <w:vAlign w:val="center"/>
                </w:tcPr>
                <w:p w14:paraId="4173A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color w:val="auto"/>
                      <w:sz w:val="21"/>
                      <w:szCs w:val="21"/>
                    </w:rPr>
                    <w:t>统一收集袋装后暂存于一般固废暂存间内，外售其他企业制作复合肥料</w:t>
                  </w:r>
                </w:p>
              </w:tc>
              <w:tc>
                <w:tcPr>
                  <w:tcW w:w="736" w:type="pct"/>
                  <w:tcBorders>
                    <w:tl2br w:val="nil"/>
                    <w:tr2bl w:val="nil"/>
                  </w:tcBorders>
                  <w:noWrap w:val="0"/>
                  <w:vAlign w:val="center"/>
                </w:tcPr>
                <w:p w14:paraId="31CDF2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56.34</w:t>
                  </w:r>
                </w:p>
              </w:tc>
            </w:tr>
            <w:tr w14:paraId="37DF31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6" w:hRule="atLeast"/>
                <w:jc w:val="center"/>
              </w:trPr>
              <w:tc>
                <w:tcPr>
                  <w:tcW w:w="563" w:type="pct"/>
                  <w:vMerge w:val="continue"/>
                  <w:tcBorders>
                    <w:tl2br w:val="nil"/>
                    <w:tr2bl w:val="nil"/>
                  </w:tcBorders>
                  <w:noWrap w:val="0"/>
                  <w:vAlign w:val="center"/>
                </w:tcPr>
                <w:p w14:paraId="3A81E9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35" w:type="pct"/>
                  <w:tcBorders>
                    <w:tl2br w:val="nil"/>
                    <w:tr2bl w:val="nil"/>
                  </w:tcBorders>
                  <w:noWrap w:val="0"/>
                  <w:vAlign w:val="center"/>
                </w:tcPr>
                <w:p w14:paraId="76524E16">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生物质蒸汽发生器</w:t>
                  </w:r>
                  <w:r>
                    <w:rPr>
                      <w:rFonts w:hint="default" w:ascii="Times New Roman" w:hAnsi="Times New Roman" w:cs="Times New Roman" w:eastAsiaTheme="minorEastAsia"/>
                      <w:color w:val="auto"/>
                      <w:kern w:val="2"/>
                      <w:sz w:val="21"/>
                      <w:szCs w:val="21"/>
                      <w:lang w:val="en-US" w:eastAsia="zh-CN" w:bidi="ar-SA"/>
                    </w:rPr>
                    <w:t>炉渣</w:t>
                  </w:r>
                </w:p>
              </w:tc>
              <w:tc>
                <w:tcPr>
                  <w:tcW w:w="492" w:type="pct"/>
                  <w:vMerge w:val="continue"/>
                  <w:tcBorders>
                    <w:right w:val="single" w:color="auto" w:sz="4" w:space="0"/>
                    <w:tl2br w:val="nil"/>
                    <w:tr2bl w:val="nil"/>
                  </w:tcBorders>
                  <w:noWrap w:val="0"/>
                  <w:vAlign w:val="center"/>
                </w:tcPr>
                <w:p w14:paraId="3C8725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97" w:type="pct"/>
                  <w:gridSpan w:val="2"/>
                  <w:tcBorders>
                    <w:top w:val="single" w:color="auto" w:sz="4" w:space="0"/>
                    <w:left w:val="single" w:color="auto" w:sz="4" w:space="0"/>
                    <w:bottom w:val="single" w:color="auto" w:sz="4" w:space="0"/>
                    <w:tl2br w:val="nil"/>
                    <w:tr2bl w:val="nil"/>
                  </w:tcBorders>
                  <w:shd w:val="clear" w:color="auto" w:fill="auto"/>
                  <w:noWrap w:val="0"/>
                  <w:vAlign w:val="center"/>
                </w:tcPr>
                <w:p w14:paraId="20335C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900-999-64</w:t>
                  </w:r>
                </w:p>
              </w:tc>
              <w:tc>
                <w:tcPr>
                  <w:tcW w:w="476" w:type="pct"/>
                  <w:tcBorders>
                    <w:tl2br w:val="nil"/>
                    <w:tr2bl w:val="nil"/>
                  </w:tcBorders>
                  <w:noWrap w:val="0"/>
                  <w:vAlign w:val="center"/>
                </w:tcPr>
                <w:p w14:paraId="63BE92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55.72</w:t>
                  </w:r>
                </w:p>
              </w:tc>
              <w:tc>
                <w:tcPr>
                  <w:tcW w:w="1498" w:type="pct"/>
                  <w:vMerge w:val="continue"/>
                  <w:tcBorders>
                    <w:tl2br w:val="nil"/>
                    <w:tr2bl w:val="nil"/>
                  </w:tcBorders>
                  <w:noWrap w:val="0"/>
                  <w:vAlign w:val="center"/>
                </w:tcPr>
                <w:p w14:paraId="52B8C7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36" w:type="pct"/>
                  <w:tcBorders>
                    <w:tl2br w:val="nil"/>
                    <w:tr2bl w:val="nil"/>
                  </w:tcBorders>
                  <w:noWrap w:val="0"/>
                  <w:vAlign w:val="center"/>
                </w:tcPr>
                <w:p w14:paraId="0B731A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55.72</w:t>
                  </w:r>
                </w:p>
              </w:tc>
            </w:tr>
            <w:tr w14:paraId="189119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jc w:val="center"/>
              </w:trPr>
              <w:tc>
                <w:tcPr>
                  <w:tcW w:w="563" w:type="pct"/>
                  <w:vMerge w:val="continue"/>
                  <w:tcBorders>
                    <w:tl2br w:val="nil"/>
                    <w:tr2bl w:val="nil"/>
                  </w:tcBorders>
                  <w:noWrap w:val="0"/>
                  <w:vAlign w:val="center"/>
                </w:tcPr>
                <w:p w14:paraId="5D4EFE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35" w:type="pct"/>
                  <w:tcBorders>
                    <w:bottom w:val="single" w:color="auto" w:sz="4" w:space="0"/>
                    <w:tl2br w:val="nil"/>
                    <w:tr2bl w:val="nil"/>
                  </w:tcBorders>
                  <w:noWrap w:val="0"/>
                  <w:vAlign w:val="center"/>
                </w:tcPr>
                <w:p w14:paraId="731B34E7">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车间内收集的颗粒物</w:t>
                  </w:r>
                </w:p>
              </w:tc>
              <w:tc>
                <w:tcPr>
                  <w:tcW w:w="492" w:type="pct"/>
                  <w:vMerge w:val="continue"/>
                  <w:tcBorders>
                    <w:right w:val="single" w:color="auto" w:sz="4" w:space="0"/>
                    <w:tl2br w:val="nil"/>
                    <w:tr2bl w:val="nil"/>
                  </w:tcBorders>
                  <w:noWrap w:val="0"/>
                  <w:vAlign w:val="center"/>
                </w:tcPr>
                <w:p w14:paraId="52EA3D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97" w:type="pct"/>
                  <w:gridSpan w:val="2"/>
                  <w:tcBorders>
                    <w:top w:val="single" w:color="auto" w:sz="4" w:space="0"/>
                    <w:left w:val="single" w:color="auto" w:sz="4" w:space="0"/>
                    <w:bottom w:val="single" w:color="auto" w:sz="4" w:space="0"/>
                    <w:tl2br w:val="nil"/>
                    <w:tr2bl w:val="nil"/>
                  </w:tcBorders>
                  <w:shd w:val="clear" w:color="auto" w:fill="auto"/>
                  <w:noWrap w:val="0"/>
                  <w:vAlign w:val="center"/>
                </w:tcPr>
                <w:p w14:paraId="4F832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900-999-66</w:t>
                  </w:r>
                </w:p>
              </w:tc>
              <w:tc>
                <w:tcPr>
                  <w:tcW w:w="476" w:type="pct"/>
                  <w:tcBorders>
                    <w:tl2br w:val="nil"/>
                    <w:tr2bl w:val="nil"/>
                  </w:tcBorders>
                  <w:noWrap w:val="0"/>
                  <w:vAlign w:val="center"/>
                </w:tcPr>
                <w:p w14:paraId="46E451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0.3</w:t>
                  </w:r>
                </w:p>
              </w:tc>
              <w:tc>
                <w:tcPr>
                  <w:tcW w:w="1498" w:type="pct"/>
                  <w:tcBorders>
                    <w:top w:val="single" w:color="auto" w:sz="4" w:space="0"/>
                    <w:bottom w:val="single" w:color="auto" w:sz="4" w:space="0"/>
                    <w:tl2br w:val="nil"/>
                    <w:tr2bl w:val="nil"/>
                  </w:tcBorders>
                  <w:noWrap w:val="0"/>
                  <w:vAlign w:val="center"/>
                </w:tcPr>
                <w:p w14:paraId="74488592">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人工清扫收集后，回用于生产，不外排</w:t>
                  </w:r>
                </w:p>
              </w:tc>
              <w:tc>
                <w:tcPr>
                  <w:tcW w:w="736" w:type="pct"/>
                  <w:tcBorders>
                    <w:tl2br w:val="nil"/>
                    <w:tr2bl w:val="nil"/>
                  </w:tcBorders>
                  <w:noWrap w:val="0"/>
                  <w:vAlign w:val="center"/>
                </w:tcPr>
                <w:p w14:paraId="2190958D">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0.3</w:t>
                  </w:r>
                </w:p>
              </w:tc>
            </w:tr>
            <w:tr w14:paraId="63ED7E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jc w:val="center"/>
              </w:trPr>
              <w:tc>
                <w:tcPr>
                  <w:tcW w:w="563" w:type="pct"/>
                  <w:vMerge w:val="continue"/>
                  <w:tcBorders>
                    <w:tl2br w:val="nil"/>
                    <w:tr2bl w:val="nil"/>
                  </w:tcBorders>
                  <w:noWrap w:val="0"/>
                  <w:vAlign w:val="center"/>
                </w:tcPr>
                <w:p w14:paraId="7C77E1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35" w:type="pct"/>
                  <w:tcBorders>
                    <w:top w:val="single" w:color="auto" w:sz="4" w:space="0"/>
                    <w:bottom w:val="single" w:color="auto" w:sz="4" w:space="0"/>
                    <w:tl2br w:val="nil"/>
                    <w:tr2bl w:val="nil"/>
                  </w:tcBorders>
                  <w:noWrap w:val="0"/>
                  <w:vAlign w:val="center"/>
                </w:tcPr>
                <w:p w14:paraId="31AC4410">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废离子交换树脂</w:t>
                  </w:r>
                </w:p>
              </w:tc>
              <w:tc>
                <w:tcPr>
                  <w:tcW w:w="492" w:type="pct"/>
                  <w:vMerge w:val="continue"/>
                  <w:tcBorders>
                    <w:right w:val="single" w:color="auto" w:sz="4" w:space="0"/>
                    <w:tl2br w:val="nil"/>
                    <w:tr2bl w:val="nil"/>
                  </w:tcBorders>
                  <w:noWrap w:val="0"/>
                  <w:vAlign w:val="center"/>
                </w:tcPr>
                <w:p w14:paraId="75CE62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97" w:type="pct"/>
                  <w:gridSpan w:val="2"/>
                  <w:tcBorders>
                    <w:top w:val="single" w:color="auto" w:sz="4" w:space="0"/>
                    <w:left w:val="single" w:color="auto" w:sz="4" w:space="0"/>
                    <w:bottom w:val="single" w:color="auto" w:sz="4" w:space="0"/>
                    <w:tl2br w:val="nil"/>
                    <w:tr2bl w:val="nil"/>
                  </w:tcBorders>
                  <w:shd w:val="clear" w:color="auto" w:fill="auto"/>
                  <w:noWrap w:val="0"/>
                  <w:vAlign w:val="center"/>
                </w:tcPr>
                <w:p w14:paraId="1DA30D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900-999-99</w:t>
                  </w:r>
                </w:p>
              </w:tc>
              <w:tc>
                <w:tcPr>
                  <w:tcW w:w="476" w:type="pct"/>
                  <w:tcBorders>
                    <w:tl2br w:val="nil"/>
                    <w:tr2bl w:val="nil"/>
                  </w:tcBorders>
                  <w:noWrap w:val="0"/>
                  <w:vAlign w:val="center"/>
                </w:tcPr>
                <w:p w14:paraId="11AE9E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w:t>
                  </w:r>
                </w:p>
              </w:tc>
              <w:tc>
                <w:tcPr>
                  <w:tcW w:w="1498" w:type="pct"/>
                  <w:tcBorders>
                    <w:top w:val="single" w:color="auto" w:sz="4" w:space="0"/>
                    <w:bottom w:val="single" w:color="auto" w:sz="4" w:space="0"/>
                    <w:tl2br w:val="nil"/>
                    <w:tr2bl w:val="nil"/>
                  </w:tcBorders>
                  <w:noWrap w:val="0"/>
                  <w:vAlign w:val="center"/>
                </w:tcPr>
                <w:p w14:paraId="236287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color w:val="auto"/>
                      <w:sz w:val="21"/>
                      <w:szCs w:val="21"/>
                    </w:rPr>
                    <w:t>由厂家直接回收，不在厂内暂存</w:t>
                  </w:r>
                </w:p>
              </w:tc>
              <w:tc>
                <w:tcPr>
                  <w:tcW w:w="736" w:type="pct"/>
                  <w:tcBorders>
                    <w:tl2br w:val="nil"/>
                    <w:tr2bl w:val="nil"/>
                  </w:tcBorders>
                  <w:noWrap w:val="0"/>
                  <w:vAlign w:val="center"/>
                </w:tcPr>
                <w:p w14:paraId="5013CF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w:t>
                  </w:r>
                </w:p>
              </w:tc>
            </w:tr>
            <w:tr w14:paraId="7DC0A6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87" w:hRule="atLeast"/>
                <w:jc w:val="center"/>
              </w:trPr>
              <w:tc>
                <w:tcPr>
                  <w:tcW w:w="563" w:type="pct"/>
                  <w:tcBorders>
                    <w:tl2br w:val="nil"/>
                    <w:tr2bl w:val="nil"/>
                  </w:tcBorders>
                  <w:noWrap w:val="0"/>
                  <w:vAlign w:val="center"/>
                </w:tcPr>
                <w:p w14:paraId="4F2023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化粪池、一体化污水处理设施</w:t>
                  </w:r>
                </w:p>
              </w:tc>
              <w:tc>
                <w:tcPr>
                  <w:tcW w:w="735" w:type="pct"/>
                  <w:tcBorders>
                    <w:top w:val="single" w:color="auto" w:sz="4" w:space="0"/>
                    <w:tl2br w:val="nil"/>
                    <w:tr2bl w:val="nil"/>
                  </w:tcBorders>
                  <w:noWrap w:val="0"/>
                  <w:vAlign w:val="center"/>
                </w:tcPr>
                <w:p w14:paraId="2C5821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污泥</w:t>
                  </w:r>
                </w:p>
              </w:tc>
              <w:tc>
                <w:tcPr>
                  <w:tcW w:w="492" w:type="pct"/>
                  <w:vMerge w:val="continue"/>
                  <w:tcBorders>
                    <w:right w:val="single" w:color="auto" w:sz="4" w:space="0"/>
                    <w:tl2br w:val="nil"/>
                    <w:tr2bl w:val="nil"/>
                  </w:tcBorders>
                  <w:noWrap w:val="0"/>
                  <w:vAlign w:val="center"/>
                </w:tcPr>
                <w:p w14:paraId="554836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497" w:type="pct"/>
                  <w:gridSpan w:val="2"/>
                  <w:tcBorders>
                    <w:top w:val="single" w:color="auto" w:sz="4" w:space="0"/>
                    <w:left w:val="single" w:color="auto" w:sz="4" w:space="0"/>
                    <w:tl2br w:val="nil"/>
                    <w:tr2bl w:val="nil"/>
                  </w:tcBorders>
                  <w:shd w:val="clear" w:color="auto" w:fill="auto"/>
                  <w:noWrap w:val="0"/>
                  <w:vAlign w:val="center"/>
                </w:tcPr>
                <w:p w14:paraId="6A81F3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1"/>
                      <w:szCs w:val="21"/>
                      <w:lang w:val="en-US" w:eastAsia="zh-CN"/>
                    </w:rPr>
                  </w:pPr>
                  <w:r>
                    <w:rPr>
                      <w:rFonts w:hint="eastAsia" w:ascii="Times New Roman" w:hAnsi="Times New Roman" w:cs="Times New Roman" w:eastAsiaTheme="minorEastAsia"/>
                      <w:b w:val="0"/>
                      <w:bCs w:val="0"/>
                      <w:color w:val="auto"/>
                      <w:sz w:val="21"/>
                      <w:szCs w:val="21"/>
                      <w:lang w:val="en-US" w:eastAsia="zh-CN"/>
                    </w:rPr>
                    <w:t>900-999-91</w:t>
                  </w:r>
                </w:p>
              </w:tc>
              <w:tc>
                <w:tcPr>
                  <w:tcW w:w="476" w:type="pct"/>
                  <w:tcBorders>
                    <w:tl2br w:val="nil"/>
                    <w:tr2bl w:val="nil"/>
                  </w:tcBorders>
                  <w:noWrap w:val="0"/>
                  <w:vAlign w:val="center"/>
                </w:tcPr>
                <w:p w14:paraId="4A9984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w:t>
                  </w:r>
                </w:p>
              </w:tc>
              <w:tc>
                <w:tcPr>
                  <w:tcW w:w="1498" w:type="pct"/>
                  <w:tcBorders>
                    <w:top w:val="single" w:color="auto" w:sz="4" w:space="0"/>
                    <w:bottom w:val="single" w:color="auto" w:sz="4" w:space="0"/>
                    <w:tl2br w:val="nil"/>
                    <w:tr2bl w:val="nil"/>
                  </w:tcBorders>
                  <w:noWrap w:val="0"/>
                  <w:vAlign w:val="center"/>
                </w:tcPr>
                <w:p w14:paraId="388602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本项目化粪池</w:t>
                  </w:r>
                  <w:r>
                    <w:rPr>
                      <w:rFonts w:hint="eastAsia" w:ascii="Times New Roman" w:hAnsi="Times New Roman" w:cs="Times New Roman" w:eastAsiaTheme="minorEastAsia"/>
                      <w:color w:val="auto"/>
                      <w:sz w:val="21"/>
                      <w:szCs w:val="21"/>
                      <w:lang w:val="en-US" w:eastAsia="zh-CN"/>
                    </w:rPr>
                    <w:t>和一体化污水处理设施</w:t>
                  </w:r>
                  <w:r>
                    <w:rPr>
                      <w:rFonts w:hint="default" w:ascii="Times New Roman" w:hAnsi="Times New Roman" w:cs="Times New Roman" w:eastAsiaTheme="minorEastAsia"/>
                      <w:color w:val="auto"/>
                      <w:sz w:val="21"/>
                      <w:szCs w:val="21"/>
                      <w:lang w:val="en-US" w:eastAsia="zh-CN"/>
                    </w:rPr>
                    <w:t>污泥产生量约为0.1</w:t>
                  </w:r>
                  <w:r>
                    <w:rPr>
                      <w:rFonts w:hint="default" w:ascii="Times New Roman" w:hAnsi="Times New Roman" w:cs="Times New Roman" w:eastAsiaTheme="minorEastAsia"/>
                      <w:color w:val="auto"/>
                      <w:sz w:val="21"/>
                      <w:szCs w:val="21"/>
                    </w:rPr>
                    <w:t>t/a</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委托</w:t>
                  </w:r>
                  <w:r>
                    <w:rPr>
                      <w:rFonts w:hint="eastAsia" w:ascii="Times New Roman" w:hAnsi="Times New Roman" w:cs="Times New Roman" w:eastAsiaTheme="minorEastAsia"/>
                      <w:color w:val="auto"/>
                      <w:sz w:val="21"/>
                      <w:szCs w:val="21"/>
                      <w:lang w:val="en-US" w:eastAsia="zh-CN"/>
                    </w:rPr>
                    <w:t>当地环卫部门负责清理清运</w:t>
                  </w:r>
                </w:p>
              </w:tc>
              <w:tc>
                <w:tcPr>
                  <w:tcW w:w="736" w:type="pct"/>
                  <w:tcBorders>
                    <w:tl2br w:val="nil"/>
                    <w:tr2bl w:val="nil"/>
                  </w:tcBorders>
                  <w:noWrap w:val="0"/>
                  <w:vAlign w:val="center"/>
                </w:tcPr>
                <w:p w14:paraId="2BC142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0.1</w:t>
                  </w:r>
                </w:p>
              </w:tc>
            </w:tr>
            <w:tr w14:paraId="0EE1A3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2" w:hRule="atLeast"/>
                <w:jc w:val="center"/>
              </w:trPr>
              <w:tc>
                <w:tcPr>
                  <w:tcW w:w="563" w:type="pct"/>
                  <w:tcBorders>
                    <w:tl2br w:val="nil"/>
                    <w:tr2bl w:val="nil"/>
                  </w:tcBorders>
                  <w:shd w:val="clear" w:color="auto" w:fill="auto"/>
                  <w:noWrap w:val="0"/>
                  <w:vAlign w:val="center"/>
                </w:tcPr>
                <w:p w14:paraId="472BBC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职工生活</w:t>
                  </w:r>
                </w:p>
              </w:tc>
              <w:tc>
                <w:tcPr>
                  <w:tcW w:w="735" w:type="pct"/>
                  <w:tcBorders>
                    <w:top w:val="single" w:color="auto" w:sz="4" w:space="0"/>
                    <w:tl2br w:val="nil"/>
                    <w:tr2bl w:val="nil"/>
                  </w:tcBorders>
                  <w:shd w:val="clear" w:color="auto" w:fill="auto"/>
                  <w:noWrap w:val="0"/>
                  <w:vAlign w:val="center"/>
                </w:tcPr>
                <w:p w14:paraId="0CE5D0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生活垃圾</w:t>
                  </w:r>
                </w:p>
              </w:tc>
              <w:tc>
                <w:tcPr>
                  <w:tcW w:w="990" w:type="pct"/>
                  <w:gridSpan w:val="3"/>
                  <w:tcBorders>
                    <w:tl2br w:val="nil"/>
                    <w:tr2bl w:val="nil"/>
                  </w:tcBorders>
                  <w:noWrap w:val="0"/>
                  <w:vAlign w:val="center"/>
                </w:tcPr>
                <w:p w14:paraId="37C1F4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w:t>
                  </w:r>
                </w:p>
              </w:tc>
              <w:tc>
                <w:tcPr>
                  <w:tcW w:w="476" w:type="pct"/>
                  <w:tcBorders>
                    <w:tl2br w:val="nil"/>
                    <w:tr2bl w:val="nil"/>
                  </w:tcBorders>
                  <w:shd w:val="clear" w:color="auto" w:fill="auto"/>
                  <w:noWrap w:val="0"/>
                  <w:vAlign w:val="center"/>
                </w:tcPr>
                <w:p w14:paraId="26C01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0.9</w:t>
                  </w:r>
                </w:p>
              </w:tc>
              <w:tc>
                <w:tcPr>
                  <w:tcW w:w="1498" w:type="pct"/>
                  <w:tcBorders>
                    <w:top w:val="single" w:color="auto" w:sz="4" w:space="0"/>
                    <w:bottom w:val="single" w:color="auto" w:sz="4" w:space="0"/>
                    <w:tl2br w:val="nil"/>
                    <w:tr2bl w:val="nil"/>
                  </w:tcBorders>
                  <w:shd w:val="clear" w:color="auto" w:fill="auto"/>
                  <w:noWrap w:val="0"/>
                  <w:vAlign w:val="center"/>
                </w:tcPr>
                <w:p w14:paraId="73A89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统一袋装收集后，</w:t>
                  </w:r>
                  <w:r>
                    <w:rPr>
                      <w:rFonts w:hint="default" w:ascii="Times New Roman" w:hAnsi="Times New Roman" w:cs="Times New Roman" w:eastAsiaTheme="minorEastAsia"/>
                      <w:color w:val="auto"/>
                      <w:sz w:val="21"/>
                      <w:szCs w:val="21"/>
                    </w:rPr>
                    <w:t>运至附近垃圾收集点</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eastAsia="zh-CN"/>
                    </w:rPr>
                    <w:t>由</w:t>
                  </w:r>
                  <w:r>
                    <w:rPr>
                      <w:rFonts w:hint="default" w:ascii="Times New Roman" w:hAnsi="Times New Roman" w:cs="Times New Roman" w:eastAsiaTheme="minorEastAsia"/>
                      <w:color w:val="auto"/>
                      <w:sz w:val="21"/>
                      <w:szCs w:val="21"/>
                      <w:lang w:val="en-US" w:eastAsia="zh-CN"/>
                    </w:rPr>
                    <w:t>当地</w:t>
                  </w:r>
                  <w:r>
                    <w:rPr>
                      <w:rFonts w:hint="default" w:ascii="Times New Roman" w:hAnsi="Times New Roman" w:cs="Times New Roman" w:eastAsiaTheme="minorEastAsia"/>
                      <w:color w:val="auto"/>
                      <w:sz w:val="21"/>
                      <w:szCs w:val="21"/>
                      <w:lang w:eastAsia="zh-CN"/>
                    </w:rPr>
                    <w:t>环卫部门统一清运</w:t>
                  </w:r>
                </w:p>
              </w:tc>
              <w:tc>
                <w:tcPr>
                  <w:tcW w:w="736" w:type="pct"/>
                  <w:tcBorders>
                    <w:tl2br w:val="nil"/>
                    <w:tr2bl w:val="nil"/>
                  </w:tcBorders>
                  <w:shd w:val="clear" w:color="auto" w:fill="auto"/>
                  <w:noWrap w:val="0"/>
                  <w:vAlign w:val="center"/>
                </w:tcPr>
                <w:p w14:paraId="5AF5E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b w:val="0"/>
                      <w:bCs w:val="0"/>
                      <w:color w:val="auto"/>
                      <w:sz w:val="21"/>
                      <w:szCs w:val="21"/>
                      <w:lang w:val="en-US" w:eastAsia="zh-CN"/>
                    </w:rPr>
                    <w:t>0.9</w:t>
                  </w:r>
                </w:p>
              </w:tc>
            </w:tr>
            <w:tr w14:paraId="3D08B8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6" w:hRule="atLeast"/>
                <w:jc w:val="center"/>
              </w:trPr>
              <w:tc>
                <w:tcPr>
                  <w:tcW w:w="563" w:type="pct"/>
                  <w:tcBorders>
                    <w:tl2br w:val="nil"/>
                    <w:tr2bl w:val="nil"/>
                  </w:tcBorders>
                  <w:noWrap w:val="0"/>
                  <w:vAlign w:val="center"/>
                </w:tcPr>
                <w:p w14:paraId="6F47C8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设备维修</w:t>
                  </w:r>
                </w:p>
              </w:tc>
              <w:tc>
                <w:tcPr>
                  <w:tcW w:w="735" w:type="pct"/>
                  <w:tcBorders>
                    <w:tl2br w:val="nil"/>
                    <w:tr2bl w:val="nil"/>
                  </w:tcBorders>
                  <w:noWrap w:val="0"/>
                  <w:vAlign w:val="center"/>
                </w:tcPr>
                <w:p w14:paraId="7763D8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废机油</w:t>
                  </w:r>
                </w:p>
              </w:tc>
              <w:tc>
                <w:tcPr>
                  <w:tcW w:w="990" w:type="pct"/>
                  <w:gridSpan w:val="3"/>
                  <w:tcBorders>
                    <w:top w:val="single" w:color="auto" w:sz="4" w:space="0"/>
                    <w:tl2br w:val="nil"/>
                    <w:tr2bl w:val="nil"/>
                  </w:tcBorders>
                  <w:noWrap w:val="0"/>
                  <w:vAlign w:val="center"/>
                </w:tcPr>
                <w:p w14:paraId="712E44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危险废物（</w:t>
                  </w:r>
                  <w:r>
                    <w:rPr>
                      <w:rFonts w:hint="default" w:ascii="Times New Roman" w:hAnsi="Times New Roman" w:cs="Times New Roman" w:eastAsiaTheme="minorEastAsia"/>
                      <w:b w:val="0"/>
                      <w:bCs w:val="0"/>
                      <w:color w:val="auto"/>
                      <w:sz w:val="21"/>
                      <w:szCs w:val="21"/>
                    </w:rPr>
                    <w:t>HW08</w:t>
                  </w:r>
                  <w:r>
                    <w:rPr>
                      <w:rFonts w:hint="default" w:ascii="Times New Roman" w:hAnsi="Times New Roman" w:cs="Times New Roman" w:eastAsiaTheme="minorEastAsia"/>
                      <w:b w:val="0"/>
                      <w:bCs w:val="0"/>
                      <w:color w:val="auto"/>
                      <w:sz w:val="21"/>
                      <w:szCs w:val="21"/>
                      <w:lang w:val="en-US"/>
                    </w:rPr>
                    <w:t xml:space="preserve"> 900-21</w:t>
                  </w:r>
                  <w:r>
                    <w:rPr>
                      <w:rFonts w:hint="default" w:ascii="Times New Roman" w:hAnsi="Times New Roman" w:cs="Times New Roman" w:eastAsiaTheme="minorEastAsia"/>
                      <w:b w:val="0"/>
                      <w:bCs w:val="0"/>
                      <w:color w:val="auto"/>
                      <w:sz w:val="21"/>
                      <w:szCs w:val="21"/>
                      <w:lang w:val="en-US" w:eastAsia="zh-CN"/>
                    </w:rPr>
                    <w:t>4</w:t>
                  </w:r>
                  <w:r>
                    <w:rPr>
                      <w:rFonts w:hint="default" w:ascii="Times New Roman" w:hAnsi="Times New Roman" w:cs="Times New Roman" w:eastAsiaTheme="minorEastAsia"/>
                      <w:b w:val="0"/>
                      <w:bCs w:val="0"/>
                      <w:color w:val="auto"/>
                      <w:sz w:val="21"/>
                      <w:szCs w:val="21"/>
                      <w:lang w:val="en-US"/>
                    </w:rPr>
                    <w:t>-08</w:t>
                  </w:r>
                  <w:r>
                    <w:rPr>
                      <w:rFonts w:hint="default" w:ascii="Times New Roman" w:hAnsi="Times New Roman" w:cs="Times New Roman" w:eastAsiaTheme="minorEastAsia"/>
                      <w:b w:val="0"/>
                      <w:bCs w:val="0"/>
                      <w:color w:val="auto"/>
                      <w:sz w:val="21"/>
                      <w:szCs w:val="21"/>
                      <w:lang w:val="en-US" w:eastAsia="zh-CN"/>
                    </w:rPr>
                    <w:t>）</w:t>
                  </w:r>
                </w:p>
              </w:tc>
              <w:tc>
                <w:tcPr>
                  <w:tcW w:w="476" w:type="pct"/>
                  <w:tcBorders>
                    <w:tl2br w:val="nil"/>
                    <w:tr2bl w:val="nil"/>
                  </w:tcBorders>
                  <w:noWrap w:val="0"/>
                  <w:vAlign w:val="center"/>
                </w:tcPr>
                <w:p w14:paraId="5AE4B3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w:t>
                  </w:r>
                </w:p>
              </w:tc>
              <w:tc>
                <w:tcPr>
                  <w:tcW w:w="1498" w:type="pct"/>
                  <w:vMerge w:val="restart"/>
                  <w:tcBorders>
                    <w:top w:val="single" w:color="auto" w:sz="4" w:space="0"/>
                    <w:bottom w:val="single" w:color="auto" w:sz="4" w:space="0"/>
                    <w:tl2br w:val="nil"/>
                    <w:tr2bl w:val="nil"/>
                  </w:tcBorders>
                  <w:noWrap w:val="0"/>
                  <w:vAlign w:val="center"/>
                </w:tcPr>
                <w:p w14:paraId="0300847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暂存于危废暂存间，委托</w:t>
                  </w:r>
                  <w:r>
                    <w:rPr>
                      <w:rFonts w:hint="default" w:ascii="Times New Roman" w:hAnsi="Times New Roman" w:cs="Times New Roman" w:eastAsiaTheme="minorEastAsia"/>
                      <w:color w:val="auto"/>
                      <w:sz w:val="21"/>
                      <w:szCs w:val="21"/>
                      <w:lang w:val="en-US" w:eastAsia="zh-CN"/>
                    </w:rPr>
                    <w:t>有资质的单位</w:t>
                  </w:r>
                  <w:r>
                    <w:rPr>
                      <w:rFonts w:hint="default" w:ascii="Times New Roman" w:hAnsi="Times New Roman" w:cs="Times New Roman" w:eastAsiaTheme="minorEastAsia"/>
                      <w:b w:val="0"/>
                      <w:bCs w:val="0"/>
                      <w:color w:val="auto"/>
                      <w:sz w:val="21"/>
                      <w:szCs w:val="21"/>
                      <w:lang w:val="en-US" w:eastAsia="zh-CN"/>
                    </w:rPr>
                    <w:t>进行处置</w:t>
                  </w:r>
                </w:p>
              </w:tc>
              <w:tc>
                <w:tcPr>
                  <w:tcW w:w="736" w:type="pct"/>
                  <w:tcBorders>
                    <w:tl2br w:val="nil"/>
                    <w:tr2bl w:val="nil"/>
                  </w:tcBorders>
                  <w:noWrap w:val="0"/>
                  <w:vAlign w:val="center"/>
                </w:tcPr>
                <w:p w14:paraId="022AE0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0.1</w:t>
                  </w:r>
                </w:p>
              </w:tc>
            </w:tr>
            <w:tr w14:paraId="1CD58B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6" w:hRule="atLeast"/>
                <w:jc w:val="center"/>
              </w:trPr>
              <w:tc>
                <w:tcPr>
                  <w:tcW w:w="563" w:type="pct"/>
                  <w:tcBorders>
                    <w:tl2br w:val="nil"/>
                    <w:tr2bl w:val="nil"/>
                  </w:tcBorders>
                  <w:noWrap w:val="0"/>
                  <w:vAlign w:val="center"/>
                </w:tcPr>
                <w:p w14:paraId="4BE8A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废气处置</w:t>
                  </w:r>
                </w:p>
              </w:tc>
              <w:tc>
                <w:tcPr>
                  <w:tcW w:w="735" w:type="pct"/>
                  <w:tcBorders>
                    <w:tl2br w:val="nil"/>
                    <w:tr2bl w:val="nil"/>
                  </w:tcBorders>
                  <w:noWrap w:val="0"/>
                  <w:vAlign w:val="center"/>
                </w:tcPr>
                <w:p w14:paraId="4C40E2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废活性炭</w:t>
                  </w:r>
                </w:p>
              </w:tc>
              <w:tc>
                <w:tcPr>
                  <w:tcW w:w="990" w:type="pct"/>
                  <w:gridSpan w:val="3"/>
                  <w:tcBorders>
                    <w:tl2br w:val="nil"/>
                    <w:tr2bl w:val="nil"/>
                  </w:tcBorders>
                  <w:noWrap w:val="0"/>
                  <w:vAlign w:val="center"/>
                </w:tcPr>
                <w:p w14:paraId="56DCDF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危险废物（HW49类 900-041-49）</w:t>
                  </w:r>
                </w:p>
              </w:tc>
              <w:tc>
                <w:tcPr>
                  <w:tcW w:w="476" w:type="pct"/>
                  <w:tcBorders>
                    <w:tl2br w:val="nil"/>
                    <w:tr2bl w:val="nil"/>
                  </w:tcBorders>
                  <w:noWrap w:val="0"/>
                  <w:vAlign w:val="center"/>
                </w:tcPr>
                <w:p w14:paraId="6CF65A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1.08</w:t>
                  </w:r>
                </w:p>
              </w:tc>
              <w:tc>
                <w:tcPr>
                  <w:tcW w:w="1498" w:type="pct"/>
                  <w:vMerge w:val="continue"/>
                  <w:tcBorders>
                    <w:top w:val="single" w:color="auto" w:sz="4" w:space="0"/>
                    <w:bottom w:val="single" w:color="auto" w:sz="4" w:space="0"/>
                    <w:tl2br w:val="nil"/>
                    <w:tr2bl w:val="nil"/>
                  </w:tcBorders>
                  <w:noWrap w:val="0"/>
                  <w:vAlign w:val="center"/>
                </w:tcPr>
                <w:p w14:paraId="33034B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p>
              </w:tc>
              <w:tc>
                <w:tcPr>
                  <w:tcW w:w="736" w:type="pct"/>
                  <w:tcBorders>
                    <w:tl2br w:val="nil"/>
                    <w:tr2bl w:val="nil"/>
                  </w:tcBorders>
                  <w:noWrap w:val="0"/>
                  <w:vAlign w:val="center"/>
                </w:tcPr>
                <w:p w14:paraId="08FB6E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1.08</w:t>
                  </w:r>
                </w:p>
              </w:tc>
            </w:tr>
            <w:tr w14:paraId="7AD28F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6" w:hRule="atLeast"/>
                <w:jc w:val="center"/>
              </w:trPr>
              <w:tc>
                <w:tcPr>
                  <w:tcW w:w="563" w:type="pct"/>
                  <w:tcBorders>
                    <w:tl2br w:val="nil"/>
                    <w:tr2bl w:val="nil"/>
                  </w:tcBorders>
                  <w:noWrap w:val="0"/>
                  <w:vAlign w:val="center"/>
                </w:tcPr>
                <w:p w14:paraId="2D697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设备维修</w:t>
                  </w:r>
                </w:p>
              </w:tc>
              <w:tc>
                <w:tcPr>
                  <w:tcW w:w="735" w:type="pct"/>
                  <w:tcBorders>
                    <w:tl2br w:val="nil"/>
                    <w:tr2bl w:val="nil"/>
                  </w:tcBorders>
                  <w:shd w:val="clear" w:color="auto" w:fill="auto"/>
                  <w:noWrap w:val="0"/>
                  <w:vAlign w:val="center"/>
                </w:tcPr>
                <w:p w14:paraId="21C304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含油废弃抹布和劳保用品</w:t>
                  </w:r>
                </w:p>
              </w:tc>
              <w:tc>
                <w:tcPr>
                  <w:tcW w:w="990" w:type="pct"/>
                  <w:gridSpan w:val="3"/>
                  <w:tcBorders>
                    <w:tl2br w:val="nil"/>
                    <w:tr2bl w:val="nil"/>
                  </w:tcBorders>
                  <w:shd w:val="clear" w:color="auto" w:fill="auto"/>
                  <w:noWrap w:val="0"/>
                  <w:vAlign w:val="center"/>
                </w:tcPr>
                <w:p w14:paraId="450115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eastAsia" w:cs="Times New Roman" w:eastAsiaTheme="minorEastAsia"/>
                      <w:b w:val="0"/>
                      <w:bCs w:val="0"/>
                      <w:color w:val="auto"/>
                      <w:sz w:val="21"/>
                      <w:szCs w:val="21"/>
                      <w:lang w:val="en-US" w:eastAsia="zh-CN"/>
                    </w:rPr>
                    <w:t>废物代码为</w:t>
                  </w:r>
                  <w:r>
                    <w:rPr>
                      <w:rFonts w:hint="eastAsia" w:cs="Times New Roman" w:eastAsiaTheme="minorEastAsia"/>
                      <w:b w:val="0"/>
                      <w:bCs w:val="0"/>
                      <w:color w:val="auto"/>
                      <w:sz w:val="24"/>
                      <w:szCs w:val="24"/>
                      <w:lang w:val="en-US" w:eastAsia="zh-CN"/>
                    </w:rPr>
                    <w:t>900-041-49</w:t>
                  </w:r>
                </w:p>
              </w:tc>
              <w:tc>
                <w:tcPr>
                  <w:tcW w:w="476" w:type="pct"/>
                  <w:tcBorders>
                    <w:tl2br w:val="nil"/>
                    <w:tr2bl w:val="nil"/>
                  </w:tcBorders>
                  <w:shd w:val="clear" w:color="auto" w:fill="auto"/>
                  <w:noWrap w:val="0"/>
                  <w:vAlign w:val="center"/>
                </w:tcPr>
                <w:p w14:paraId="27340E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lang w:val="en-US" w:eastAsia="zh-CN" w:bidi="ar-SA"/>
                    </w:rPr>
                  </w:pPr>
                  <w:r>
                    <w:rPr>
                      <w:rFonts w:hint="default" w:cs="Times New Roman" w:eastAsiaTheme="minorEastAsia"/>
                      <w:b w:val="0"/>
                      <w:bCs w:val="0"/>
                      <w:color w:val="auto"/>
                      <w:sz w:val="21"/>
                      <w:szCs w:val="21"/>
                      <w:lang w:val="en-US" w:eastAsia="zh-CN"/>
                    </w:rPr>
                    <w:t>少量</w:t>
                  </w:r>
                </w:p>
              </w:tc>
              <w:tc>
                <w:tcPr>
                  <w:tcW w:w="1498" w:type="pct"/>
                  <w:tcBorders>
                    <w:top w:val="single" w:color="auto" w:sz="4" w:space="0"/>
                    <w:bottom w:val="single" w:color="auto" w:sz="4" w:space="0"/>
                    <w:tl2br w:val="nil"/>
                    <w:tr2bl w:val="nil"/>
                  </w:tcBorders>
                  <w:noWrap w:val="0"/>
                  <w:vAlign w:val="center"/>
                </w:tcPr>
                <w:p w14:paraId="6DC423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属于危废豁免管理，可</w:t>
                  </w:r>
                  <w:r>
                    <w:rPr>
                      <w:rFonts w:hint="default" w:cs="Times New Roman" w:eastAsiaTheme="minorEastAsia"/>
                      <w:b w:val="0"/>
                      <w:bCs w:val="0"/>
                      <w:color w:val="auto"/>
                      <w:sz w:val="21"/>
                      <w:szCs w:val="21"/>
                      <w:lang w:val="en-US" w:eastAsia="zh-CN"/>
                    </w:rPr>
                    <w:t>并入生活垃圾一并处理</w:t>
                  </w:r>
                </w:p>
              </w:tc>
              <w:tc>
                <w:tcPr>
                  <w:tcW w:w="736" w:type="pct"/>
                  <w:tcBorders>
                    <w:tl2br w:val="nil"/>
                    <w:tr2bl w:val="nil"/>
                  </w:tcBorders>
                  <w:noWrap w:val="0"/>
                  <w:vAlign w:val="center"/>
                </w:tcPr>
                <w:p w14:paraId="11D19F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少量</w:t>
                  </w:r>
                </w:p>
              </w:tc>
            </w:tr>
          </w:tbl>
          <w:p w14:paraId="27DB746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2、一般工业固废处置要求</w:t>
            </w:r>
          </w:p>
          <w:p w14:paraId="10865A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厂区内应设置符合要求的一般固废暂存</w:t>
            </w:r>
            <w:r>
              <w:rPr>
                <w:rFonts w:hint="default" w:ascii="Times New Roman" w:hAnsi="Times New Roman" w:cs="Times New Roman" w:eastAsiaTheme="minorEastAsia"/>
                <w:color w:val="auto"/>
                <w:sz w:val="24"/>
                <w:szCs w:val="24"/>
                <w:lang w:val="en-US" w:eastAsia="zh-CN"/>
              </w:rPr>
              <w:t>区</w:t>
            </w:r>
            <w:r>
              <w:rPr>
                <w:rFonts w:hint="default" w:ascii="Times New Roman" w:hAnsi="Times New Roman" w:cs="Times New Roman" w:eastAsiaTheme="minorEastAsia"/>
                <w:color w:val="auto"/>
                <w:sz w:val="24"/>
                <w:szCs w:val="24"/>
                <w:lang w:eastAsia="zh-CN"/>
              </w:rPr>
              <w:t>，厂区内一般固废临时贮存应注意以下几点：</w:t>
            </w:r>
          </w:p>
          <w:p w14:paraId="4C7EFE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①本项目产生的一般固体废物集中收集于一般固废暂存处，一般固废暂存处需严格按照《一般工业固体废物贮存和填埋污染控制标准》（GB18599-2020）</w:t>
            </w:r>
            <w:r>
              <w:rPr>
                <w:rFonts w:hint="default" w:ascii="Times New Roman" w:hAnsi="Times New Roman" w:cs="Times New Roman" w:eastAsiaTheme="minorEastAsia"/>
                <w:color w:val="auto"/>
                <w:sz w:val="24"/>
                <w:szCs w:val="24"/>
                <w:lang w:val="en-US" w:eastAsia="zh-CN"/>
              </w:rPr>
              <w:t>的要求</w:t>
            </w:r>
            <w:r>
              <w:rPr>
                <w:rFonts w:hint="default" w:ascii="Times New Roman" w:hAnsi="Times New Roman" w:cs="Times New Roman" w:eastAsiaTheme="minorEastAsia"/>
                <w:color w:val="auto"/>
                <w:sz w:val="24"/>
                <w:szCs w:val="24"/>
                <w:lang w:eastAsia="zh-CN"/>
              </w:rPr>
              <w:t>建设，并满足相关规范要求。</w:t>
            </w:r>
          </w:p>
          <w:p w14:paraId="239C52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②贮存、处置场的设置必须与将要堆放的一般工业固体废物的类别相一致。</w:t>
            </w:r>
          </w:p>
          <w:p w14:paraId="38A500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③不得露天堆放，防止雨水进入产生二次污染。</w:t>
            </w:r>
          </w:p>
          <w:p w14:paraId="40DF44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④单位须对员工进行培训，加强安全及防止污染的意识，培训通过后方可上岗，对于固体废弃物的收集、运输要实施专人专职管理制度并建立好档案制度。应将入场的一般工业固体废物的种类和数量详细记录在案，长期保存，供随时查阅。</w:t>
            </w:r>
          </w:p>
          <w:p w14:paraId="4B5948D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综上，在做到以上固体废物防治措施后，本项目产生的固废均能得到合理有效的收集、存储和处置，其全过程不对外环境产生不良影响。</w:t>
            </w:r>
          </w:p>
          <w:p w14:paraId="6F3552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b w:val="0"/>
                <w:bCs/>
                <w:color w:val="auto"/>
                <w:sz w:val="24"/>
                <w:szCs w:val="24"/>
              </w:rPr>
            </w:pPr>
            <w:r>
              <w:rPr>
                <w:rFonts w:hint="default" w:ascii="Times New Roman" w:hAnsi="Times New Roman" w:cs="Times New Roman" w:eastAsiaTheme="minorEastAsia"/>
                <w:color w:val="auto"/>
                <w:sz w:val="24"/>
                <w:szCs w:val="24"/>
                <w:lang w:eastAsia="zh-CN"/>
              </w:rPr>
              <w:t>本项目一般固废堆放场的环境保护图形标志的具体要求见表4-</w:t>
            </w:r>
            <w:r>
              <w:rPr>
                <w:rFonts w:hint="eastAsia" w:cs="Times New Roman" w:eastAsiaTheme="minorEastAsia"/>
                <w:color w:val="auto"/>
                <w:sz w:val="24"/>
                <w:szCs w:val="24"/>
                <w:lang w:val="en-US" w:eastAsia="zh-CN"/>
              </w:rPr>
              <w:t>21</w:t>
            </w:r>
            <w:r>
              <w:rPr>
                <w:rFonts w:hint="default" w:ascii="Times New Roman" w:hAnsi="Times New Roman" w:cs="Times New Roman" w:eastAsiaTheme="minorEastAsia"/>
                <w:color w:val="auto"/>
                <w:sz w:val="24"/>
                <w:szCs w:val="24"/>
                <w:lang w:eastAsia="zh-CN"/>
              </w:rPr>
              <w:t>。</w:t>
            </w:r>
          </w:p>
          <w:p w14:paraId="304EB5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表4-</w:t>
            </w:r>
            <w:r>
              <w:rPr>
                <w:rFonts w:hint="eastAsia" w:cs="Times New Roman"/>
                <w:b/>
                <w:color w:val="auto"/>
                <w:kern w:val="2"/>
                <w:sz w:val="24"/>
                <w:szCs w:val="24"/>
                <w:lang w:val="en-US" w:eastAsia="zh-CN" w:bidi="ar-SA"/>
              </w:rPr>
              <w:t xml:space="preserve">21  </w:t>
            </w:r>
            <w:r>
              <w:rPr>
                <w:rFonts w:hint="eastAsia" w:ascii="Times New Roman" w:hAnsi="Times New Roman" w:eastAsia="宋体" w:cs="Times New Roman"/>
                <w:b/>
                <w:color w:val="auto"/>
                <w:kern w:val="2"/>
                <w:sz w:val="24"/>
                <w:szCs w:val="24"/>
                <w:lang w:val="en-US" w:eastAsia="zh-CN" w:bidi="ar-SA"/>
              </w:rPr>
              <w:t>固废堆放场的环境保护图形标志</w:t>
            </w:r>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796"/>
              <w:gridCol w:w="1066"/>
              <w:gridCol w:w="977"/>
              <w:gridCol w:w="1467"/>
              <w:gridCol w:w="1215"/>
              <w:gridCol w:w="2302"/>
            </w:tblGrid>
            <w:tr w14:paraId="55A08D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463" w:hRule="atLeast"/>
                <w:jc w:val="center"/>
              </w:trPr>
              <w:tc>
                <w:tcPr>
                  <w:tcW w:w="509" w:type="pct"/>
                  <w:tcBorders>
                    <w:tl2br w:val="nil"/>
                    <w:tr2bl w:val="nil"/>
                  </w:tcBorders>
                  <w:noWrap w:val="0"/>
                  <w:vAlign w:val="center"/>
                </w:tcPr>
                <w:p w14:paraId="4D4E3A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排放口名称</w:t>
                  </w:r>
                </w:p>
              </w:tc>
              <w:tc>
                <w:tcPr>
                  <w:tcW w:w="681" w:type="pct"/>
                  <w:tcBorders>
                    <w:tl2br w:val="nil"/>
                    <w:tr2bl w:val="nil"/>
                  </w:tcBorders>
                  <w:noWrap w:val="0"/>
                  <w:vAlign w:val="center"/>
                </w:tcPr>
                <w:p w14:paraId="146A43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图形标志</w:t>
                  </w:r>
                </w:p>
              </w:tc>
              <w:tc>
                <w:tcPr>
                  <w:tcW w:w="624" w:type="pct"/>
                  <w:tcBorders>
                    <w:tl2br w:val="nil"/>
                    <w:tr2bl w:val="nil"/>
                  </w:tcBorders>
                  <w:noWrap w:val="0"/>
                  <w:vAlign w:val="center"/>
                </w:tcPr>
                <w:p w14:paraId="25850B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形状</w:t>
                  </w:r>
                </w:p>
              </w:tc>
              <w:tc>
                <w:tcPr>
                  <w:tcW w:w="937" w:type="pct"/>
                  <w:tcBorders>
                    <w:tl2br w:val="nil"/>
                    <w:tr2bl w:val="nil"/>
                  </w:tcBorders>
                  <w:noWrap w:val="0"/>
                  <w:vAlign w:val="center"/>
                </w:tcPr>
                <w:p w14:paraId="10B088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背景颜色</w:t>
                  </w:r>
                </w:p>
              </w:tc>
              <w:tc>
                <w:tcPr>
                  <w:tcW w:w="776" w:type="pct"/>
                  <w:tcBorders>
                    <w:tl2br w:val="nil"/>
                    <w:tr2bl w:val="nil"/>
                  </w:tcBorders>
                  <w:noWrap w:val="0"/>
                  <w:vAlign w:val="center"/>
                </w:tcPr>
                <w:p w14:paraId="04B22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图形颜色</w:t>
                  </w:r>
                </w:p>
              </w:tc>
              <w:tc>
                <w:tcPr>
                  <w:tcW w:w="1471" w:type="pct"/>
                  <w:tcBorders>
                    <w:tl2br w:val="nil"/>
                    <w:tr2bl w:val="nil"/>
                  </w:tcBorders>
                  <w:noWrap w:val="0"/>
                  <w:vAlign w:val="center"/>
                </w:tcPr>
                <w:p w14:paraId="36DA45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提示图形符号</w:t>
                  </w:r>
                </w:p>
              </w:tc>
            </w:tr>
            <w:tr w14:paraId="7D7AA9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2435" w:hRule="atLeast"/>
                <w:jc w:val="center"/>
              </w:trPr>
              <w:tc>
                <w:tcPr>
                  <w:tcW w:w="509" w:type="pct"/>
                  <w:tcBorders>
                    <w:tl2br w:val="nil"/>
                    <w:tr2bl w:val="nil"/>
                  </w:tcBorders>
                  <w:noWrap w:val="0"/>
                  <w:vAlign w:val="center"/>
                </w:tcPr>
                <w:p w14:paraId="0B8FE9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一般固废</w:t>
                  </w:r>
                  <w:r>
                    <w:rPr>
                      <w:rFonts w:hint="eastAsia" w:ascii="宋体" w:hAnsi="宋体" w:cs="宋体"/>
                      <w:color w:val="auto"/>
                      <w:sz w:val="21"/>
                      <w:szCs w:val="21"/>
                      <w:lang w:val="en-US" w:eastAsia="zh-CN"/>
                    </w:rPr>
                    <w:t>暂存区</w:t>
                  </w:r>
                </w:p>
              </w:tc>
              <w:tc>
                <w:tcPr>
                  <w:tcW w:w="681" w:type="pct"/>
                  <w:tcBorders>
                    <w:tl2br w:val="nil"/>
                    <w:tr2bl w:val="nil"/>
                  </w:tcBorders>
                  <w:noWrap w:val="0"/>
                  <w:vAlign w:val="center"/>
                </w:tcPr>
                <w:p w14:paraId="6772E9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提示标志</w:t>
                  </w:r>
                </w:p>
              </w:tc>
              <w:tc>
                <w:tcPr>
                  <w:tcW w:w="624" w:type="pct"/>
                  <w:tcBorders>
                    <w:tl2br w:val="nil"/>
                    <w:tr2bl w:val="nil"/>
                  </w:tcBorders>
                  <w:noWrap w:val="0"/>
                  <w:vAlign w:val="center"/>
                </w:tcPr>
                <w:p w14:paraId="630F2F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正方形边框</w:t>
                  </w:r>
                </w:p>
              </w:tc>
              <w:tc>
                <w:tcPr>
                  <w:tcW w:w="937" w:type="pct"/>
                  <w:tcBorders>
                    <w:tl2br w:val="nil"/>
                    <w:tr2bl w:val="nil"/>
                  </w:tcBorders>
                  <w:noWrap w:val="0"/>
                  <w:vAlign w:val="center"/>
                </w:tcPr>
                <w:p w14:paraId="3B472B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绿色</w:t>
                  </w:r>
                </w:p>
              </w:tc>
              <w:tc>
                <w:tcPr>
                  <w:tcW w:w="776" w:type="pct"/>
                  <w:tcBorders>
                    <w:tl2br w:val="nil"/>
                    <w:tr2bl w:val="nil"/>
                  </w:tcBorders>
                  <w:noWrap w:val="0"/>
                  <w:vAlign w:val="center"/>
                </w:tcPr>
                <w:p w14:paraId="70F35D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白色</w:t>
                  </w:r>
                </w:p>
              </w:tc>
              <w:tc>
                <w:tcPr>
                  <w:tcW w:w="1471" w:type="pct"/>
                  <w:tcBorders>
                    <w:tl2br w:val="nil"/>
                    <w:tr2bl w:val="nil"/>
                  </w:tcBorders>
                  <w:noWrap w:val="0"/>
                  <w:vAlign w:val="center"/>
                </w:tcPr>
                <w:p w14:paraId="0DD1F1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drawing>
                      <wp:anchor distT="0" distB="0" distL="114300" distR="114300" simplePos="0" relativeHeight="251660288" behindDoc="0" locked="0" layoutInCell="1" allowOverlap="1">
                        <wp:simplePos x="0" y="0"/>
                        <wp:positionH relativeFrom="column">
                          <wp:posOffset>44450</wp:posOffset>
                        </wp:positionH>
                        <wp:positionV relativeFrom="paragraph">
                          <wp:posOffset>38100</wp:posOffset>
                        </wp:positionV>
                        <wp:extent cx="1402080" cy="1472565"/>
                        <wp:effectExtent l="0" t="0" r="7620" b="13335"/>
                        <wp:wrapNone/>
                        <wp:docPr id="9" name="图片 50" descr="1651818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1651818348(1)"/>
                                <pic:cNvPicPr>
                                  <a:picLocks noChangeAspect="1"/>
                                </pic:cNvPicPr>
                              </pic:nvPicPr>
                              <pic:blipFill>
                                <a:blip r:embed="rId53"/>
                                <a:stretch>
                                  <a:fillRect/>
                                </a:stretch>
                              </pic:blipFill>
                              <pic:spPr>
                                <a:xfrm>
                                  <a:off x="0" y="0"/>
                                  <a:ext cx="1402080" cy="1472565"/>
                                </a:xfrm>
                                <a:prstGeom prst="rect">
                                  <a:avLst/>
                                </a:prstGeom>
                                <a:noFill/>
                                <a:ln>
                                  <a:noFill/>
                                </a:ln>
                              </pic:spPr>
                            </pic:pic>
                          </a:graphicData>
                        </a:graphic>
                      </wp:anchor>
                    </w:drawing>
                  </w:r>
                </w:p>
              </w:tc>
            </w:tr>
          </w:tbl>
          <w:p w14:paraId="5F6C42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经采取以上固体废物污染防治措施后，本项目所产生的固废均可得到有效处置，不会引起环境卫生和</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eastAsia="zh-CN"/>
              </w:rPr>
              <w:t>二次污染</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eastAsia="zh-CN"/>
              </w:rPr>
              <w:t>的问题，对周围环境基本无影响。</w:t>
            </w:r>
          </w:p>
          <w:p w14:paraId="7376AB3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3、危险废物处置要求</w:t>
            </w:r>
          </w:p>
          <w:p w14:paraId="2E51F91A">
            <w:pPr>
              <w:pStyle w:val="10"/>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rPr>
              <w:t>本项目</w:t>
            </w:r>
            <w:r>
              <w:rPr>
                <w:rFonts w:hint="default" w:ascii="Times New Roman" w:hAnsi="Times New Roman" w:cs="Times New Roman" w:eastAsiaTheme="minorEastAsia"/>
                <w:color w:val="auto"/>
                <w:sz w:val="24"/>
                <w:szCs w:val="24"/>
                <w:lang w:val="en-US" w:eastAsia="zh-CN"/>
              </w:rPr>
              <w:t>拟</w:t>
            </w:r>
            <w:r>
              <w:rPr>
                <w:rFonts w:hint="default" w:ascii="Times New Roman" w:hAnsi="Times New Roman" w:cs="Times New Roman" w:eastAsiaTheme="minorEastAsia"/>
                <w:color w:val="auto"/>
                <w:sz w:val="24"/>
                <w:szCs w:val="24"/>
                <w:lang w:val="en-US"/>
              </w:rPr>
              <w:t>建设1间危废暂存间，并</w:t>
            </w:r>
            <w:r>
              <w:rPr>
                <w:rFonts w:hint="default" w:ascii="Times New Roman" w:hAnsi="Times New Roman" w:cs="Times New Roman" w:eastAsiaTheme="minorEastAsia"/>
                <w:color w:val="auto"/>
                <w:sz w:val="24"/>
                <w:szCs w:val="24"/>
              </w:rPr>
              <w:t>严格按照《危险废物贮存污染控制标准》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GB</w:t>
            </w:r>
            <w:r>
              <w:rPr>
                <w:rFonts w:hint="default" w:ascii="Times New Roman" w:hAnsi="Times New Roman" w:cs="Times New Roman" w:eastAsiaTheme="minorEastAsia"/>
                <w:color w:val="auto"/>
                <w:sz w:val="24"/>
                <w:szCs w:val="24"/>
                <w:lang w:val="en-US"/>
              </w:rPr>
              <w:t xml:space="preserve"> </w:t>
            </w:r>
            <w:r>
              <w:rPr>
                <w:rFonts w:hint="default" w:ascii="Times New Roman" w:hAnsi="Times New Roman" w:cs="Times New Roman" w:eastAsiaTheme="minorEastAsia"/>
                <w:color w:val="auto"/>
                <w:sz w:val="24"/>
                <w:szCs w:val="24"/>
              </w:rPr>
              <w:t>18597-20</w:t>
            </w:r>
            <w:r>
              <w:rPr>
                <w:rFonts w:hint="default" w:ascii="Times New Roman" w:hAnsi="Times New Roman" w:cs="Times New Roman" w:eastAsiaTheme="minorEastAsia"/>
                <w:color w:val="auto"/>
                <w:sz w:val="24"/>
                <w:szCs w:val="24"/>
                <w:lang w:val="en-US"/>
              </w:rPr>
              <w:t>23</w:t>
            </w:r>
            <w:r>
              <w:rPr>
                <w:rFonts w:hint="default" w:ascii="Times New Roman" w:hAnsi="Times New Roman" w:cs="Times New Roman" w:eastAsiaTheme="minorEastAsia"/>
                <w:color w:val="auto"/>
                <w:sz w:val="24"/>
                <w:szCs w:val="24"/>
              </w:rPr>
              <w:t>）的要求做好</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四防</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措施（防风、防雨、防晒、防渗漏），具备完善的防渗措施和渗漏收集措施，同时按照《环境保护图形标志》(GB</w:t>
            </w:r>
            <w:r>
              <w:rPr>
                <w:rFonts w:hint="default" w:ascii="Times New Roman" w:hAnsi="Times New Roman" w:cs="Times New Roman" w:eastAsiaTheme="minorEastAsia"/>
                <w:color w:val="auto"/>
                <w:sz w:val="24"/>
                <w:szCs w:val="24"/>
                <w:lang w:val="en-US"/>
              </w:rPr>
              <w:t xml:space="preserve"> </w:t>
            </w:r>
            <w:r>
              <w:rPr>
                <w:rFonts w:hint="default" w:ascii="Times New Roman" w:hAnsi="Times New Roman" w:cs="Times New Roman" w:eastAsiaTheme="minorEastAsia"/>
                <w:color w:val="auto"/>
                <w:sz w:val="24"/>
                <w:szCs w:val="24"/>
              </w:rPr>
              <w:t>15562</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-1995）</w:t>
            </w:r>
            <w:r>
              <w:rPr>
                <w:rFonts w:hint="default" w:ascii="Times New Roman" w:hAnsi="Times New Roman" w:cs="Times New Roman" w:eastAsiaTheme="minorEastAsia"/>
                <w:color w:val="auto"/>
                <w:sz w:val="24"/>
                <w:szCs w:val="24"/>
                <w:lang w:val="en-US" w:eastAsia="zh-CN"/>
              </w:rPr>
              <w:t>及修改单</w:t>
            </w:r>
            <w:r>
              <w:rPr>
                <w:rFonts w:hint="default" w:ascii="Times New Roman" w:hAnsi="Times New Roman" w:cs="Times New Roman" w:eastAsiaTheme="minorEastAsia"/>
                <w:color w:val="auto"/>
                <w:sz w:val="24"/>
                <w:szCs w:val="24"/>
              </w:rPr>
              <w:t>的规定设置警示标志，周围设置围墙和其他防护栅栏；配备通讯设备、照明设施、安全防护服装及工具，并设有应急防护设施等。另外，本环评对危废暂存、转移和处置提出如下措施：</w:t>
            </w:r>
          </w:p>
          <w:p w14:paraId="18B93D7C">
            <w:pPr>
              <w:pStyle w:val="10"/>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遵守危险废物申报登记制度，建立并严格落实危险废物管理台账制度，转移过程应遵从《</w:t>
            </w:r>
            <w:r>
              <w:rPr>
                <w:rFonts w:hint="default" w:ascii="Times New Roman" w:hAnsi="Times New Roman" w:cs="Times New Roman" w:eastAsiaTheme="minorEastAsia"/>
                <w:color w:val="auto"/>
                <w:sz w:val="24"/>
                <w:szCs w:val="24"/>
                <w:lang w:eastAsia="zh-CN"/>
              </w:rPr>
              <w:t>危险废物转移管理办法</w:t>
            </w:r>
            <w:r>
              <w:rPr>
                <w:rFonts w:hint="default" w:ascii="Times New Roman" w:hAnsi="Times New Roman" w:cs="Times New Roman" w:eastAsiaTheme="minorEastAsia"/>
                <w:color w:val="auto"/>
                <w:sz w:val="24"/>
                <w:szCs w:val="24"/>
              </w:rPr>
              <w:t>》及其他有关规定的要求，办理转移联单，危废接收单位应持有危废处置的资质，确保该类废物的有效处置，避免二次污染产生。</w:t>
            </w:r>
          </w:p>
          <w:p w14:paraId="55BA347F">
            <w:pPr>
              <w:pStyle w:val="10"/>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危险废物产生者和危险废物贮存设施经营者均须做好危险废物情况的记录，记录上须注明危险废物的名称、来源、数量、特性和包装容器的类别、入库日期、存放库位、废物出库日期及接收单位名称。危险废物的记录和货单在危险废物回取后应继续保留</w:t>
            </w:r>
            <w:r>
              <w:rPr>
                <w:rFonts w:hint="default" w:ascii="Times New Roman" w:hAnsi="Times New Roman" w:cs="Times New Roman" w:eastAsiaTheme="minorEastAsia"/>
                <w:color w:val="auto"/>
                <w:sz w:val="24"/>
                <w:szCs w:val="24"/>
                <w:lang w:val="en-US" w:eastAsia="zh-CN"/>
              </w:rPr>
              <w:t>五</w:t>
            </w:r>
            <w:r>
              <w:rPr>
                <w:rFonts w:hint="default" w:ascii="Times New Roman" w:hAnsi="Times New Roman" w:cs="Times New Roman" w:eastAsiaTheme="minorEastAsia"/>
                <w:color w:val="auto"/>
                <w:sz w:val="24"/>
                <w:szCs w:val="24"/>
              </w:rPr>
              <w:t>年。设置专职管理人员进行规范化管理。</w:t>
            </w:r>
          </w:p>
          <w:p w14:paraId="6018690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lang w:val="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zh-CN"/>
              </w:rPr>
              <w:t>严格按照</w:t>
            </w:r>
            <w:r>
              <w:rPr>
                <w:rFonts w:hint="default" w:ascii="Times New Roman" w:hAnsi="Times New Roman" w:cs="Times New Roman" w:eastAsiaTheme="minorEastAsia"/>
                <w:color w:val="auto"/>
                <w:sz w:val="24"/>
                <w:szCs w:val="24"/>
              </w:rPr>
              <w:t>《危险废物贮存污染控制标准》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GB 18597-2023）</w:t>
            </w:r>
            <w:r>
              <w:rPr>
                <w:rFonts w:hint="default" w:ascii="Times New Roman" w:hAnsi="Times New Roman" w:cs="Times New Roman" w:eastAsiaTheme="minorEastAsia"/>
                <w:color w:val="auto"/>
                <w:sz w:val="24"/>
                <w:szCs w:val="24"/>
                <w:lang w:val="zh-CN"/>
              </w:rPr>
              <w:t>中的要求建设危废暂存</w:t>
            </w:r>
            <w:r>
              <w:rPr>
                <w:rFonts w:hint="default" w:ascii="Times New Roman" w:hAnsi="Times New Roman" w:cs="Times New Roman" w:eastAsiaTheme="minorEastAsia"/>
                <w:color w:val="auto"/>
                <w:sz w:val="24"/>
                <w:szCs w:val="24"/>
              </w:rPr>
              <w:t>间</w:t>
            </w:r>
            <w:r>
              <w:rPr>
                <w:rFonts w:hint="default" w:ascii="Times New Roman" w:hAnsi="Times New Roman" w:cs="Times New Roman" w:eastAsiaTheme="minorEastAsia"/>
                <w:color w:val="auto"/>
                <w:sz w:val="24"/>
                <w:szCs w:val="24"/>
                <w:lang w:val="zh-CN"/>
              </w:rPr>
              <w:t>，严格落实《报告</w:t>
            </w:r>
            <w:r>
              <w:rPr>
                <w:rFonts w:hint="default" w:ascii="Times New Roman" w:hAnsi="Times New Roman" w:cs="Times New Roman" w:eastAsiaTheme="minorEastAsia"/>
                <w:color w:val="auto"/>
                <w:sz w:val="24"/>
                <w:szCs w:val="24"/>
                <w:lang w:val="en-US" w:eastAsia="zh-CN"/>
              </w:rPr>
              <w:t>表</w:t>
            </w:r>
            <w:r>
              <w:rPr>
                <w:rFonts w:hint="default" w:ascii="Times New Roman" w:hAnsi="Times New Roman" w:cs="Times New Roman" w:eastAsiaTheme="minorEastAsia"/>
                <w:color w:val="auto"/>
                <w:sz w:val="24"/>
                <w:szCs w:val="24"/>
                <w:lang w:val="zh-CN"/>
              </w:rPr>
              <w:t>》要求的防渗措施、健全管理制度的条件下，对外环境产生影响可控。</w:t>
            </w:r>
          </w:p>
          <w:p w14:paraId="5524DA61">
            <w:pPr>
              <w:keepNext w:val="0"/>
              <w:keepLines/>
              <w:pageBreakBefore w:val="0"/>
              <w:widowControl/>
              <w:suppressLineNumbers w:val="0"/>
              <w:kinsoku/>
              <w:wordWrap/>
              <w:overflowPunct/>
              <w:topLinePunct w:val="0"/>
              <w:autoSpaceDE/>
              <w:autoSpaceDN/>
              <w:bidi w:val="0"/>
              <w:adjustRightInd/>
              <w:snapToGrid/>
              <w:ind w:firstLine="480" w:firstLineChars="200"/>
              <w:jc w:val="left"/>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4</w:t>
            </w:r>
            <w:r>
              <w:rPr>
                <w:rFonts w:hint="default" w:ascii="Times New Roman" w:hAnsi="Times New Roman" w:cs="Times New Roman" w:eastAsiaTheme="minorEastAsia"/>
                <w:color w:val="auto"/>
                <w:sz w:val="24"/>
                <w:lang w:eastAsia="zh-CN"/>
              </w:rPr>
              <w:t>）危险废物</w:t>
            </w:r>
            <w:r>
              <w:rPr>
                <w:rFonts w:hint="default" w:ascii="Times New Roman" w:hAnsi="Times New Roman" w:cs="Times New Roman" w:eastAsiaTheme="minorEastAsia"/>
                <w:color w:val="auto"/>
                <w:sz w:val="24"/>
              </w:rPr>
              <w:t>贮存设施地面与裙脚应采取表面防渗措施</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表面防渗材料应与所接触的物料或污染物相容，可采用抗渗混凝土、高密度聚乙烯膜、钠基膨润土防水毯或其他防渗性能等效的材料。贮存的危险废物直接接触地面的，还应进行基础防渗，防渗层为至少1 m厚黏土层</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渗透系数不大于10</w:t>
            </w:r>
            <w:r>
              <w:rPr>
                <w:rFonts w:hint="default" w:ascii="Times New Roman" w:hAnsi="Times New Roman" w:cs="Times New Roman" w:eastAsiaTheme="minorEastAsia"/>
                <w:color w:val="auto"/>
                <w:sz w:val="24"/>
                <w:vertAlign w:val="superscript"/>
              </w:rPr>
              <w:t>-7</w:t>
            </w:r>
            <w:r>
              <w:rPr>
                <w:rFonts w:hint="default" w:ascii="Times New Roman" w:hAnsi="Times New Roman" w:cs="Times New Roman" w:eastAsiaTheme="minorEastAsia"/>
                <w:color w:val="auto"/>
                <w:sz w:val="24"/>
              </w:rPr>
              <w:t>cm/s</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，或至少2 mm厚高密度聚乙烯膜等人工防渗材料</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渗透系数不大于10</w:t>
            </w:r>
            <w:r>
              <w:rPr>
                <w:rFonts w:hint="default" w:ascii="Times New Roman" w:hAnsi="Times New Roman" w:cs="Times New Roman" w:eastAsiaTheme="minorEastAsia"/>
                <w:color w:val="auto"/>
                <w:sz w:val="24"/>
                <w:vertAlign w:val="superscript"/>
                <w:lang w:val="en-US" w:eastAsia="zh-CN"/>
              </w:rPr>
              <w:t>-10</w:t>
            </w:r>
            <w:r>
              <w:rPr>
                <w:rFonts w:hint="default" w:ascii="Times New Roman" w:hAnsi="Times New Roman" w:cs="Times New Roman" w:eastAsiaTheme="minorEastAsia"/>
                <w:color w:val="auto"/>
                <w:sz w:val="24"/>
              </w:rPr>
              <w:t>cm/s</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，或其他防渗性能等效的材料。</w:t>
            </w:r>
          </w:p>
          <w:p w14:paraId="626F526F">
            <w:pPr>
              <w:keepNext w:val="0"/>
              <w:keepLines/>
              <w:pageBreakBefore w:val="0"/>
              <w:widowControl/>
              <w:suppressLineNumbers w:val="0"/>
              <w:kinsoku/>
              <w:wordWrap/>
              <w:overflowPunct/>
              <w:topLinePunct w:val="0"/>
              <w:autoSpaceDE/>
              <w:autoSpaceDN/>
              <w:bidi w:val="0"/>
              <w:adjustRightInd/>
              <w:snapToGrid/>
              <w:ind w:firstLine="480" w:firstLineChars="200"/>
              <w:jc w:val="left"/>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5</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按照危险废物特性分类进行收集、贮存。不同种类的危险废物分开存放，有明显间隔，摆放整齐划一，每一类危险废物单独设置标识牌，不存放除危险废物和应急工具以外的物品。</w:t>
            </w:r>
          </w:p>
          <w:p w14:paraId="012E887C">
            <w:pPr>
              <w:keepNext w:val="0"/>
              <w:keepLines/>
              <w:pageBreakBefore w:val="0"/>
              <w:widowControl/>
              <w:suppressLineNumbers w:val="0"/>
              <w:kinsoku/>
              <w:wordWrap/>
              <w:overflowPunct/>
              <w:topLinePunct w:val="0"/>
              <w:autoSpaceDE/>
              <w:autoSpaceDN/>
              <w:bidi w:val="0"/>
              <w:adjustRightInd/>
              <w:snapToGrid/>
              <w:ind w:firstLine="480" w:firstLineChars="200"/>
              <w:jc w:val="left"/>
              <w:textAlignment w:val="auto"/>
              <w:outlineLvl w:val="9"/>
              <w:rPr>
                <w:rFonts w:hint="default" w:ascii="Times New Roman" w:hAnsi="Times New Roman" w:cs="Times New Roman" w:eastAsiaTheme="minorEastAsia"/>
                <w:color w:val="auto"/>
                <w:lang w:eastAsia="zh-CN"/>
              </w:rPr>
            </w:pPr>
            <w:r>
              <w:rPr>
                <w:rFonts w:hint="default" w:ascii="Times New Roman" w:hAnsi="Times New Roman" w:cs="Times New Roman" w:eastAsiaTheme="minorEastAsia"/>
                <w:color w:val="auto"/>
                <w:sz w:val="24"/>
                <w:lang w:val="en-US" w:eastAsia="zh-CN"/>
              </w:rPr>
              <w:t>（6）</w:t>
            </w:r>
            <w:r>
              <w:rPr>
                <w:rFonts w:hint="default" w:ascii="Times New Roman" w:hAnsi="Times New Roman" w:cs="Times New Roman" w:eastAsiaTheme="minorEastAsia"/>
                <w:color w:val="auto"/>
                <w:kern w:val="0"/>
                <w:sz w:val="24"/>
                <w:szCs w:val="24"/>
                <w:lang w:val="en-US" w:eastAsia="zh-CN" w:bidi="ar"/>
              </w:rPr>
              <w:t>对危险废物的容器或包装物以及收集、贮存、运输、处置危险废物的设施、场所，必须设置危险废物识别标志。</w:t>
            </w:r>
            <w:r>
              <w:rPr>
                <w:rFonts w:hint="default" w:ascii="Times New Roman" w:hAnsi="Times New Roman" w:cs="Times New Roman" w:eastAsiaTheme="minorEastAsia"/>
                <w:color w:val="auto"/>
                <w:sz w:val="24"/>
                <w:szCs w:val="24"/>
              </w:rPr>
              <w:t>盛装危险废物的容器上必须粘贴符合</w:t>
            </w:r>
            <w:r>
              <w:rPr>
                <w:rFonts w:hint="default" w:ascii="Times New Roman" w:hAnsi="Times New Roman" w:cs="Times New Roman" w:eastAsiaTheme="minorEastAsia"/>
                <w:color w:val="auto"/>
                <w:sz w:val="24"/>
              </w:rPr>
              <w:t>《危险废物贮存污染控制标准》（GB 18597-</w:t>
            </w:r>
            <w:r>
              <w:rPr>
                <w:rFonts w:hint="default" w:ascii="Times New Roman" w:hAnsi="Times New Roman" w:cs="Times New Roman" w:eastAsiaTheme="minorEastAsia"/>
                <w:color w:val="auto"/>
                <w:sz w:val="24"/>
                <w:lang w:val="en-US" w:eastAsia="zh-CN"/>
              </w:rPr>
              <w:t>2023</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eastAsia="zh-CN"/>
              </w:rPr>
              <w:t>相关</w:t>
            </w:r>
            <w:r>
              <w:rPr>
                <w:rFonts w:hint="default" w:ascii="Times New Roman" w:hAnsi="Times New Roman" w:cs="Times New Roman" w:eastAsiaTheme="minorEastAsia"/>
                <w:color w:val="auto"/>
                <w:sz w:val="24"/>
                <w:szCs w:val="24"/>
                <w:lang w:bidi="ar"/>
              </w:rPr>
              <w:t>要求</w:t>
            </w:r>
            <w:r>
              <w:rPr>
                <w:rFonts w:hint="default" w:ascii="Times New Roman" w:hAnsi="Times New Roman" w:cs="Times New Roman" w:eastAsiaTheme="minorEastAsia"/>
                <w:color w:val="auto"/>
                <w:sz w:val="24"/>
                <w:szCs w:val="24"/>
                <w:lang w:eastAsia="zh-CN"/>
              </w:rPr>
              <w:t>。</w:t>
            </w:r>
          </w:p>
          <w:p w14:paraId="38DF8823">
            <w:pPr>
              <w:keepNext w:val="0"/>
              <w:pageBreakBefore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（7）</w:t>
            </w:r>
            <w:r>
              <w:rPr>
                <w:rFonts w:hint="default" w:ascii="Times New Roman" w:hAnsi="Times New Roman" w:cs="Times New Roman" w:eastAsiaTheme="minorEastAsia"/>
                <w:color w:val="auto"/>
                <w:sz w:val="24"/>
                <w:szCs w:val="24"/>
              </w:rPr>
              <w:t>定期对所贮存的危险废物包装容器及贮存设施进行检查，发现破损，应及时采取措施清理更换。</w:t>
            </w:r>
          </w:p>
          <w:p w14:paraId="60AEFC02">
            <w:pPr>
              <w:pStyle w:val="19"/>
              <w:keepNext w:val="0"/>
              <w:keepLines/>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val="en-US" w:eastAsia="zh-CN"/>
              </w:rPr>
              <w:t>（8）</w:t>
            </w:r>
            <w:r>
              <w:rPr>
                <w:rFonts w:hint="default" w:ascii="Times New Roman" w:hAnsi="Times New Roman" w:cs="Times New Roman" w:eastAsiaTheme="minorEastAsia"/>
                <w:color w:val="auto"/>
                <w:sz w:val="24"/>
              </w:rPr>
              <w:t>建设单位应结合自身实际生产情况，如实记载危险废物的种类、产生量、流向、贮存、利用处置等信息，定期汇总，并分类装订成册，由专人管理，防止遗失。可通过</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rPr>
              <w:t>固体废物管理信息平台</w:t>
            </w:r>
            <w:r>
              <w:rPr>
                <w:rFonts w:hint="eastAsia" w:cs="Times New Roman" w:eastAsiaTheme="minorEastAsia"/>
                <w:color w:val="auto"/>
                <w:sz w:val="24"/>
                <w:lang w:eastAsia="zh-CN"/>
              </w:rPr>
              <w:t>”</w:t>
            </w:r>
            <w:r>
              <w:rPr>
                <w:rFonts w:hint="default" w:ascii="Times New Roman" w:hAnsi="Times New Roman" w:cs="Times New Roman" w:eastAsiaTheme="minorEastAsia"/>
                <w:color w:val="auto"/>
                <w:sz w:val="24"/>
              </w:rPr>
              <w:t>对危险废物管理台账进行信息化管理。具体要求详见《危险废物产生单位建立台账的要求》，一般工业固体废物参照执行。</w:t>
            </w:r>
          </w:p>
          <w:p w14:paraId="0DD33048">
            <w:pPr>
              <w:pStyle w:val="94"/>
              <w:keepNext w:val="0"/>
              <w:keepLines/>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cs="Times New Roman"/>
                <w:b/>
                <w:bCs/>
                <w:color w:val="auto"/>
                <w:szCs w:val="24"/>
              </w:rPr>
            </w:pPr>
            <w:r>
              <w:rPr>
                <w:rFonts w:hint="eastAsia" w:cs="Times New Roman"/>
                <w:b/>
                <w:bCs/>
                <w:color w:val="auto"/>
                <w:szCs w:val="24"/>
                <w:lang w:val="en-US" w:eastAsia="zh-CN"/>
              </w:rPr>
              <w:t>五、</w:t>
            </w:r>
            <w:r>
              <w:rPr>
                <w:rFonts w:hint="default" w:ascii="Times New Roman" w:hAnsi="Times New Roman" w:cs="Times New Roman"/>
                <w:b/>
                <w:bCs/>
                <w:color w:val="auto"/>
                <w:szCs w:val="24"/>
              </w:rPr>
              <w:t>土壤、地下水环境影响</w:t>
            </w:r>
          </w:p>
          <w:p w14:paraId="2C223200">
            <w:pPr>
              <w:keepNext w:val="0"/>
              <w:keepLines/>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地下水环境影响分析</w:t>
            </w:r>
          </w:p>
          <w:p w14:paraId="19E01E26">
            <w:pPr>
              <w:keepNext w:val="0"/>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根据《环境影响评价技术导则 地下水环境》（HJ 610-2016）附录A，本项目属于</w:t>
            </w:r>
            <w:r>
              <w:rPr>
                <w:rFonts w:hint="eastAsia" w:cs="Times New Roman"/>
                <w:color w:val="auto"/>
                <w:kern w:val="0"/>
                <w:sz w:val="24"/>
                <w:lang w:eastAsia="zh-CN" w:bidi="ar"/>
              </w:rPr>
              <w:t>“</w:t>
            </w:r>
            <w:r>
              <w:rPr>
                <w:rFonts w:hint="default" w:ascii="Times New Roman" w:hAnsi="Times New Roman" w:eastAsia="宋体" w:cs="Times New Roman"/>
                <w:color w:val="auto"/>
                <w:kern w:val="0"/>
                <w:sz w:val="24"/>
                <w:lang w:bidi="ar"/>
              </w:rPr>
              <w:t>116塑料制品制造</w:t>
            </w:r>
            <w:r>
              <w:rPr>
                <w:rFonts w:hint="eastAsia" w:cs="Times New Roman"/>
                <w:color w:val="auto"/>
                <w:kern w:val="0"/>
                <w:sz w:val="24"/>
                <w:lang w:eastAsia="zh-CN" w:bidi="ar"/>
              </w:rPr>
              <w:t>”</w:t>
            </w:r>
            <w:r>
              <w:rPr>
                <w:rFonts w:hint="default" w:ascii="Times New Roman" w:hAnsi="Times New Roman" w:eastAsia="宋体" w:cs="Times New Roman"/>
                <w:color w:val="auto"/>
                <w:kern w:val="0"/>
                <w:sz w:val="24"/>
                <w:lang w:bidi="ar"/>
              </w:rPr>
              <w:t>其他，本项目环评类别为：报告表，地下水环境影响评价项目类别为Ⅳ类，根据导则要求：Ⅳ类建设项目不开展地下水环境影响评价，因此，本项目不开展地下水环境影响评价。</w:t>
            </w:r>
          </w:p>
          <w:p w14:paraId="05F5AE65">
            <w:pPr>
              <w:keepNext w:val="0"/>
              <w:keepLines/>
              <w:pageBreakBefore w:val="0"/>
              <w:widowControl/>
              <w:suppressLineNumbers w:val="0"/>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项目对地下水可能影响源主要是危废暂存间</w:t>
            </w:r>
            <w:r>
              <w:rPr>
                <w:rFonts w:hint="eastAsia" w:cs="Times New Roman"/>
                <w:color w:val="auto"/>
                <w:kern w:val="0"/>
                <w:sz w:val="24"/>
                <w:szCs w:val="24"/>
                <w:lang w:val="en-US" w:eastAsia="zh-CN" w:bidi="ar"/>
              </w:rPr>
              <w:t>废机油</w:t>
            </w:r>
            <w:r>
              <w:rPr>
                <w:rFonts w:hint="default" w:ascii="Times New Roman" w:hAnsi="Times New Roman" w:eastAsia="宋体" w:cs="Times New Roman"/>
                <w:color w:val="auto"/>
                <w:kern w:val="0"/>
                <w:sz w:val="24"/>
                <w:szCs w:val="24"/>
                <w:lang w:val="en-US" w:eastAsia="zh-CN" w:bidi="ar"/>
              </w:rPr>
              <w:t>连续渗入地下水面污染地下水。具体防渗措施及要求如下表所示。</w:t>
            </w:r>
          </w:p>
          <w:p w14:paraId="31BA5D63">
            <w:pPr>
              <w:spacing w:line="240" w:lineRule="auto"/>
              <w:ind w:firstLine="422"/>
              <w:jc w:val="center"/>
              <w:rPr>
                <w:rFonts w:hint="default"/>
                <w:b/>
                <w:color w:val="auto"/>
                <w:sz w:val="24"/>
                <w:szCs w:val="24"/>
                <w:lang w:val="en-US" w:eastAsia="zh-CN"/>
              </w:rPr>
            </w:pPr>
            <w:r>
              <w:rPr>
                <w:rFonts w:hint="eastAsia"/>
                <w:b/>
                <w:color w:val="auto"/>
                <w:sz w:val="24"/>
                <w:szCs w:val="24"/>
                <w:lang w:eastAsia="zh-CN"/>
              </w:rPr>
              <w:t>表</w:t>
            </w:r>
            <w:r>
              <w:rPr>
                <w:rFonts w:hint="eastAsia"/>
                <w:b/>
                <w:color w:val="auto"/>
                <w:sz w:val="24"/>
                <w:szCs w:val="24"/>
                <w:lang w:val="en-US" w:eastAsia="zh-CN"/>
              </w:rPr>
              <w:t>4-22 地下水分区防渗表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247"/>
              <w:gridCol w:w="5190"/>
            </w:tblGrid>
            <w:tr w14:paraId="4DE3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891" w:type="pct"/>
                  <w:vAlign w:val="center"/>
                </w:tcPr>
                <w:p w14:paraId="7C222445">
                  <w:pPr>
                    <w:pStyle w:val="2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污染防渗区类别</w:t>
                  </w:r>
                </w:p>
              </w:tc>
              <w:tc>
                <w:tcPr>
                  <w:tcW w:w="796" w:type="pct"/>
                  <w:vAlign w:val="center"/>
                </w:tcPr>
                <w:p w14:paraId="488E16E9">
                  <w:pPr>
                    <w:pStyle w:val="2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防渗区名称</w:t>
                  </w:r>
                </w:p>
              </w:tc>
              <w:tc>
                <w:tcPr>
                  <w:tcW w:w="3312" w:type="pct"/>
                  <w:vAlign w:val="center"/>
                </w:tcPr>
                <w:p w14:paraId="31C43943">
                  <w:pPr>
                    <w:pStyle w:val="2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color w:val="auto"/>
                      <w:sz w:val="21"/>
                      <w:szCs w:val="21"/>
                      <w:lang w:val="en-US" w:eastAsia="zh-CN"/>
                    </w:rPr>
                    <w:t>防渗技术要求</w:t>
                  </w:r>
                </w:p>
              </w:tc>
            </w:tr>
            <w:tr w14:paraId="526F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1" w:type="pct"/>
                  <w:vAlign w:val="center"/>
                </w:tcPr>
                <w:p w14:paraId="5C402B94">
                  <w:pPr>
                    <w:pStyle w:val="2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重点防渗区</w:t>
                  </w:r>
                </w:p>
              </w:tc>
              <w:tc>
                <w:tcPr>
                  <w:tcW w:w="796" w:type="pct"/>
                  <w:vAlign w:val="center"/>
                </w:tcPr>
                <w:p w14:paraId="0992B154">
                  <w:pPr>
                    <w:pStyle w:val="2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危废暂存间</w:t>
                  </w:r>
                </w:p>
              </w:tc>
              <w:tc>
                <w:tcPr>
                  <w:tcW w:w="3312" w:type="pct"/>
                  <w:vAlign w:val="center"/>
                </w:tcPr>
                <w:p w14:paraId="244A798B">
                  <w:pPr>
                    <w:pStyle w:val="2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防渗层为至少1 m厚黏土层（渗透系数不大于10</w:t>
                  </w:r>
                  <w:r>
                    <w:rPr>
                      <w:rFonts w:hint="default" w:ascii="Times New Roman" w:hAnsi="Times New Roman" w:cs="Times New Roman" w:eastAsiaTheme="minorEastAsia"/>
                      <w:b w:val="0"/>
                      <w:bCs w:val="0"/>
                      <w:color w:val="auto"/>
                      <w:sz w:val="21"/>
                      <w:szCs w:val="21"/>
                      <w:vertAlign w:val="superscript"/>
                      <w:lang w:val="en-US" w:eastAsia="zh-CN"/>
                    </w:rPr>
                    <w:t>-7</w:t>
                  </w:r>
                  <w:r>
                    <w:rPr>
                      <w:rFonts w:hint="default" w:ascii="Times New Roman" w:hAnsi="Times New Roman" w:cs="Times New Roman" w:eastAsiaTheme="minorEastAsia"/>
                      <w:b w:val="0"/>
                      <w:bCs w:val="0"/>
                      <w:color w:val="auto"/>
                      <w:sz w:val="21"/>
                      <w:szCs w:val="21"/>
                      <w:lang w:val="en-US" w:eastAsia="zh-CN"/>
                    </w:rPr>
                    <w:t>cm/s），或至少2 mm厚高密度聚乙烯膜等人工防渗材料（渗透系数不大于10</w:t>
                  </w:r>
                  <w:r>
                    <w:rPr>
                      <w:rFonts w:hint="default" w:ascii="Times New Roman" w:hAnsi="Times New Roman" w:cs="Times New Roman" w:eastAsiaTheme="minorEastAsia"/>
                      <w:b w:val="0"/>
                      <w:bCs w:val="0"/>
                      <w:color w:val="auto"/>
                      <w:sz w:val="21"/>
                      <w:szCs w:val="21"/>
                      <w:vertAlign w:val="superscript"/>
                      <w:lang w:val="en-US" w:eastAsia="zh-CN"/>
                    </w:rPr>
                    <w:t>-10</w:t>
                  </w:r>
                  <w:r>
                    <w:rPr>
                      <w:rFonts w:hint="default" w:ascii="Times New Roman" w:hAnsi="Times New Roman" w:cs="Times New Roman" w:eastAsiaTheme="minorEastAsia"/>
                      <w:b w:val="0"/>
                      <w:bCs w:val="0"/>
                      <w:color w:val="auto"/>
                      <w:sz w:val="21"/>
                      <w:szCs w:val="21"/>
                      <w:lang w:val="en-US" w:eastAsia="zh-CN"/>
                    </w:rPr>
                    <w:t>cm/s），参照执行《危险废物贮存污染控制标准》（GB18597-2023）相关要求</w:t>
                  </w:r>
                </w:p>
              </w:tc>
            </w:tr>
            <w:tr w14:paraId="0255F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1" w:type="pct"/>
                  <w:vAlign w:val="center"/>
                </w:tcPr>
                <w:p w14:paraId="5ED43375">
                  <w:pPr>
                    <w:pStyle w:val="2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简单防渗区</w:t>
                  </w:r>
                </w:p>
              </w:tc>
              <w:tc>
                <w:tcPr>
                  <w:tcW w:w="796" w:type="pct"/>
                  <w:vAlign w:val="center"/>
                </w:tcPr>
                <w:p w14:paraId="7D2BB38B">
                  <w:pPr>
                    <w:pStyle w:val="2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其他区域</w:t>
                  </w:r>
                </w:p>
              </w:tc>
              <w:tc>
                <w:tcPr>
                  <w:tcW w:w="3312" w:type="pct"/>
                  <w:vAlign w:val="center"/>
                </w:tcPr>
                <w:p w14:paraId="22D52B16">
                  <w:pPr>
                    <w:pStyle w:val="21"/>
                    <w:keepNext w:val="0"/>
                    <w:keepLines/>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cs="Times New Roman" w:eastAsiaTheme="minorEastAsia"/>
                      <w:b w:val="0"/>
                      <w:bCs w:val="0"/>
                      <w:color w:val="auto"/>
                      <w:sz w:val="21"/>
                      <w:szCs w:val="21"/>
                      <w:lang w:val="en-US" w:eastAsia="zh-CN"/>
                    </w:rPr>
                    <w:t>水泥地面硬化</w:t>
                  </w:r>
                </w:p>
              </w:tc>
            </w:tr>
          </w:tbl>
          <w:p w14:paraId="0DD95666">
            <w:pPr>
              <w:keepNext w:val="0"/>
              <w:keepLines/>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val="en-US" w:eastAsia="zh-CN"/>
              </w:rPr>
              <w:t>2、</w:t>
            </w:r>
            <w:r>
              <w:rPr>
                <w:rFonts w:hint="default" w:ascii="Times New Roman" w:hAnsi="Times New Roman" w:cs="Times New Roman" w:eastAsiaTheme="minorEastAsia"/>
                <w:b/>
                <w:bCs/>
                <w:color w:val="auto"/>
                <w:sz w:val="24"/>
              </w:rPr>
              <w:t>土壤环境影响分析</w:t>
            </w:r>
          </w:p>
          <w:p w14:paraId="50FA6E40">
            <w:pPr>
              <w:keepNext w:val="0"/>
              <w:keepLines/>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kern w:val="0"/>
                <w:sz w:val="24"/>
                <w:lang w:bidi="ar"/>
              </w:rPr>
            </w:pPr>
            <w:r>
              <w:rPr>
                <w:rFonts w:hint="default" w:ascii="Times New Roman" w:hAnsi="Times New Roman" w:cs="Times New Roman" w:eastAsiaTheme="minorEastAsia"/>
                <w:color w:val="auto"/>
                <w:kern w:val="0"/>
                <w:sz w:val="24"/>
                <w:lang w:bidi="ar"/>
              </w:rPr>
              <w:t>本项目为</w:t>
            </w:r>
            <w:r>
              <w:rPr>
                <w:rFonts w:hint="default" w:ascii="Times New Roman" w:hAnsi="Times New Roman" w:cs="Times New Roman" w:eastAsiaTheme="minorEastAsia"/>
                <w:color w:val="auto"/>
                <w:kern w:val="0"/>
                <w:sz w:val="24"/>
                <w:lang w:eastAsia="zh-CN" w:bidi="ar"/>
              </w:rPr>
              <w:t>EPS泡沫颗粒</w:t>
            </w:r>
            <w:r>
              <w:rPr>
                <w:rFonts w:hint="default" w:ascii="Times New Roman" w:hAnsi="Times New Roman" w:cs="Times New Roman" w:eastAsiaTheme="minorEastAsia"/>
                <w:color w:val="auto"/>
                <w:kern w:val="0"/>
                <w:sz w:val="24"/>
                <w:lang w:bidi="ar"/>
              </w:rPr>
              <w:t>生产项目，根据项目建设内容及其对土壤环境可能产生的影响，判定本项目土壤影响类型为污染影响型。根据项目类别、占地规模与敏感程度划分评价等级（表4</w:t>
            </w:r>
            <w:r>
              <w:rPr>
                <w:rFonts w:hint="default" w:ascii="Times New Roman" w:hAnsi="Times New Roman" w:cs="Times New Roman" w:eastAsiaTheme="minorEastAsia"/>
                <w:color w:val="auto"/>
                <w:kern w:val="0"/>
                <w:sz w:val="24"/>
                <w:lang w:val="en-US" w:eastAsia="zh-CN" w:bidi="ar"/>
              </w:rPr>
              <w:t>评价</w:t>
            </w:r>
            <w:r>
              <w:rPr>
                <w:rFonts w:hint="default" w:ascii="Times New Roman" w:hAnsi="Times New Roman" w:cs="Times New Roman" w:eastAsiaTheme="minorEastAsia"/>
                <w:color w:val="auto"/>
                <w:kern w:val="0"/>
                <w:sz w:val="24"/>
                <w:lang w:bidi="ar"/>
              </w:rPr>
              <w:t>等级划分表），参照《环境影响评价技术导则土壤环境》（HJ964-2018）附录A</w:t>
            </w:r>
            <w:r>
              <w:rPr>
                <w:rFonts w:hint="eastAsia" w:cs="Times New Roman" w:eastAsiaTheme="minorEastAsia"/>
                <w:color w:val="auto"/>
                <w:kern w:val="0"/>
                <w:sz w:val="24"/>
                <w:lang w:eastAsia="zh-CN" w:bidi="ar"/>
              </w:rPr>
              <w:t>“</w:t>
            </w:r>
            <w:r>
              <w:rPr>
                <w:rFonts w:hint="default" w:ascii="Times New Roman" w:hAnsi="Times New Roman" w:cs="Times New Roman" w:eastAsiaTheme="minorEastAsia"/>
                <w:color w:val="auto"/>
                <w:kern w:val="0"/>
                <w:sz w:val="24"/>
                <w:lang w:bidi="ar"/>
              </w:rPr>
              <w:t>土壤环境影响评价项目类别</w:t>
            </w:r>
            <w:r>
              <w:rPr>
                <w:rFonts w:hint="eastAsia" w:cs="Times New Roman" w:eastAsiaTheme="minorEastAsia"/>
                <w:color w:val="auto"/>
                <w:kern w:val="0"/>
                <w:sz w:val="24"/>
                <w:lang w:eastAsia="zh-CN" w:bidi="ar"/>
              </w:rPr>
              <w:t>”</w:t>
            </w:r>
            <w:r>
              <w:rPr>
                <w:rFonts w:hint="default" w:ascii="Times New Roman" w:hAnsi="Times New Roman" w:cs="Times New Roman" w:eastAsiaTheme="minorEastAsia"/>
                <w:color w:val="auto"/>
                <w:kern w:val="0"/>
                <w:sz w:val="24"/>
                <w:lang w:bidi="ar"/>
              </w:rPr>
              <w:t>，行业类别属于</w:t>
            </w:r>
            <w:r>
              <w:rPr>
                <w:rFonts w:hint="eastAsia" w:cs="Times New Roman" w:eastAsiaTheme="minorEastAsia"/>
                <w:color w:val="auto"/>
                <w:kern w:val="0"/>
                <w:sz w:val="24"/>
                <w:lang w:eastAsia="zh-CN" w:bidi="ar"/>
              </w:rPr>
              <w:t>“</w:t>
            </w:r>
            <w:r>
              <w:rPr>
                <w:rFonts w:hint="default" w:ascii="Times New Roman" w:hAnsi="Times New Roman" w:cs="Times New Roman" w:eastAsiaTheme="minorEastAsia"/>
                <w:color w:val="auto"/>
                <w:kern w:val="0"/>
                <w:sz w:val="24"/>
                <w:lang w:bidi="ar"/>
              </w:rPr>
              <w:t>其他行业</w:t>
            </w:r>
            <w:r>
              <w:rPr>
                <w:rFonts w:hint="eastAsia" w:cs="Times New Roman" w:eastAsiaTheme="minorEastAsia"/>
                <w:color w:val="auto"/>
                <w:kern w:val="0"/>
                <w:sz w:val="24"/>
                <w:lang w:eastAsia="zh-CN" w:bidi="ar"/>
              </w:rPr>
              <w:t>”</w:t>
            </w:r>
            <w:r>
              <w:rPr>
                <w:rFonts w:hint="default" w:ascii="Times New Roman" w:hAnsi="Times New Roman" w:cs="Times New Roman" w:eastAsiaTheme="minorEastAsia"/>
                <w:color w:val="auto"/>
                <w:kern w:val="0"/>
                <w:sz w:val="24"/>
                <w:lang w:bidi="ar"/>
              </w:rPr>
              <w:t>，项目类别属于Ⅳ类，可不开展环境影响评价工作。因此本项目不设土壤环境评价等级，不开展土壤环境影响评价工作。</w:t>
            </w:r>
          </w:p>
          <w:p w14:paraId="24A2AED4">
            <w:pPr>
              <w:keepNext w:val="0"/>
              <w:keepLines/>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eastAsiaTheme="minorEastAsia"/>
                <w:b/>
                <w:bCs/>
                <w:color w:val="auto"/>
                <w:sz w:val="24"/>
              </w:rPr>
            </w:pPr>
            <w:r>
              <w:rPr>
                <w:rFonts w:hint="default" w:ascii="Times New Roman" w:hAnsi="Times New Roman" w:cs="Times New Roman" w:eastAsiaTheme="minorEastAsia"/>
                <w:b/>
                <w:bCs/>
                <w:color w:val="auto"/>
                <w:sz w:val="24"/>
                <w:lang w:val="en-US" w:eastAsia="zh-CN"/>
              </w:rPr>
              <w:t>3、</w:t>
            </w:r>
            <w:r>
              <w:rPr>
                <w:rFonts w:hint="default" w:ascii="Times New Roman" w:hAnsi="Times New Roman" w:cs="Times New Roman" w:eastAsiaTheme="minorEastAsia"/>
                <w:b/>
                <w:bCs/>
                <w:color w:val="auto"/>
                <w:sz w:val="24"/>
              </w:rPr>
              <w:t>土壤、地下水保护措施</w:t>
            </w:r>
          </w:p>
          <w:p w14:paraId="1A5D34EC">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1</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项目建设过程中采取防渗措施可有效防止风险物质下渗进入地下水，通过加强定期检查消除污染隐患；发现有污染物泄漏或渗漏，及时修补。</w:t>
            </w:r>
          </w:p>
          <w:p w14:paraId="721869AC">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2</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本项目产生的危险废物经收集后暂存于危废暂存间，危废暂存间地面防渗，设置围堰并铺设防水漆；本项目危险废物分类分区收集于收集桶中，且产生量不大，若发生泄漏事故，经危废暂存间围堰收集后，可将风险控制在危废暂存间内，对周边环境影响较小。</w:t>
            </w:r>
          </w:p>
          <w:p w14:paraId="60EE0653">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lang w:val="en-US" w:eastAsia="zh-CN"/>
              </w:rPr>
              <w:t>3</w:t>
            </w:r>
            <w:r>
              <w:rPr>
                <w:rFonts w:hint="default" w:ascii="Times New Roman" w:hAnsi="Times New Roman" w:cs="Times New Roman" w:eastAsiaTheme="minorEastAsia"/>
                <w:color w:val="auto"/>
                <w:sz w:val="24"/>
                <w:lang w:eastAsia="zh-CN"/>
              </w:rPr>
              <w:t>）</w:t>
            </w:r>
            <w:r>
              <w:rPr>
                <w:rFonts w:hint="default" w:ascii="Times New Roman" w:hAnsi="Times New Roman" w:cs="Times New Roman" w:eastAsiaTheme="minorEastAsia"/>
                <w:color w:val="auto"/>
                <w:sz w:val="24"/>
              </w:rPr>
              <w:t>若发生泄漏事件危险废物泄漏至外环境事件时，以事故地点为中心，按一定间隔的圆形布点采样，并采集事故发生地附近的样品做对照，主要监测因子为pH、石油烃，监测频次为事件第一时间监测1次，之后根据第一次监测浓度确定监测频次。</w:t>
            </w:r>
          </w:p>
          <w:p w14:paraId="0B306B08">
            <w:pPr>
              <w:keepNext w:val="0"/>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lang w:val="en-US" w:eastAsia="zh-CN"/>
              </w:rPr>
              <w:t>综上所述，</w:t>
            </w:r>
            <w:r>
              <w:rPr>
                <w:rFonts w:hint="default" w:ascii="Times New Roman" w:hAnsi="Times New Roman" w:cs="Times New Roman" w:eastAsiaTheme="minorEastAsia"/>
                <w:color w:val="auto"/>
                <w:sz w:val="24"/>
              </w:rPr>
              <w:t>本项目的建设运行对土壤、地下水影响可控。</w:t>
            </w:r>
          </w:p>
          <w:p w14:paraId="775AF110">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eastAsiaTheme="minorEastAsia"/>
                <w:b/>
                <w:bCs w:val="0"/>
                <w:color w:val="auto"/>
                <w:spacing w:val="-10"/>
                <w:kern w:val="0"/>
                <w:sz w:val="24"/>
                <w:szCs w:val="24"/>
                <w:lang w:val="en-US" w:eastAsia="zh-CN" w:bidi="ar-SA"/>
              </w:rPr>
            </w:pPr>
            <w:r>
              <w:rPr>
                <w:rFonts w:hint="default" w:ascii="Times New Roman" w:hAnsi="Times New Roman" w:cs="Times New Roman" w:eastAsiaTheme="minorEastAsia"/>
                <w:b/>
                <w:bCs w:val="0"/>
                <w:color w:val="auto"/>
                <w:spacing w:val="-10"/>
                <w:kern w:val="0"/>
                <w:sz w:val="24"/>
                <w:szCs w:val="24"/>
                <w:lang w:val="en-US" w:eastAsia="zh-CN" w:bidi="ar-SA"/>
              </w:rPr>
              <w:t>六、生态</w:t>
            </w:r>
          </w:p>
          <w:p w14:paraId="371CDF7F">
            <w:pPr>
              <w:pStyle w:val="13"/>
              <w:keepNext w:val="0"/>
              <w:keepLines w:val="0"/>
              <w:pageBreakBefore w:val="0"/>
              <w:widowControl w:val="0"/>
              <w:kinsoku/>
              <w:wordWrap/>
              <w:overflowPunct/>
              <w:topLinePunct w:val="0"/>
              <w:autoSpaceDE/>
              <w:autoSpaceDN/>
              <w:bidi w:val="0"/>
              <w:adjustRightInd/>
              <w:snapToGrid/>
              <w:ind w:firstLineChars="200"/>
              <w:jc w:val="both"/>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本项目租用</w:t>
            </w:r>
            <w:r>
              <w:rPr>
                <w:rFonts w:hint="default" w:ascii="Times New Roman" w:hAnsi="Times New Roman" w:cs="Times New Roman" w:eastAsiaTheme="minorEastAsia"/>
                <w:color w:val="auto"/>
                <w:lang w:eastAsia="zh-CN"/>
              </w:rPr>
              <w:t>红塔区北城街道刺桐关社区一组岔箐脑</w:t>
            </w:r>
            <w:r>
              <w:rPr>
                <w:rFonts w:hint="default" w:ascii="Times New Roman" w:hAnsi="Times New Roman" w:cs="Times New Roman" w:eastAsiaTheme="minorEastAsia"/>
                <w:color w:val="auto"/>
                <w:sz w:val="24"/>
                <w:szCs w:val="24"/>
                <w:lang w:val="en-US" w:eastAsia="zh-CN"/>
              </w:rPr>
              <w:t>闲置的封闭车间</w:t>
            </w:r>
            <w:r>
              <w:rPr>
                <w:rFonts w:hint="eastAsia" w:cs="Times New Roman" w:eastAsiaTheme="minorEastAsia"/>
                <w:color w:val="auto"/>
                <w:sz w:val="24"/>
                <w:szCs w:val="24"/>
                <w:lang w:val="en-US" w:eastAsia="zh-CN"/>
              </w:rPr>
              <w:t>和空地</w:t>
            </w:r>
            <w:r>
              <w:rPr>
                <w:rFonts w:hint="default" w:ascii="Times New Roman" w:hAnsi="Times New Roman" w:cs="Times New Roman" w:eastAsiaTheme="minorEastAsia"/>
                <w:color w:val="auto"/>
                <w:sz w:val="24"/>
                <w:szCs w:val="24"/>
                <w:lang w:val="en-US" w:eastAsia="zh-CN"/>
              </w:rPr>
              <w:t>进行建设，用地性质为采矿用地，不涉及新增用地，且本项目用地范围内无生态环境保护目标，</w:t>
            </w:r>
            <w:r>
              <w:rPr>
                <w:rFonts w:hint="eastAsia"/>
                <w:color w:val="auto"/>
                <w:lang w:val="en-US" w:eastAsia="zh-CN"/>
              </w:rPr>
              <w:t>根据现场调查，本项目占地范围内无保护野生动植物，本项目的建设</w:t>
            </w:r>
            <w:r>
              <w:rPr>
                <w:rFonts w:hint="default" w:ascii="Times New Roman" w:hAnsi="Times New Roman" w:cs="Times New Roman" w:eastAsiaTheme="minorEastAsia"/>
                <w:color w:val="auto"/>
                <w:sz w:val="24"/>
                <w:szCs w:val="24"/>
                <w:lang w:val="en-US" w:eastAsia="zh-CN"/>
              </w:rPr>
              <w:t>不会对周边生态环境造成不利影响。</w:t>
            </w:r>
            <w:r>
              <w:rPr>
                <w:rFonts w:hint="default" w:ascii="Times New Roman" w:hAnsi="Times New Roman" w:eastAsia="宋体" w:cs="Times New Roman"/>
                <w:color w:val="auto"/>
                <w:sz w:val="24"/>
                <w:szCs w:val="24"/>
              </w:rPr>
              <w:t>项目区雨量充沛，植被发育，评价区的植被主要是次生林、灌草丛及农作物。次生林和灌草丛为季风常绿阔叶林被破坏后形成的植被类型，但在一些沟箐有少量季风阔叶林。植被主要为云南松、云南油松、旱冬瓜、麻栎等，农作物主要有蔬菜、玉米等。</w:t>
            </w:r>
            <w:r>
              <w:rPr>
                <w:rFonts w:hint="eastAsia" w:ascii="Times New Roman" w:hAnsi="Times New Roman" w:eastAsia="宋体" w:cs="Times New Roman"/>
                <w:color w:val="auto"/>
                <w:sz w:val="24"/>
                <w:szCs w:val="24"/>
                <w:lang w:val="en-US" w:eastAsia="zh-CN"/>
              </w:rPr>
              <w:t>本项目无废水外排，固体均进行了妥善处置，废气均可以做到达标排放，对周边的生态环境尤其是周边永久基本农田影响较小。</w:t>
            </w:r>
          </w:p>
          <w:p w14:paraId="74C67C76">
            <w:pPr>
              <w:pStyle w:val="94"/>
              <w:keepNext w:val="0"/>
              <w:keepLines/>
              <w:pageBreakBefore w:val="0"/>
              <w:kinsoku/>
              <w:overflowPunct/>
              <w:bidi w:val="0"/>
              <w:adjustRightInd/>
              <w:ind w:left="0" w:leftChars="0" w:firstLine="0" w:firstLineChars="0"/>
              <w:rPr>
                <w:rFonts w:hint="default" w:ascii="Times New Roman" w:hAnsi="Times New Roman" w:cs="Times New Roman"/>
                <w:b/>
                <w:bCs/>
                <w:color w:val="auto"/>
                <w:szCs w:val="24"/>
              </w:rPr>
            </w:pPr>
            <w:r>
              <w:rPr>
                <w:rFonts w:hint="eastAsia" w:cs="Times New Roman"/>
                <w:b/>
                <w:bCs/>
                <w:color w:val="auto"/>
                <w:szCs w:val="24"/>
                <w:lang w:val="en-US" w:eastAsia="zh-CN"/>
              </w:rPr>
              <w:t>七</w:t>
            </w:r>
            <w:r>
              <w:rPr>
                <w:rFonts w:hint="default" w:ascii="Times New Roman" w:hAnsi="Times New Roman" w:cs="Times New Roman"/>
                <w:b/>
                <w:bCs/>
                <w:color w:val="auto"/>
                <w:szCs w:val="24"/>
              </w:rPr>
              <w:t>、环境风险分析</w:t>
            </w:r>
          </w:p>
          <w:p w14:paraId="46D53E1B">
            <w:pPr>
              <w:keepNext w:val="0"/>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eastAsia" w:cs="Times New Roman"/>
                <w:b/>
                <w:bCs/>
                <w:color w:val="auto"/>
                <w:sz w:val="24"/>
                <w:lang w:val="en-US" w:eastAsia="zh-CN"/>
              </w:rPr>
              <w:t>1、</w:t>
            </w:r>
            <w:r>
              <w:rPr>
                <w:rFonts w:hint="default" w:ascii="Times New Roman" w:hAnsi="Times New Roman" w:cs="Times New Roman"/>
                <w:b/>
                <w:bCs/>
                <w:color w:val="auto"/>
                <w:sz w:val="24"/>
              </w:rPr>
              <w:t>环境风险识别</w:t>
            </w:r>
          </w:p>
          <w:p w14:paraId="7B4E6D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风险物质的识别范围包括主要原材料及辅助材料、燃料、中间产品、最终产品以及生产过程排放的</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三废</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污染物等。经与《建设项目环境风险评价技术导则》（HJ169-2018）附录 B 和《危险化学品重大危险源辨识》（GB18218-2018）对照，本项目涉及的风险物质如下</w:t>
            </w:r>
            <w:r>
              <w:rPr>
                <w:rFonts w:hint="eastAsia" w:ascii="Times New Roman" w:hAnsi="Times New Roman" w:eastAsia="宋体" w:cs="Times New Roman"/>
                <w:color w:val="auto"/>
                <w:sz w:val="24"/>
                <w:szCs w:val="24"/>
                <w:lang w:val="en-US" w:eastAsia="zh-CN"/>
              </w:rPr>
              <w:t>表4-</w:t>
            </w:r>
            <w:r>
              <w:rPr>
                <w:rFonts w:hint="eastAsia" w:cs="Times New Roman"/>
                <w:color w:val="auto"/>
                <w:sz w:val="24"/>
                <w:szCs w:val="24"/>
                <w:lang w:val="en-US" w:eastAsia="zh-CN"/>
              </w:rPr>
              <w:t>23</w:t>
            </w:r>
            <w:r>
              <w:rPr>
                <w:rFonts w:hint="eastAsia" w:ascii="Times New Roman" w:hAnsi="Times New Roman" w:eastAsia="宋体" w:cs="Times New Roman"/>
                <w:color w:val="auto"/>
                <w:sz w:val="24"/>
                <w:szCs w:val="24"/>
                <w:lang w:val="en-US" w:eastAsia="zh-CN"/>
              </w:rPr>
              <w:t>。</w:t>
            </w:r>
          </w:p>
          <w:p w14:paraId="6BD3EB7D">
            <w:pPr>
              <w:pStyle w:val="21"/>
              <w:keepNext w:val="0"/>
              <w:keepLines/>
              <w:pageBreakBefore w:val="0"/>
              <w:kinsoku/>
              <w:overflowPunct/>
              <w:bidi w:val="0"/>
              <w:adjustRightInd/>
              <w:ind w:left="0" w:leftChars="0"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ascii="Times New Roman" w:hAnsi="Times New Roman" w:cs="Times New Roman"/>
                <w:b/>
                <w:bCs/>
                <w:color w:val="auto"/>
                <w:sz w:val="24"/>
                <w:szCs w:val="24"/>
                <w:lang w:val="en-US" w:eastAsia="zh-CN"/>
              </w:rPr>
              <w:t xml:space="preserve">23 </w:t>
            </w:r>
            <w:r>
              <w:rPr>
                <w:rFonts w:hint="default" w:ascii="Times New Roman" w:hAnsi="Times New Roman" w:eastAsia="宋体" w:cs="Times New Roman"/>
                <w:b/>
                <w:bCs/>
                <w:color w:val="auto"/>
                <w:sz w:val="24"/>
                <w:szCs w:val="24"/>
              </w:rPr>
              <w:t xml:space="preserve"> 环境风险物质识别表</w:t>
            </w:r>
          </w:p>
          <w:tbl>
            <w:tblPr>
              <w:tblStyle w:val="34"/>
              <w:tblW w:w="7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490"/>
              <w:gridCol w:w="1720"/>
              <w:gridCol w:w="3933"/>
            </w:tblGrid>
            <w:tr w14:paraId="01256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trPr>
              <w:tc>
                <w:tcPr>
                  <w:tcW w:w="754" w:type="dxa"/>
                  <w:noWrap w:val="0"/>
                  <w:vAlign w:val="center"/>
                </w:tcPr>
                <w:p w14:paraId="5590ADBF">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序号</w:t>
                  </w:r>
                </w:p>
              </w:tc>
              <w:tc>
                <w:tcPr>
                  <w:tcW w:w="1490" w:type="dxa"/>
                  <w:noWrap w:val="0"/>
                  <w:vAlign w:val="center"/>
                </w:tcPr>
                <w:p w14:paraId="3B3F5E8D">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风险物质名称</w:t>
                  </w:r>
                </w:p>
              </w:tc>
              <w:tc>
                <w:tcPr>
                  <w:tcW w:w="1720" w:type="dxa"/>
                  <w:noWrap w:val="0"/>
                  <w:vAlign w:val="center"/>
                </w:tcPr>
                <w:p w14:paraId="63270036">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风险源分布位置</w:t>
                  </w:r>
                </w:p>
              </w:tc>
              <w:tc>
                <w:tcPr>
                  <w:tcW w:w="3933" w:type="dxa"/>
                  <w:noWrap w:val="0"/>
                  <w:vAlign w:val="center"/>
                </w:tcPr>
                <w:p w14:paraId="1F8114EE">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可能影响途径</w:t>
                  </w:r>
                </w:p>
              </w:tc>
            </w:tr>
            <w:tr w14:paraId="48F4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54" w:type="dxa"/>
                  <w:noWrap w:val="0"/>
                  <w:vAlign w:val="center"/>
                </w:tcPr>
                <w:p w14:paraId="1E153536">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w:t>
                  </w:r>
                </w:p>
              </w:tc>
              <w:tc>
                <w:tcPr>
                  <w:tcW w:w="1490" w:type="dxa"/>
                  <w:noWrap w:val="0"/>
                  <w:vAlign w:val="center"/>
                </w:tcPr>
                <w:p w14:paraId="676A3A0D">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cs="Times New Roman"/>
                      <w:b w:val="0"/>
                      <w:bCs/>
                      <w:color w:val="auto"/>
                      <w:sz w:val="21"/>
                      <w:szCs w:val="21"/>
                      <w:lang w:val="en-US" w:eastAsia="zh-CN"/>
                    </w:rPr>
                    <w:t>废机油</w:t>
                  </w:r>
                </w:p>
              </w:tc>
              <w:tc>
                <w:tcPr>
                  <w:tcW w:w="1720" w:type="dxa"/>
                  <w:vMerge w:val="restart"/>
                  <w:noWrap w:val="0"/>
                  <w:vAlign w:val="center"/>
                </w:tcPr>
                <w:p w14:paraId="4A0104B4">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危废暂存间</w:t>
                  </w:r>
                </w:p>
              </w:tc>
              <w:tc>
                <w:tcPr>
                  <w:tcW w:w="3933" w:type="dxa"/>
                  <w:vMerge w:val="restart"/>
                  <w:noWrap w:val="0"/>
                  <w:vAlign w:val="top"/>
                </w:tcPr>
                <w:p w14:paraId="7A396403">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泄露直接污染土壤、地表水、地下水；火灾爆照产生的伴生次生污染物污染周边环境</w:t>
                  </w:r>
                </w:p>
              </w:tc>
            </w:tr>
            <w:tr w14:paraId="52A9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54" w:type="dxa"/>
                  <w:noWrap w:val="0"/>
                  <w:vAlign w:val="center"/>
                </w:tcPr>
                <w:p w14:paraId="6A3A7250">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p>
              </w:tc>
              <w:tc>
                <w:tcPr>
                  <w:tcW w:w="1490" w:type="dxa"/>
                  <w:noWrap w:val="0"/>
                  <w:vAlign w:val="center"/>
                </w:tcPr>
                <w:p w14:paraId="2C5BD85F">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废活性炭</w:t>
                  </w:r>
                </w:p>
              </w:tc>
              <w:tc>
                <w:tcPr>
                  <w:tcW w:w="1720" w:type="dxa"/>
                  <w:vMerge w:val="continue"/>
                  <w:noWrap w:val="0"/>
                  <w:vAlign w:val="center"/>
                </w:tcPr>
                <w:p w14:paraId="1D17B4FF">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c>
                <w:tcPr>
                  <w:tcW w:w="3933" w:type="dxa"/>
                  <w:vMerge w:val="continue"/>
                  <w:noWrap w:val="0"/>
                  <w:vAlign w:val="top"/>
                </w:tcPr>
                <w:p w14:paraId="54903C9F">
                  <w:pPr>
                    <w:pStyle w:val="21"/>
                    <w:keepNext w:val="0"/>
                    <w:keepLines/>
                    <w:pageBreakBefore w:val="0"/>
                    <w:widowControl w:val="0"/>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eastAsia="宋体" w:cs="Times New Roman"/>
                      <w:b w:val="0"/>
                      <w:bCs/>
                      <w:color w:val="auto"/>
                      <w:sz w:val="21"/>
                      <w:szCs w:val="21"/>
                      <w:lang w:val="en-US" w:eastAsia="zh-CN"/>
                    </w:rPr>
                  </w:pPr>
                </w:p>
              </w:tc>
            </w:tr>
          </w:tbl>
          <w:p w14:paraId="6DE25D1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u w:val="none"/>
                <w:lang w:val="en-US" w:eastAsia="zh-CN"/>
              </w:rPr>
            </w:pPr>
            <w:r>
              <w:rPr>
                <w:rFonts w:hint="eastAsia"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u w:val="none"/>
                <w:lang w:val="en-US" w:eastAsia="zh-CN"/>
              </w:rPr>
              <w:t>风险潜势初判</w:t>
            </w:r>
          </w:p>
          <w:p w14:paraId="2DF832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根据项目生产、使用、储存过程中涉及的有毒有害、易燃易爆物质，参见导则附录B确定危险物质的临界量。计算所涉及的每种危险物质在厂界内最大存在总量与其在附录B中对应的临界量的比值Q，当存在多种危险物质时，则按公式计算物质总量与其临界量的比值Q：</w:t>
            </w:r>
          </w:p>
          <w:p w14:paraId="49AFE2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drawing>
                <wp:inline distT="0" distB="0" distL="114300" distR="114300">
                  <wp:extent cx="1294130" cy="381000"/>
                  <wp:effectExtent l="0" t="0" r="1270" b="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54"/>
                          <a:stretch>
                            <a:fillRect/>
                          </a:stretch>
                        </pic:blipFill>
                        <pic:spPr>
                          <a:xfrm>
                            <a:off x="0" y="0"/>
                            <a:ext cx="1294130" cy="381000"/>
                          </a:xfrm>
                          <a:prstGeom prst="rect">
                            <a:avLst/>
                          </a:prstGeom>
                          <a:noFill/>
                          <a:ln>
                            <a:noFill/>
                          </a:ln>
                        </pic:spPr>
                      </pic:pic>
                    </a:graphicData>
                  </a:graphic>
                </wp:inline>
              </w:drawing>
            </w:r>
          </w:p>
          <w:p w14:paraId="4A514E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式中：q</w:t>
            </w:r>
            <w:r>
              <w:rPr>
                <w:rFonts w:hint="default" w:ascii="Times New Roman" w:hAnsi="Times New Roman" w:eastAsia="宋体" w:cs="Times New Roman"/>
                <w:color w:val="auto"/>
                <w:sz w:val="24"/>
                <w:szCs w:val="24"/>
                <w:u w:val="none"/>
                <w:vertAlign w:val="subscript"/>
                <w:lang w:val="en-US" w:eastAsia="zh-CN"/>
              </w:rPr>
              <w:t>1</w:t>
            </w: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2</w:t>
            </w: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n</w:t>
            </w:r>
            <w:r>
              <w:rPr>
                <w:rFonts w:hint="default" w:ascii="Times New Roman" w:hAnsi="Times New Roman" w:eastAsia="宋体" w:cs="Times New Roman"/>
                <w:color w:val="auto"/>
                <w:sz w:val="24"/>
                <w:szCs w:val="24"/>
                <w:u w:val="none"/>
                <w:lang w:val="en-US" w:eastAsia="zh-CN"/>
              </w:rPr>
              <w:t>——每种危险物质的最大存在总量，t；</w:t>
            </w:r>
          </w:p>
          <w:p w14:paraId="4EF34D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1</w:t>
            </w: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2</w:t>
            </w:r>
            <w:r>
              <w:rPr>
                <w:rFonts w:hint="default" w:ascii="Times New Roman" w:hAnsi="Times New Roman" w:eastAsia="宋体" w:cs="Times New Roman"/>
                <w:color w:val="auto"/>
                <w:sz w:val="24"/>
                <w:szCs w:val="24"/>
                <w:u w:val="none"/>
                <w:lang w:val="en-US" w:eastAsia="zh-CN"/>
              </w:rPr>
              <w:t>，…，Q</w:t>
            </w:r>
            <w:r>
              <w:rPr>
                <w:rFonts w:hint="default" w:ascii="Times New Roman" w:hAnsi="Times New Roman" w:eastAsia="宋体" w:cs="Times New Roman"/>
                <w:color w:val="auto"/>
                <w:sz w:val="24"/>
                <w:szCs w:val="24"/>
                <w:u w:val="none"/>
                <w:vertAlign w:val="subscript"/>
                <w:lang w:val="en-US" w:eastAsia="zh-CN"/>
              </w:rPr>
              <w:t>n</w:t>
            </w:r>
            <w:r>
              <w:rPr>
                <w:rFonts w:hint="default" w:ascii="Times New Roman" w:hAnsi="Times New Roman" w:eastAsia="宋体" w:cs="Times New Roman"/>
                <w:color w:val="auto"/>
                <w:sz w:val="24"/>
                <w:szCs w:val="24"/>
                <w:u w:val="none"/>
                <w:lang w:val="en-US" w:eastAsia="zh-CN"/>
              </w:rPr>
              <w:t>——每种危险物质的临界量，t。</w:t>
            </w:r>
          </w:p>
          <w:p w14:paraId="6CAA9A2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当Q＜1时，该项目环境风险潜势为I。</w:t>
            </w:r>
          </w:p>
          <w:p w14:paraId="6B5E2C1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u w:val="none"/>
                <w:lang w:val="en-US" w:eastAsia="zh-CN"/>
              </w:rPr>
              <w:t>当Q≥1时，将Q值划分为：（1）1≤Q＜10；（2）10≤Q＜100；（3）Q≥100。</w:t>
            </w:r>
          </w:p>
          <w:p w14:paraId="2EE9F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u w:val="none"/>
                <w:lang w:val="en-US" w:eastAsia="zh-CN"/>
              </w:rPr>
            </w:pPr>
          </w:p>
          <w:p w14:paraId="0E9D17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highlight w:val="none"/>
                <w:u w:val="none"/>
                <w:lang w:val="en-US" w:eastAsia="zh-CN"/>
              </w:rPr>
            </w:pPr>
            <w:r>
              <w:rPr>
                <w:rFonts w:hint="default" w:ascii="Times New Roman" w:hAnsi="Times New Roman" w:eastAsia="宋体" w:cs="Times New Roman"/>
                <w:b/>
                <w:bCs/>
                <w:color w:val="auto"/>
                <w:sz w:val="24"/>
                <w:szCs w:val="24"/>
                <w:highlight w:val="none"/>
                <w:u w:val="none"/>
                <w:lang w:val="en-US" w:eastAsia="zh-CN"/>
              </w:rPr>
              <w:t>表</w:t>
            </w:r>
            <w:r>
              <w:rPr>
                <w:rFonts w:hint="default" w:ascii="Times New Roman" w:hAnsi="Times New Roman" w:eastAsia="宋体" w:cs="Times New Roman"/>
                <w:b/>
                <w:bCs/>
                <w:color w:val="auto"/>
                <w:kern w:val="0"/>
                <w:sz w:val="24"/>
                <w:szCs w:val="24"/>
                <w:lang w:val="en-US" w:eastAsia="zh-CN" w:bidi="ar"/>
              </w:rPr>
              <w:t xml:space="preserve"> 4-</w:t>
            </w:r>
            <w:r>
              <w:rPr>
                <w:rFonts w:hint="eastAsia" w:cs="Times New Roman"/>
                <w:b/>
                <w:bCs/>
                <w:color w:val="auto"/>
                <w:kern w:val="0"/>
                <w:sz w:val="24"/>
                <w:szCs w:val="24"/>
                <w:lang w:val="en-US" w:eastAsia="zh-CN" w:bidi="ar"/>
              </w:rPr>
              <w:t>24</w:t>
            </w:r>
            <w:r>
              <w:rPr>
                <w:rFonts w:hint="default" w:ascii="Times New Roman" w:hAnsi="Times New Roman" w:eastAsia="宋体" w:cs="Times New Roman"/>
                <w:b/>
                <w:bCs/>
                <w:color w:val="auto"/>
                <w:kern w:val="0"/>
                <w:sz w:val="24"/>
                <w:szCs w:val="24"/>
                <w:lang w:val="en-US" w:eastAsia="zh-CN" w:bidi="ar"/>
              </w:rPr>
              <w:t xml:space="preserve">  Q 值确定表</w:t>
            </w:r>
            <w:r>
              <w:rPr>
                <w:rFonts w:hint="default" w:ascii="Times New Roman" w:hAnsi="Times New Roman" w:eastAsia="宋体" w:cs="Times New Roman"/>
                <w:b/>
                <w:bCs/>
                <w:color w:val="auto"/>
                <w:sz w:val="24"/>
                <w:szCs w:val="24"/>
                <w:highlight w:val="none"/>
                <w:u w:val="none"/>
                <w:lang w:val="en-US" w:eastAsia="zh-CN"/>
              </w:rPr>
              <w:t>值</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065"/>
              <w:gridCol w:w="2130"/>
              <w:gridCol w:w="1754"/>
              <w:gridCol w:w="1186"/>
              <w:gridCol w:w="996"/>
            </w:tblGrid>
            <w:tr w14:paraId="5858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473336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序号</w:t>
                  </w:r>
                </w:p>
              </w:tc>
              <w:tc>
                <w:tcPr>
                  <w:tcW w:w="680" w:type="pct"/>
                  <w:noWrap w:val="0"/>
                  <w:vAlign w:val="center"/>
                </w:tcPr>
                <w:p w14:paraId="28F1F3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名称</w:t>
                  </w:r>
                </w:p>
              </w:tc>
              <w:tc>
                <w:tcPr>
                  <w:tcW w:w="1360" w:type="pct"/>
                  <w:noWrap w:val="0"/>
                  <w:vAlign w:val="center"/>
                </w:tcPr>
                <w:p w14:paraId="6E86C3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环境风险物质名称</w:t>
                  </w:r>
                </w:p>
              </w:tc>
              <w:tc>
                <w:tcPr>
                  <w:tcW w:w="1120" w:type="pct"/>
                  <w:noWrap w:val="0"/>
                  <w:vAlign w:val="center"/>
                </w:tcPr>
                <w:p w14:paraId="620B4C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u w:val="none"/>
                      <w:lang w:val="en-US" w:eastAsia="zh-CN"/>
                    </w:rPr>
                  </w:pPr>
                  <w:r>
                    <w:rPr>
                      <w:rFonts w:hint="default" w:ascii="Times New Roman" w:hAnsi="Times New Roman" w:eastAsia="宋体" w:cs="Times New Roman"/>
                      <w:b/>
                      <w:bCs/>
                      <w:color w:val="auto"/>
                      <w:sz w:val="21"/>
                      <w:szCs w:val="21"/>
                      <w:u w:val="none"/>
                      <w:lang w:val="en-US" w:eastAsia="zh-CN"/>
                    </w:rPr>
                    <w:t>最大存在量（t）</w:t>
                  </w:r>
                </w:p>
              </w:tc>
              <w:tc>
                <w:tcPr>
                  <w:tcW w:w="757" w:type="pct"/>
                  <w:noWrap w:val="0"/>
                  <w:vAlign w:val="center"/>
                </w:tcPr>
                <w:p w14:paraId="61A270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临界量</w:t>
                  </w:r>
                  <w:r>
                    <w:rPr>
                      <w:rFonts w:hint="default" w:ascii="Times New Roman" w:hAnsi="Times New Roman" w:eastAsia="宋体" w:cs="Times New Roman"/>
                      <w:b/>
                      <w:bCs/>
                      <w:color w:val="auto"/>
                      <w:sz w:val="21"/>
                      <w:szCs w:val="21"/>
                      <w:u w:val="none"/>
                      <w:lang w:val="en-US" w:eastAsia="zh-CN"/>
                    </w:rPr>
                    <w:t>（t）</w:t>
                  </w:r>
                </w:p>
              </w:tc>
              <w:tc>
                <w:tcPr>
                  <w:tcW w:w="636" w:type="pct"/>
                  <w:noWrap w:val="0"/>
                  <w:vAlign w:val="center"/>
                </w:tcPr>
                <w:p w14:paraId="3C313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比值Q</w:t>
                  </w:r>
                </w:p>
              </w:tc>
            </w:tr>
            <w:tr w14:paraId="50F9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67AF1A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1</w:t>
                  </w:r>
                </w:p>
              </w:tc>
              <w:tc>
                <w:tcPr>
                  <w:tcW w:w="680" w:type="pct"/>
                  <w:noWrap w:val="0"/>
                  <w:vAlign w:val="center"/>
                </w:tcPr>
                <w:p w14:paraId="5936FB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废机油</w:t>
                  </w:r>
                </w:p>
              </w:tc>
              <w:tc>
                <w:tcPr>
                  <w:tcW w:w="1360" w:type="pct"/>
                  <w:noWrap w:val="0"/>
                  <w:vAlign w:val="center"/>
                </w:tcPr>
                <w:p w14:paraId="58F80F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油类物质（</w:t>
                  </w:r>
                  <w:r>
                    <w:rPr>
                      <w:rFonts w:hint="eastAsia" w:cs="Times New Roman"/>
                      <w:b w:val="0"/>
                      <w:bCs w:val="0"/>
                      <w:color w:val="auto"/>
                      <w:sz w:val="21"/>
                      <w:szCs w:val="21"/>
                      <w:u w:val="none"/>
                      <w:lang w:val="en-US" w:eastAsia="zh-CN"/>
                    </w:rPr>
                    <w:t>废机油</w:t>
                  </w:r>
                  <w:r>
                    <w:rPr>
                      <w:rFonts w:hint="default" w:ascii="Times New Roman" w:hAnsi="Times New Roman" w:eastAsia="宋体" w:cs="Times New Roman"/>
                      <w:b w:val="0"/>
                      <w:bCs w:val="0"/>
                      <w:color w:val="auto"/>
                      <w:sz w:val="21"/>
                      <w:szCs w:val="21"/>
                      <w:u w:val="none"/>
                      <w:lang w:val="en-US" w:eastAsia="zh-CN"/>
                    </w:rPr>
                    <w:t>）</w:t>
                  </w:r>
                </w:p>
              </w:tc>
              <w:tc>
                <w:tcPr>
                  <w:tcW w:w="1120" w:type="pct"/>
                  <w:noWrap w:val="0"/>
                  <w:vAlign w:val="center"/>
                </w:tcPr>
                <w:p w14:paraId="36A6DB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0.1</w:t>
                  </w:r>
                </w:p>
              </w:tc>
              <w:tc>
                <w:tcPr>
                  <w:tcW w:w="757" w:type="pct"/>
                  <w:noWrap w:val="0"/>
                  <w:vAlign w:val="center"/>
                </w:tcPr>
                <w:p w14:paraId="285B4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2500</w:t>
                  </w:r>
                </w:p>
              </w:tc>
              <w:tc>
                <w:tcPr>
                  <w:tcW w:w="636" w:type="pct"/>
                  <w:noWrap w:val="0"/>
                  <w:vAlign w:val="center"/>
                </w:tcPr>
                <w:p w14:paraId="5CDCE9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0.00004</w:t>
                  </w:r>
                </w:p>
              </w:tc>
            </w:tr>
            <w:tr w14:paraId="6447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4B07BF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2</w:t>
                  </w:r>
                </w:p>
              </w:tc>
              <w:tc>
                <w:tcPr>
                  <w:tcW w:w="680" w:type="pct"/>
                  <w:shd w:val="clear" w:color="auto" w:fill="auto"/>
                  <w:noWrap w:val="0"/>
                  <w:vAlign w:val="center"/>
                </w:tcPr>
                <w:p w14:paraId="0E30E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甲苯</w:t>
                  </w:r>
                </w:p>
              </w:tc>
              <w:tc>
                <w:tcPr>
                  <w:tcW w:w="1360" w:type="pct"/>
                  <w:shd w:val="clear" w:color="auto" w:fill="auto"/>
                  <w:noWrap w:val="0"/>
                  <w:vAlign w:val="center"/>
                </w:tcPr>
                <w:p w14:paraId="4E91A5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甲苯</w:t>
                  </w:r>
                </w:p>
              </w:tc>
              <w:tc>
                <w:tcPr>
                  <w:tcW w:w="1120" w:type="pct"/>
                  <w:shd w:val="clear" w:color="auto" w:fill="auto"/>
                  <w:noWrap w:val="0"/>
                  <w:vAlign w:val="center"/>
                </w:tcPr>
                <w:p w14:paraId="3C6BC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0.0042</w:t>
                  </w:r>
                </w:p>
              </w:tc>
              <w:tc>
                <w:tcPr>
                  <w:tcW w:w="757" w:type="pct"/>
                  <w:shd w:val="clear" w:color="auto" w:fill="auto"/>
                  <w:noWrap w:val="0"/>
                  <w:vAlign w:val="center"/>
                </w:tcPr>
                <w:p w14:paraId="29AEBD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10</w:t>
                  </w:r>
                </w:p>
              </w:tc>
              <w:tc>
                <w:tcPr>
                  <w:tcW w:w="636" w:type="pct"/>
                  <w:shd w:val="clear" w:color="auto" w:fill="auto"/>
                  <w:noWrap w:val="0"/>
                  <w:vAlign w:val="center"/>
                </w:tcPr>
                <w:p w14:paraId="183213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0.00042</w:t>
                  </w:r>
                </w:p>
              </w:tc>
            </w:tr>
            <w:tr w14:paraId="2734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5E36BA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3</w:t>
                  </w:r>
                </w:p>
              </w:tc>
              <w:tc>
                <w:tcPr>
                  <w:tcW w:w="680" w:type="pct"/>
                  <w:shd w:val="clear" w:color="auto" w:fill="auto"/>
                  <w:noWrap w:val="0"/>
                  <w:vAlign w:val="center"/>
                </w:tcPr>
                <w:p w14:paraId="47742C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乙苯</w:t>
                  </w:r>
                </w:p>
              </w:tc>
              <w:tc>
                <w:tcPr>
                  <w:tcW w:w="1360" w:type="pct"/>
                  <w:shd w:val="clear" w:color="auto" w:fill="auto"/>
                  <w:noWrap w:val="0"/>
                  <w:vAlign w:val="center"/>
                </w:tcPr>
                <w:p w14:paraId="0333B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乙苯</w:t>
                  </w:r>
                </w:p>
              </w:tc>
              <w:tc>
                <w:tcPr>
                  <w:tcW w:w="1120" w:type="pct"/>
                  <w:shd w:val="clear" w:color="auto" w:fill="auto"/>
                  <w:noWrap w:val="0"/>
                  <w:vAlign w:val="center"/>
                </w:tcPr>
                <w:p w14:paraId="4206C3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0.0021</w:t>
                  </w:r>
                </w:p>
              </w:tc>
              <w:tc>
                <w:tcPr>
                  <w:tcW w:w="757" w:type="pct"/>
                  <w:shd w:val="clear" w:color="auto" w:fill="auto"/>
                  <w:noWrap w:val="0"/>
                  <w:vAlign w:val="center"/>
                </w:tcPr>
                <w:p w14:paraId="588E72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10</w:t>
                  </w:r>
                </w:p>
              </w:tc>
              <w:tc>
                <w:tcPr>
                  <w:tcW w:w="636" w:type="pct"/>
                  <w:shd w:val="clear" w:color="auto" w:fill="auto"/>
                  <w:noWrap w:val="0"/>
                  <w:vAlign w:val="center"/>
                </w:tcPr>
                <w:p w14:paraId="2BD7F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u w:val="none"/>
                      <w:lang w:val="en-US" w:eastAsia="zh-CN" w:bidi="ar-SA"/>
                    </w:rPr>
                  </w:pPr>
                  <w:r>
                    <w:rPr>
                      <w:rFonts w:hint="eastAsia" w:cs="Times New Roman"/>
                      <w:b w:val="0"/>
                      <w:bCs w:val="0"/>
                      <w:color w:val="auto"/>
                      <w:sz w:val="21"/>
                      <w:szCs w:val="21"/>
                      <w:u w:val="none"/>
                      <w:lang w:val="en-US" w:eastAsia="zh-CN"/>
                    </w:rPr>
                    <w:t>0.00021</w:t>
                  </w:r>
                </w:p>
              </w:tc>
            </w:tr>
            <w:tr w14:paraId="5C88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 w:type="pct"/>
                  <w:noWrap w:val="0"/>
                  <w:vAlign w:val="center"/>
                </w:tcPr>
                <w:p w14:paraId="39093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4</w:t>
                  </w:r>
                </w:p>
              </w:tc>
              <w:tc>
                <w:tcPr>
                  <w:tcW w:w="680" w:type="pct"/>
                  <w:noWrap w:val="0"/>
                  <w:vAlign w:val="center"/>
                </w:tcPr>
                <w:p w14:paraId="55F17B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苯乙烯</w:t>
                  </w:r>
                </w:p>
              </w:tc>
              <w:tc>
                <w:tcPr>
                  <w:tcW w:w="1360" w:type="pct"/>
                  <w:noWrap w:val="0"/>
                  <w:vAlign w:val="center"/>
                </w:tcPr>
                <w:p w14:paraId="6E9E7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苯乙烯</w:t>
                  </w:r>
                </w:p>
              </w:tc>
              <w:tc>
                <w:tcPr>
                  <w:tcW w:w="1120" w:type="pct"/>
                  <w:noWrap w:val="0"/>
                  <w:vAlign w:val="center"/>
                </w:tcPr>
                <w:p w14:paraId="75C762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0.0003</w:t>
                  </w:r>
                </w:p>
              </w:tc>
              <w:tc>
                <w:tcPr>
                  <w:tcW w:w="757" w:type="pct"/>
                  <w:noWrap w:val="0"/>
                  <w:vAlign w:val="center"/>
                </w:tcPr>
                <w:p w14:paraId="171702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10</w:t>
                  </w:r>
                </w:p>
              </w:tc>
              <w:tc>
                <w:tcPr>
                  <w:tcW w:w="636" w:type="pct"/>
                  <w:noWrap w:val="0"/>
                  <w:vAlign w:val="center"/>
                </w:tcPr>
                <w:p w14:paraId="662B2E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0.00003</w:t>
                  </w:r>
                </w:p>
              </w:tc>
            </w:tr>
            <w:tr w14:paraId="0EEF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3" w:type="pct"/>
                  <w:gridSpan w:val="5"/>
                  <w:noWrap w:val="0"/>
                  <w:vAlign w:val="center"/>
                </w:tcPr>
                <w:p w14:paraId="7DF85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合计</w:t>
                  </w:r>
                </w:p>
              </w:tc>
              <w:tc>
                <w:tcPr>
                  <w:tcW w:w="636" w:type="pct"/>
                  <w:noWrap w:val="0"/>
                  <w:vAlign w:val="center"/>
                </w:tcPr>
                <w:p w14:paraId="5E1C0B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u w:val="none"/>
                      <w:lang w:val="en-US" w:eastAsia="zh-CN"/>
                    </w:rPr>
                  </w:pPr>
                  <w:r>
                    <w:rPr>
                      <w:rFonts w:hint="default" w:ascii="Times New Roman" w:hAnsi="Times New Roman" w:eastAsia="宋体" w:cs="Times New Roman"/>
                      <w:b w:val="0"/>
                      <w:bCs w:val="0"/>
                      <w:color w:val="auto"/>
                      <w:sz w:val="21"/>
                      <w:szCs w:val="21"/>
                      <w:u w:val="none"/>
                      <w:lang w:val="en-US" w:eastAsia="zh-CN"/>
                    </w:rPr>
                    <w:t>0.</w:t>
                  </w:r>
                  <w:r>
                    <w:rPr>
                      <w:rFonts w:hint="eastAsia" w:cs="Times New Roman"/>
                      <w:b w:val="0"/>
                      <w:bCs w:val="0"/>
                      <w:color w:val="auto"/>
                      <w:sz w:val="21"/>
                      <w:szCs w:val="21"/>
                      <w:u w:val="none"/>
                      <w:lang w:val="en-US" w:eastAsia="zh-CN"/>
                    </w:rPr>
                    <w:t>0007</w:t>
                  </w:r>
                </w:p>
              </w:tc>
            </w:tr>
            <w:tr w14:paraId="05B42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2E88F6C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b w:val="0"/>
                      <w:bCs w:val="0"/>
                      <w:color w:val="auto"/>
                      <w:sz w:val="21"/>
                      <w:szCs w:val="21"/>
                      <w:u w:val="none"/>
                      <w:lang w:val="en-US" w:eastAsia="zh-CN"/>
                    </w:rPr>
                  </w:pPr>
                  <w:r>
                    <w:rPr>
                      <w:rFonts w:hint="eastAsia" w:cs="Times New Roman"/>
                      <w:b w:val="0"/>
                      <w:bCs w:val="0"/>
                      <w:color w:val="auto"/>
                      <w:sz w:val="21"/>
                      <w:szCs w:val="21"/>
                      <w:u w:val="none"/>
                      <w:lang w:val="en-US" w:eastAsia="zh-CN"/>
                    </w:rPr>
                    <w:t>备注：甲苯、乙苯、苯乙烯按照活性炭吸附的最大在线量进行核算</w:t>
                  </w:r>
                </w:p>
              </w:tc>
            </w:tr>
          </w:tbl>
          <w:p w14:paraId="0AD03454">
            <w:pPr>
              <w:keepNext w:val="0"/>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cs="Times New Roman"/>
                <w:color w:val="auto"/>
                <w:sz w:val="24"/>
              </w:rPr>
            </w:pPr>
            <w:r>
              <w:rPr>
                <w:rFonts w:hint="default" w:ascii="Times New Roman" w:hAnsi="Times New Roman" w:eastAsia="宋体" w:cs="Times New Roman"/>
                <w:color w:val="auto"/>
                <w:sz w:val="24"/>
                <w:szCs w:val="24"/>
                <w:lang w:val="en-US" w:eastAsia="zh-CN"/>
              </w:rPr>
              <w:t>根据上表可知，本项目</w:t>
            </w:r>
            <w:r>
              <w:rPr>
                <w:rFonts w:hint="default" w:ascii="Times New Roman" w:hAnsi="Times New Roman" w:eastAsia="宋体" w:cs="Times New Roman"/>
                <w:color w:val="auto"/>
                <w:sz w:val="24"/>
                <w:szCs w:val="24"/>
                <w:u w:val="none"/>
                <w:lang w:val="en-US" w:eastAsia="zh-CN"/>
              </w:rPr>
              <w:t>Q＜1，环境风险潜势为I，仅进行简单分析。</w:t>
            </w:r>
          </w:p>
          <w:p w14:paraId="5A6829F1">
            <w:pPr>
              <w:keepNext w:val="0"/>
              <w:keepLines/>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风险防范措施</w:t>
            </w:r>
          </w:p>
          <w:p w14:paraId="71EF84F4">
            <w:pPr>
              <w:pStyle w:val="19"/>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加强设备日常的维护和管理，定期清理更换废活性炭</w:t>
            </w:r>
            <w:r>
              <w:rPr>
                <w:rFonts w:hint="eastAsia" w:cs="Times New Roman"/>
                <w:color w:val="auto"/>
                <w:sz w:val="24"/>
                <w:szCs w:val="24"/>
                <w:lang w:val="en-US" w:eastAsia="zh-CN"/>
              </w:rPr>
              <w:t>和废布袋</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val="en-US" w:eastAsia="zh-CN"/>
              </w:rPr>
              <w:t>废气处理</w:t>
            </w:r>
            <w:r>
              <w:rPr>
                <w:rFonts w:hint="default" w:ascii="Times New Roman" w:hAnsi="Times New Roman" w:eastAsia="宋体" w:cs="Times New Roman"/>
                <w:color w:val="auto"/>
                <w:sz w:val="24"/>
                <w:szCs w:val="24"/>
              </w:rPr>
              <w:t>系统的各类设备进行保养、检查和维修，确保集气系统和</w:t>
            </w:r>
            <w:r>
              <w:rPr>
                <w:rFonts w:hint="default" w:ascii="Times New Roman" w:hAnsi="Times New Roman" w:eastAsia="宋体" w:cs="Times New Roman"/>
                <w:color w:val="auto"/>
                <w:sz w:val="24"/>
                <w:szCs w:val="24"/>
                <w:lang w:val="en-US" w:eastAsia="zh-CN"/>
              </w:rPr>
              <w:t>废气去除</w:t>
            </w:r>
            <w:r>
              <w:rPr>
                <w:rFonts w:hint="default" w:ascii="Times New Roman" w:hAnsi="Times New Roman" w:eastAsia="宋体" w:cs="Times New Roman"/>
                <w:color w:val="auto"/>
                <w:sz w:val="24"/>
                <w:szCs w:val="24"/>
              </w:rPr>
              <w:t>系统的正常运行。</w:t>
            </w:r>
          </w:p>
          <w:p w14:paraId="2636D2F6">
            <w:pPr>
              <w:pStyle w:val="19"/>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加强对生产车间、危废暂存间的监督管理，通过专人定时巡查、安装视频监控系统、每天上下班检查设备等方式，遏制可能发生的突发环境事故隐患。</w:t>
            </w:r>
          </w:p>
          <w:p w14:paraId="5C37008D">
            <w:pPr>
              <w:pStyle w:val="19"/>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危险废物暂存间严格按照《危险废物贮存污染控制标准》（GB18597-2023）的相关要求进行建设；危险废物严格管理，集中分类收集，及时交由有危险废物处理资质的单位回收处理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设置危险固废管理台账，如实记载危废的来源、数量、特性、包装容器类别、入库日期</w:t>
            </w:r>
            <w:r>
              <w:rPr>
                <w:rFonts w:hint="default" w:ascii="Times New Roman" w:hAnsi="Times New Roman" w:eastAsia="宋体" w:cs="Times New Roman"/>
                <w:color w:val="auto"/>
                <w:sz w:val="24"/>
                <w:szCs w:val="24"/>
                <w:lang w:val="en-US" w:eastAsia="zh-CN"/>
              </w:rPr>
              <w:t>等。</w:t>
            </w:r>
          </w:p>
          <w:p w14:paraId="30AFAC90">
            <w:pPr>
              <w:pStyle w:val="19"/>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按规范使用各类电器设备，避免漏电、短路、过流、过载、过热等而造成的绝缘失效或线路着火，定期检查厂房内的电源、线路，对老化电线及时更换；</w:t>
            </w:r>
          </w:p>
          <w:p w14:paraId="02CF8B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生产车间易燃物品</w:t>
            </w:r>
            <w:r>
              <w:rPr>
                <w:rFonts w:hint="eastAsia" w:ascii="Times New Roman" w:hAnsi="Times New Roman" w:cs="Times New Roman"/>
                <w:color w:val="auto"/>
                <w:sz w:val="24"/>
                <w:szCs w:val="24"/>
                <w:lang w:val="en-US" w:eastAsia="zh-CN"/>
              </w:rPr>
              <w:t>（原料和成品）</w:t>
            </w:r>
            <w:r>
              <w:rPr>
                <w:rFonts w:hint="default" w:ascii="Times New Roman" w:hAnsi="Times New Roman" w:eastAsia="宋体" w:cs="Times New Roman"/>
                <w:color w:val="auto"/>
                <w:sz w:val="24"/>
                <w:szCs w:val="24"/>
                <w:lang w:val="en-US" w:eastAsia="zh-CN"/>
              </w:rPr>
              <w:t>贮存区须确保通风良好、配备相应品种和数量的消防器材、设置必要的防火防爆与降温技术措施、按安全部门要求预留必要的安全间距， 远离火种和热源；</w:t>
            </w:r>
          </w:p>
          <w:p w14:paraId="18D442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生产车间和易燃物品贮存区禁止明火进入，禁止使用易产生火花的设备与工具，项目使用的照明、通风、空调、报警设施及相关用电设备均应采用防爆型装置；</w:t>
            </w:r>
          </w:p>
          <w:p w14:paraId="522CD4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（7）</w:t>
            </w:r>
            <w:r>
              <w:rPr>
                <w:rFonts w:hint="default" w:ascii="Times New Roman" w:hAnsi="Times New Roman" w:eastAsia="宋体" w:cs="Times New Roman"/>
                <w:bCs/>
                <w:color w:val="auto"/>
                <w:sz w:val="24"/>
                <w:szCs w:val="24"/>
              </w:rPr>
              <w:t>生产车间应配置温度计、湿度计，严格控制仓库温度、湿度；配备相应品种和数量的消防器材，车间工作人员及相关负责人均应熟悉其放置地点、用法，而且要经常检查，消防通道保持畅通；</w:t>
            </w:r>
            <w:r>
              <w:rPr>
                <w:rFonts w:hint="default" w:ascii="Times New Roman" w:hAnsi="Times New Roman" w:eastAsia="宋体" w:cs="Times New Roman"/>
                <w:color w:val="auto"/>
                <w:sz w:val="24"/>
                <w:szCs w:val="24"/>
                <w:lang w:val="en-US" w:eastAsia="zh-CN"/>
              </w:rPr>
              <w:t>禁止在生产车间有明火、吸烟、焊接等行为，</w:t>
            </w:r>
            <w:r>
              <w:rPr>
                <w:rFonts w:hint="default" w:ascii="Times New Roman" w:hAnsi="Times New Roman" w:eastAsia="宋体" w:cs="Times New Roman"/>
                <w:bCs/>
                <w:color w:val="auto"/>
                <w:sz w:val="24"/>
                <w:szCs w:val="24"/>
              </w:rPr>
              <w:t>禁止使用易产生火花的设备和工具，所有照明、通风、空调、报警设施及用电设备均采用防爆型装置，并合理设置“危险”、“禁止烟火”等警示标志</w:t>
            </w:r>
            <w:r>
              <w:rPr>
                <w:rFonts w:hint="default" w:ascii="Times New Roman" w:hAnsi="Times New Roman" w:eastAsia="宋体" w:cs="Times New Roman"/>
                <w:bCs/>
                <w:color w:val="auto"/>
                <w:sz w:val="24"/>
                <w:szCs w:val="24"/>
                <w:lang w:eastAsia="zh-CN"/>
              </w:rPr>
              <w:t>；</w:t>
            </w:r>
          </w:p>
          <w:p w14:paraId="12D8B34D">
            <w:pPr>
              <w:pStyle w:val="19"/>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eastAsia" w:cs="Times New Roman"/>
                <w:color w:val="auto"/>
                <w:sz w:val="24"/>
                <w:szCs w:val="24"/>
                <w:lang w:val="en-US" w:eastAsia="zh-CN"/>
              </w:rPr>
              <w:t>8</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进一步加强职工的岗位操作培训，提高职工的安全意识和风险防范能力，规范操作，将安全隐患降到最低。</w:t>
            </w:r>
          </w:p>
          <w:p w14:paraId="08F8AB77">
            <w:pPr>
              <w:pStyle w:val="19"/>
              <w:keepNext w:val="0"/>
              <w:keepLines w:val="0"/>
              <w:pageBreakBefore w:val="0"/>
              <w:widowControl w:val="0"/>
              <w:kinsoku/>
              <w:wordWrap/>
              <w:overflowPunct/>
              <w:topLinePunct w:val="0"/>
              <w:autoSpaceDE/>
              <w:autoSpaceDN/>
              <w:bidi w:val="0"/>
              <w:adjustRightInd/>
              <w:snapToGrid/>
              <w:spacing w:before="0"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设置应急管理组织，建立风险管理制度</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厂区内应配置所需的各类应急救援物资，发生事故时，第一时间加以发现并控制，防止事故进一步扩大。</w:t>
            </w:r>
          </w:p>
          <w:p w14:paraId="78DA54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4、分析结论</w:t>
            </w:r>
          </w:p>
          <w:p w14:paraId="74D2B84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kern w:val="2"/>
                <w:sz w:val="24"/>
                <w:szCs w:val="24"/>
                <w:lang w:val="en-US" w:eastAsia="zh-CN" w:bidi="ar-SA"/>
              </w:rPr>
              <w:t>综上所述，本项目运行期在严格落实风险防范措施后，可将风险事故发生概率将至最低，风险事故后果降低最小，对周围环境影响控制在可承受范围内</w:t>
            </w:r>
            <w:r>
              <w:rPr>
                <w:rFonts w:hint="eastAsia" w:ascii="Times New Roman" w:hAnsi="Times New Roman" w:eastAsia="宋体" w:cs="Times New Roman"/>
                <w:b w:val="0"/>
                <w:bCs w:val="0"/>
                <w:color w:val="auto"/>
                <w:kern w:val="2"/>
                <w:sz w:val="24"/>
                <w:szCs w:val="24"/>
                <w:lang w:val="en-US" w:eastAsia="zh-CN" w:bidi="ar-SA"/>
              </w:rPr>
              <w:t>，本次评价建议建设单位在</w:t>
            </w:r>
            <w:r>
              <w:rPr>
                <w:rFonts w:hint="default" w:ascii="Times New Roman" w:hAnsi="Times New Roman" w:eastAsia="宋体" w:cs="Times New Roman"/>
                <w:b w:val="0"/>
                <w:bCs w:val="0"/>
                <w:color w:val="auto"/>
                <w:kern w:val="2"/>
                <w:sz w:val="24"/>
                <w:szCs w:val="24"/>
                <w:lang w:val="en-US" w:eastAsia="zh-CN" w:bidi="ar-SA"/>
              </w:rPr>
              <w:t>项目建成运行后，应自主组织相关人员进行环保验收，并编制《突发事故环境风险应急预案》，报送</w:t>
            </w:r>
            <w:r>
              <w:rPr>
                <w:rFonts w:hint="eastAsia" w:cs="Times New Roman"/>
                <w:b w:val="0"/>
                <w:bCs w:val="0"/>
                <w:color w:val="auto"/>
                <w:kern w:val="2"/>
                <w:sz w:val="24"/>
                <w:szCs w:val="24"/>
                <w:lang w:val="en-US" w:eastAsia="zh-CN" w:bidi="ar-SA"/>
              </w:rPr>
              <w:t>玉溪</w:t>
            </w:r>
            <w:r>
              <w:rPr>
                <w:rFonts w:hint="default" w:ascii="Times New Roman" w:hAnsi="Times New Roman" w:eastAsia="宋体" w:cs="Times New Roman"/>
                <w:b w:val="0"/>
                <w:bCs w:val="0"/>
                <w:color w:val="auto"/>
                <w:kern w:val="2"/>
                <w:sz w:val="24"/>
                <w:szCs w:val="24"/>
                <w:lang w:val="en-US" w:eastAsia="zh-CN" w:bidi="ar-SA"/>
              </w:rPr>
              <w:t>市生态环境局</w:t>
            </w:r>
            <w:r>
              <w:rPr>
                <w:rFonts w:hint="eastAsia" w:cs="Times New Roman"/>
                <w:b w:val="0"/>
                <w:bCs w:val="0"/>
                <w:color w:val="auto"/>
                <w:kern w:val="2"/>
                <w:sz w:val="24"/>
                <w:szCs w:val="24"/>
                <w:lang w:val="en-US" w:eastAsia="zh-CN" w:bidi="ar-SA"/>
              </w:rPr>
              <w:t>红塔</w:t>
            </w:r>
            <w:r>
              <w:rPr>
                <w:rFonts w:hint="default" w:ascii="Times New Roman" w:hAnsi="Times New Roman" w:eastAsia="宋体" w:cs="Times New Roman"/>
                <w:b w:val="0"/>
                <w:bCs w:val="0"/>
                <w:color w:val="auto"/>
                <w:kern w:val="2"/>
                <w:sz w:val="24"/>
                <w:szCs w:val="24"/>
                <w:lang w:val="en-US" w:eastAsia="zh-CN" w:bidi="ar-SA"/>
              </w:rPr>
              <w:t>分局进行备案。</w:t>
            </w:r>
          </w:p>
          <w:p w14:paraId="21CE987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14:paraId="2F91220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p>
          <w:p w14:paraId="6F222F1C">
            <w:pPr>
              <w:pStyle w:val="2"/>
              <w:ind w:left="0" w:leftChars="0" w:firstLine="0" w:firstLineChars="0"/>
              <w:jc w:val="both"/>
              <w:rPr>
                <w:rFonts w:hint="default" w:ascii="Times New Roman" w:hAnsi="Times New Roman" w:eastAsia="宋体" w:cs="Times New Roman"/>
                <w:color w:val="auto"/>
                <w:sz w:val="24"/>
                <w:szCs w:val="24"/>
                <w:lang w:val="en-US" w:eastAsia="zh-CN"/>
              </w:rPr>
            </w:pPr>
          </w:p>
          <w:p w14:paraId="64F64170">
            <w:pPr>
              <w:pStyle w:val="2"/>
              <w:rPr>
                <w:rFonts w:hint="default" w:ascii="Times New Roman" w:hAnsi="Times New Roman" w:eastAsia="宋体" w:cs="Times New Roman"/>
                <w:color w:val="auto"/>
                <w:sz w:val="24"/>
                <w:szCs w:val="24"/>
                <w:lang w:val="en-US" w:eastAsia="zh-CN"/>
              </w:rPr>
            </w:pPr>
          </w:p>
          <w:p w14:paraId="4864E256">
            <w:pPr>
              <w:pStyle w:val="15"/>
              <w:ind w:left="0" w:leftChars="0" w:firstLine="0" w:firstLineChars="0"/>
              <w:rPr>
                <w:rFonts w:hint="eastAsia" w:ascii="Times New Roman" w:hAnsi="Times New Roman" w:eastAsia="宋体" w:cs="Times New Roman"/>
                <w:color w:val="auto"/>
                <w:sz w:val="24"/>
                <w:szCs w:val="24"/>
                <w:lang w:val="en-US" w:eastAsia="zh-CN"/>
              </w:rPr>
            </w:pPr>
          </w:p>
          <w:p w14:paraId="2E9EA5AB">
            <w:pPr>
              <w:pStyle w:val="15"/>
              <w:rPr>
                <w:rFonts w:hint="eastAsia" w:ascii="Times New Roman" w:hAnsi="Times New Roman" w:eastAsia="宋体" w:cs="Times New Roman"/>
                <w:color w:val="auto"/>
                <w:sz w:val="24"/>
                <w:szCs w:val="24"/>
                <w:lang w:val="en-US" w:eastAsia="zh-CN"/>
              </w:rPr>
            </w:pPr>
          </w:p>
        </w:tc>
      </w:tr>
    </w:tbl>
    <w:p w14:paraId="0F286D08">
      <w:pPr>
        <w:pStyle w:val="31"/>
        <w:jc w:val="center"/>
        <w:outlineLvl w:val="0"/>
        <w:rPr>
          <w:rFonts w:hint="default" w:ascii="Times New Roman" w:hAnsi="Times New Roman" w:eastAsia="黑体" w:cs="Times New Roman"/>
          <w:snapToGrid w:val="0"/>
          <w:color w:val="auto"/>
          <w:sz w:val="30"/>
          <w:szCs w:val="30"/>
        </w:rPr>
        <w:sectPr>
          <w:pgSz w:w="11906" w:h="16838"/>
          <w:pgMar w:top="1440" w:right="1800" w:bottom="1440" w:left="1800" w:header="851" w:footer="992" w:gutter="0"/>
          <w:pgNumType w:fmt="decimal"/>
          <w:cols w:space="720" w:num="1"/>
          <w:docGrid w:type="lines" w:linePitch="312" w:charSpace="0"/>
        </w:sectPr>
      </w:pPr>
      <w:bookmarkStart w:id="28" w:name="_Toc25748"/>
    </w:p>
    <w:p w14:paraId="6235E88C">
      <w:pPr>
        <w:pStyle w:val="4"/>
        <w:numPr>
          <w:ilvl w:val="0"/>
          <w:numId w:val="8"/>
        </w:numPr>
        <w:ind w:firstLine="0" w:firstLineChars="0"/>
        <w:jc w:val="center"/>
        <w:rPr>
          <w:rFonts w:hint="default" w:ascii="Times New Roman" w:hAnsi="Times New Roman" w:eastAsia="宋体" w:cs="Times New Roman"/>
          <w:b/>
          <w:color w:val="auto"/>
          <w:kern w:val="44"/>
          <w:sz w:val="28"/>
          <w:szCs w:val="24"/>
          <w:lang w:val="en-US" w:eastAsia="zh-CN" w:bidi="ar-SA"/>
        </w:rPr>
      </w:pPr>
      <w:bookmarkStart w:id="29" w:name="_Hlk54167917"/>
      <w:bookmarkStart w:id="30" w:name="_Toc13367"/>
      <w:r>
        <w:rPr>
          <w:rFonts w:hint="default" w:ascii="Times New Roman" w:hAnsi="Times New Roman" w:eastAsia="宋体" w:cs="Times New Roman"/>
          <w:b/>
          <w:color w:val="auto"/>
          <w:kern w:val="44"/>
          <w:sz w:val="28"/>
          <w:szCs w:val="24"/>
          <w:lang w:val="en-US" w:eastAsia="zh-CN" w:bidi="ar-SA"/>
        </w:rPr>
        <w:t>环境保护措施监督检查清单</w:t>
      </w:r>
      <w:bookmarkEnd w:id="28"/>
      <w:bookmarkEnd w:id="29"/>
      <w:bookmarkEnd w:id="30"/>
    </w:p>
    <w:tbl>
      <w:tblPr>
        <w:tblStyle w:val="3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752"/>
        <w:gridCol w:w="1191"/>
        <w:gridCol w:w="2314"/>
        <w:gridCol w:w="2151"/>
      </w:tblGrid>
      <w:tr w14:paraId="6CE99D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52" w:type="pct"/>
            <w:tcBorders>
              <w:tl2br w:val="single" w:color="auto" w:sz="4" w:space="0"/>
            </w:tcBorders>
            <w:vAlign w:val="center"/>
          </w:tcPr>
          <w:p w14:paraId="5BE92771">
            <w:pPr>
              <w:keepNext w:val="0"/>
              <w:keepLines w:val="0"/>
              <w:kinsoku/>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 xml:space="preserve">   </w:t>
            </w:r>
            <w:r>
              <w:rPr>
                <w:rFonts w:hint="default" w:ascii="Times New Roman" w:hAnsi="Times New Roman" w:cs="Times New Roman" w:eastAsiaTheme="minorEastAsia"/>
                <w:b/>
                <w:bCs/>
                <w:color w:val="auto"/>
                <w:sz w:val="24"/>
                <w:szCs w:val="24"/>
              </w:rPr>
              <w:t>内容</w:t>
            </w:r>
            <w:r>
              <w:rPr>
                <w:rFonts w:hint="default" w:ascii="Times New Roman" w:hAnsi="Times New Roman" w:cs="Times New Roman" w:eastAsiaTheme="minorEastAsia"/>
                <w:b/>
                <w:bCs/>
                <w:color w:val="auto"/>
                <w:sz w:val="24"/>
                <w:szCs w:val="24"/>
                <w:lang w:val="en-US" w:eastAsia="zh-CN"/>
              </w:rPr>
              <w:t xml:space="preserve">   </w:t>
            </w:r>
          </w:p>
          <w:p w14:paraId="584D0B9B">
            <w:pPr>
              <w:keepNext w:val="0"/>
              <w:keepLines w:val="0"/>
              <w:kinsoku/>
              <w:overflowPunct/>
              <w:topLinePunct w:val="0"/>
              <w:autoSpaceDE/>
              <w:autoSpaceDN/>
              <w:bidi w:val="0"/>
              <w:adjustRightInd/>
              <w:snapToGrid/>
              <w:spacing w:line="240" w:lineRule="auto"/>
              <w:ind w:firstLine="0" w:firstLineChars="0"/>
              <w:jc w:val="both"/>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要素</w:t>
            </w:r>
          </w:p>
        </w:tc>
        <w:tc>
          <w:tcPr>
            <w:tcW w:w="1028" w:type="pct"/>
            <w:vAlign w:val="center"/>
          </w:tcPr>
          <w:p w14:paraId="43A549DD">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排放口（编号、</w:t>
            </w:r>
          </w:p>
          <w:p w14:paraId="5FEED598">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名称）/污染源</w:t>
            </w:r>
          </w:p>
        </w:tc>
        <w:tc>
          <w:tcPr>
            <w:tcW w:w="699" w:type="pct"/>
            <w:vAlign w:val="center"/>
          </w:tcPr>
          <w:p w14:paraId="20227893">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污染物项目</w:t>
            </w:r>
          </w:p>
        </w:tc>
        <w:tc>
          <w:tcPr>
            <w:tcW w:w="1358" w:type="pct"/>
            <w:vAlign w:val="center"/>
          </w:tcPr>
          <w:p w14:paraId="0E82A937">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环境保护措施</w:t>
            </w:r>
          </w:p>
        </w:tc>
        <w:tc>
          <w:tcPr>
            <w:tcW w:w="1262" w:type="pct"/>
            <w:vAlign w:val="center"/>
          </w:tcPr>
          <w:p w14:paraId="162D355E">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执行标准</w:t>
            </w:r>
          </w:p>
        </w:tc>
      </w:tr>
      <w:tr w14:paraId="17103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652" w:type="pct"/>
            <w:vMerge w:val="restart"/>
            <w:vAlign w:val="center"/>
          </w:tcPr>
          <w:p w14:paraId="0936DE1C">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大气环境</w:t>
            </w:r>
          </w:p>
        </w:tc>
        <w:tc>
          <w:tcPr>
            <w:tcW w:w="1028" w:type="pct"/>
            <w:vMerge w:val="restart"/>
            <w:vAlign w:val="center"/>
          </w:tcPr>
          <w:p w14:paraId="548DF630">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DA001</w:t>
            </w:r>
          </w:p>
          <w:p w14:paraId="6C28A70C">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eastAsia="zh-CN"/>
              </w:rPr>
            </w:pPr>
          </w:p>
        </w:tc>
        <w:tc>
          <w:tcPr>
            <w:tcW w:w="699" w:type="pct"/>
            <w:vAlign w:val="center"/>
          </w:tcPr>
          <w:p w14:paraId="629CABE3">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NMHC</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苯乙烯、甲苯、乙苯</w:t>
            </w:r>
          </w:p>
        </w:tc>
        <w:tc>
          <w:tcPr>
            <w:tcW w:w="1358" w:type="pct"/>
            <w:vMerge w:val="restart"/>
            <w:vAlign w:val="center"/>
          </w:tcPr>
          <w:p w14:paraId="039A8073">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集气罩收集+</w:t>
            </w:r>
            <w:r>
              <w:rPr>
                <w:rFonts w:hint="default" w:ascii="Times New Roman" w:hAnsi="Times New Roman" w:cs="Times New Roman" w:eastAsiaTheme="minorEastAsia"/>
                <w:color w:val="auto"/>
                <w:sz w:val="24"/>
                <w:szCs w:val="24"/>
                <w:lang w:val="en-US" w:eastAsia="zh-CN"/>
              </w:rPr>
              <w:t>1套两</w:t>
            </w:r>
            <w:r>
              <w:rPr>
                <w:rFonts w:hint="default" w:ascii="Times New Roman" w:hAnsi="Times New Roman" w:cs="Times New Roman" w:eastAsiaTheme="minorEastAsia"/>
                <w:color w:val="auto"/>
                <w:sz w:val="24"/>
                <w:szCs w:val="24"/>
                <w:lang w:eastAsia="zh-CN"/>
              </w:rPr>
              <w:t>级活性炭吸附装置</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1根</w:t>
            </w:r>
            <w:r>
              <w:rPr>
                <w:rFonts w:hint="default" w:ascii="Times New Roman" w:hAnsi="Times New Roman" w:cs="Times New Roman" w:eastAsiaTheme="minorEastAsia"/>
                <w:color w:val="auto"/>
                <w:sz w:val="24"/>
                <w:szCs w:val="24"/>
              </w:rPr>
              <w:t>15m排气筒</w:t>
            </w:r>
          </w:p>
        </w:tc>
        <w:tc>
          <w:tcPr>
            <w:tcW w:w="1262" w:type="pct"/>
            <w:vAlign w:val="center"/>
          </w:tcPr>
          <w:p w14:paraId="05D43B4A">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执行GB31572-2015《合成树脂工业污染物排放标准》（含2024年修改单）表4标准</w:t>
            </w:r>
          </w:p>
        </w:tc>
      </w:tr>
      <w:tr w14:paraId="6039B8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652" w:type="pct"/>
            <w:vMerge w:val="continue"/>
            <w:vAlign w:val="center"/>
          </w:tcPr>
          <w:p w14:paraId="0AE7EE0B">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Merge w:val="continue"/>
            <w:vAlign w:val="center"/>
          </w:tcPr>
          <w:p w14:paraId="65BD659A">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699" w:type="pct"/>
            <w:vAlign w:val="center"/>
          </w:tcPr>
          <w:p w14:paraId="18F26C80">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臭气浓度</w:t>
            </w:r>
          </w:p>
        </w:tc>
        <w:tc>
          <w:tcPr>
            <w:tcW w:w="1358" w:type="pct"/>
            <w:vMerge w:val="continue"/>
            <w:vAlign w:val="center"/>
          </w:tcPr>
          <w:p w14:paraId="70E504D2">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262" w:type="pct"/>
            <w:vAlign w:val="center"/>
          </w:tcPr>
          <w:p w14:paraId="70AC4AE9">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执行《恶臭污染物排放标准》（GB14554-93）表2限值</w:t>
            </w:r>
          </w:p>
        </w:tc>
      </w:tr>
      <w:tr w14:paraId="49DCA8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652" w:type="pct"/>
            <w:vMerge w:val="continue"/>
            <w:vAlign w:val="center"/>
          </w:tcPr>
          <w:p w14:paraId="0A50C993">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5D9C01FA">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DA002</w:t>
            </w:r>
          </w:p>
        </w:tc>
        <w:tc>
          <w:tcPr>
            <w:tcW w:w="699" w:type="pct"/>
            <w:vAlign w:val="center"/>
          </w:tcPr>
          <w:p w14:paraId="052D3000">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颗粒物、二氧化硫、氮氧化物、烟气黑度</w:t>
            </w:r>
          </w:p>
        </w:tc>
        <w:tc>
          <w:tcPr>
            <w:tcW w:w="1358" w:type="pct"/>
            <w:vAlign w:val="center"/>
          </w:tcPr>
          <w:p w14:paraId="1758EFE0">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管道负压+</w:t>
            </w:r>
            <w:r>
              <w:rPr>
                <w:rFonts w:hint="eastAsia" w:cs="Times New Roman" w:eastAsiaTheme="minorEastAsia"/>
                <w:color w:val="auto"/>
                <w:sz w:val="24"/>
                <w:szCs w:val="24"/>
                <w:lang w:val="en-US" w:eastAsia="zh-CN"/>
              </w:rPr>
              <w:t>旋风除尘+布袋除尘</w:t>
            </w:r>
            <w:r>
              <w:rPr>
                <w:rFonts w:hint="default" w:ascii="Times New Roman" w:hAnsi="Times New Roman" w:cs="Times New Roman" w:eastAsiaTheme="minorEastAsia"/>
                <w:color w:val="auto"/>
                <w:sz w:val="24"/>
                <w:szCs w:val="24"/>
                <w:lang w:val="en-US" w:eastAsia="zh-CN"/>
              </w:rPr>
              <w:t>+1根30m排气筒</w:t>
            </w:r>
          </w:p>
        </w:tc>
        <w:tc>
          <w:tcPr>
            <w:tcW w:w="1262" w:type="pct"/>
            <w:vAlign w:val="center"/>
          </w:tcPr>
          <w:p w14:paraId="64A6644C">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执行</w:t>
            </w:r>
            <w:r>
              <w:rPr>
                <w:rFonts w:hint="default" w:ascii="Times New Roman" w:hAnsi="Times New Roman" w:cs="Times New Roman" w:eastAsiaTheme="minorEastAsia"/>
                <w:color w:val="auto"/>
                <w:sz w:val="24"/>
                <w:szCs w:val="24"/>
              </w:rPr>
              <w:t>《锅炉大气污染物排放标准》（GB13271-2014）中表2新建燃煤锅炉大气污染物排放浓度限值</w:t>
            </w:r>
          </w:p>
        </w:tc>
      </w:tr>
      <w:tr w14:paraId="12EBA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652" w:type="pct"/>
            <w:vMerge w:val="continue"/>
            <w:vAlign w:val="center"/>
          </w:tcPr>
          <w:p w14:paraId="0D28775E">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7201F7E3">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厨房</w:t>
            </w:r>
          </w:p>
        </w:tc>
        <w:tc>
          <w:tcPr>
            <w:tcW w:w="699" w:type="pct"/>
            <w:vAlign w:val="center"/>
          </w:tcPr>
          <w:p w14:paraId="5C42ED2F">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eastAsiaTheme="minorEastAsia"/>
                <w:b w:val="0"/>
                <w:color w:val="auto"/>
                <w:kern w:val="2"/>
                <w:sz w:val="24"/>
                <w:szCs w:val="24"/>
                <w:lang w:val="en-US" w:eastAsia="zh-CN" w:bidi="ar-SA"/>
              </w:rPr>
              <w:t>油烟</w:t>
            </w:r>
          </w:p>
        </w:tc>
        <w:tc>
          <w:tcPr>
            <w:tcW w:w="1358" w:type="pct"/>
            <w:vAlign w:val="center"/>
          </w:tcPr>
          <w:p w14:paraId="541F1511">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eastAsiaTheme="minorEastAsia"/>
                <w:b w:val="0"/>
                <w:color w:val="auto"/>
                <w:kern w:val="2"/>
                <w:sz w:val="24"/>
                <w:szCs w:val="24"/>
                <w:lang w:val="en-US" w:eastAsia="zh-CN" w:bidi="ar-SA"/>
              </w:rPr>
              <w:t>油烟净化器</w:t>
            </w:r>
          </w:p>
        </w:tc>
        <w:tc>
          <w:tcPr>
            <w:tcW w:w="1262" w:type="pct"/>
            <w:vAlign w:val="center"/>
          </w:tcPr>
          <w:p w14:paraId="22A9CDE0">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eastAsia" w:ascii="Times New Roman" w:hAnsi="Times New Roman" w:cs="Times New Roman" w:eastAsiaTheme="minorEastAsia"/>
                <w:b w:val="0"/>
                <w:color w:val="auto"/>
                <w:kern w:val="2"/>
                <w:sz w:val="24"/>
                <w:szCs w:val="24"/>
                <w:lang w:val="en-US" w:eastAsia="zh-CN" w:bidi="ar-SA"/>
              </w:rPr>
            </w:pPr>
            <w:r>
              <w:rPr>
                <w:rFonts w:hint="default" w:ascii="Times New Roman" w:hAnsi="Times New Roman" w:cs="Times New Roman" w:eastAsiaTheme="minorEastAsia"/>
                <w:b w:val="0"/>
                <w:color w:val="auto"/>
                <w:kern w:val="2"/>
                <w:sz w:val="24"/>
                <w:szCs w:val="24"/>
                <w:lang w:val="en-US" w:eastAsia="zh-CN" w:bidi="ar-SA"/>
              </w:rPr>
              <w:t>执行GB18483-2001《饮食业油烟排放标准》小型规模标准</w:t>
            </w:r>
          </w:p>
        </w:tc>
      </w:tr>
      <w:tr w14:paraId="56192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652" w:type="pct"/>
            <w:vMerge w:val="continue"/>
            <w:vAlign w:val="center"/>
          </w:tcPr>
          <w:p w14:paraId="28BE639A">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shd w:val="clear" w:color="auto" w:fill="auto"/>
            <w:vAlign w:val="center"/>
          </w:tcPr>
          <w:p w14:paraId="728F41D1">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4"/>
                <w:szCs w:val="24"/>
                <w:lang w:val="en-US" w:eastAsia="zh-CN"/>
              </w:rPr>
              <w:t>厂区</w:t>
            </w:r>
          </w:p>
        </w:tc>
        <w:tc>
          <w:tcPr>
            <w:tcW w:w="699" w:type="pct"/>
            <w:shd w:val="clear" w:color="auto" w:fill="auto"/>
            <w:vAlign w:val="center"/>
          </w:tcPr>
          <w:p w14:paraId="747B0387">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sz w:val="24"/>
                <w:szCs w:val="24"/>
              </w:rPr>
              <w:t>NMHC</w:t>
            </w:r>
          </w:p>
        </w:tc>
        <w:tc>
          <w:tcPr>
            <w:tcW w:w="1358" w:type="pct"/>
            <w:shd w:val="clear" w:color="auto" w:fill="auto"/>
            <w:vAlign w:val="center"/>
          </w:tcPr>
          <w:p w14:paraId="56E8E8C8">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color w:val="auto"/>
                <w:kern w:val="2"/>
                <w:sz w:val="24"/>
                <w:szCs w:val="24"/>
                <w:lang w:val="en-US" w:eastAsia="zh-CN" w:bidi="ar-SA"/>
              </w:rPr>
            </w:pPr>
            <w:r>
              <w:rPr>
                <w:rFonts w:hint="default" w:ascii="Times New Roman" w:hAnsi="Times New Roman" w:cs="Times New Roman" w:eastAsiaTheme="minorEastAsia"/>
                <w:color w:val="auto"/>
                <w:sz w:val="24"/>
                <w:szCs w:val="24"/>
                <w:lang w:val="en-US" w:eastAsia="zh-CN"/>
              </w:rPr>
              <w:t>加强车间通风</w:t>
            </w:r>
          </w:p>
        </w:tc>
        <w:tc>
          <w:tcPr>
            <w:tcW w:w="1262" w:type="pct"/>
            <w:shd w:val="clear" w:color="auto" w:fill="auto"/>
            <w:vAlign w:val="center"/>
          </w:tcPr>
          <w:p w14:paraId="0D271EC1">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color w:val="auto"/>
                <w:kern w:val="2"/>
                <w:sz w:val="24"/>
                <w:szCs w:val="24"/>
                <w:lang w:val="en-US" w:eastAsia="zh-CN" w:bidi="ar-SA"/>
              </w:rPr>
            </w:pPr>
            <w:r>
              <w:rPr>
                <w:rFonts w:hint="default" w:ascii="Times New Roman" w:hAnsi="Times New Roman" w:cs="Times New Roman" w:eastAsiaTheme="minorEastAsia"/>
                <w:color w:val="auto"/>
                <w:sz w:val="24"/>
                <w:szCs w:val="24"/>
              </w:rPr>
              <w:t>执行GB37822-2019《挥发性有机物无组织排放控制标准》</w:t>
            </w:r>
          </w:p>
        </w:tc>
      </w:tr>
      <w:tr w14:paraId="635DA5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652" w:type="pct"/>
            <w:vMerge w:val="continue"/>
            <w:vAlign w:val="center"/>
          </w:tcPr>
          <w:p w14:paraId="4E9AB602">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Merge w:val="restart"/>
            <w:vAlign w:val="center"/>
          </w:tcPr>
          <w:p w14:paraId="06374BD0">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厂界</w:t>
            </w:r>
          </w:p>
        </w:tc>
        <w:tc>
          <w:tcPr>
            <w:tcW w:w="699" w:type="pct"/>
            <w:vAlign w:val="center"/>
          </w:tcPr>
          <w:p w14:paraId="36AE33BD">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NMHC</w:t>
            </w:r>
            <w:r>
              <w:rPr>
                <w:rFonts w:hint="eastAsia"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val="en-US" w:eastAsia="zh-CN"/>
              </w:rPr>
              <w:t>甲苯</w:t>
            </w:r>
            <w:r>
              <w:rPr>
                <w:rFonts w:hint="eastAsia" w:cs="Times New Roman" w:eastAsiaTheme="minorEastAsia"/>
                <w:color w:val="auto"/>
                <w:sz w:val="24"/>
                <w:szCs w:val="24"/>
                <w:lang w:val="en-US" w:eastAsia="zh-CN"/>
              </w:rPr>
              <w:t>、颗粒物</w:t>
            </w:r>
          </w:p>
        </w:tc>
        <w:tc>
          <w:tcPr>
            <w:tcW w:w="1358" w:type="pct"/>
            <w:vAlign w:val="center"/>
          </w:tcPr>
          <w:p w14:paraId="40B5B2D1">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集气罩收集+</w:t>
            </w:r>
            <w:r>
              <w:rPr>
                <w:rFonts w:hint="default" w:ascii="Times New Roman" w:hAnsi="Times New Roman" w:cs="Times New Roman" w:eastAsiaTheme="minorEastAsia"/>
                <w:color w:val="auto"/>
                <w:sz w:val="24"/>
                <w:szCs w:val="24"/>
                <w:lang w:val="en-US" w:eastAsia="zh-CN"/>
              </w:rPr>
              <w:t>1套两</w:t>
            </w:r>
            <w:r>
              <w:rPr>
                <w:rFonts w:hint="default" w:ascii="Times New Roman" w:hAnsi="Times New Roman" w:cs="Times New Roman" w:eastAsiaTheme="minorEastAsia"/>
                <w:color w:val="auto"/>
                <w:sz w:val="24"/>
                <w:szCs w:val="24"/>
                <w:lang w:eastAsia="zh-CN"/>
              </w:rPr>
              <w:t>级活性炭吸附装置</w:t>
            </w:r>
            <w:r>
              <w:rPr>
                <w:rFonts w:hint="eastAsia" w:ascii="Times New Roman" w:hAnsi="Times New Roman" w:cs="Times New Roman" w:eastAsiaTheme="minorEastAsia"/>
                <w:color w:val="auto"/>
                <w:sz w:val="24"/>
                <w:szCs w:val="24"/>
                <w:lang w:val="en-US" w:eastAsia="zh-CN"/>
              </w:rPr>
              <w:t>处理后，无法有效收集的部分呈无组织排放，通过</w:t>
            </w:r>
            <w:r>
              <w:rPr>
                <w:rFonts w:hint="default" w:ascii="Times New Roman" w:hAnsi="Times New Roman" w:cs="Times New Roman" w:eastAsiaTheme="minorEastAsia"/>
                <w:color w:val="auto"/>
                <w:sz w:val="24"/>
                <w:szCs w:val="24"/>
                <w:lang w:val="en-US" w:eastAsia="zh-CN"/>
              </w:rPr>
              <w:t>加强车间通风，</w:t>
            </w:r>
            <w:r>
              <w:rPr>
                <w:rFonts w:hint="eastAsia" w:cs="Times New Roman" w:eastAsiaTheme="minorEastAsia"/>
                <w:color w:val="auto"/>
                <w:sz w:val="24"/>
                <w:szCs w:val="24"/>
                <w:lang w:val="en-US" w:eastAsia="zh-CN"/>
              </w:rPr>
              <w:t>人工</w:t>
            </w:r>
            <w:r>
              <w:rPr>
                <w:rFonts w:hint="default" w:ascii="Times New Roman" w:hAnsi="Times New Roman" w:cs="Times New Roman" w:eastAsiaTheme="minorEastAsia"/>
                <w:color w:val="auto"/>
                <w:sz w:val="24"/>
                <w:szCs w:val="24"/>
                <w:lang w:val="en-US" w:eastAsia="zh-CN"/>
              </w:rPr>
              <w:t>定期清扫</w:t>
            </w:r>
            <w:r>
              <w:rPr>
                <w:rFonts w:hint="eastAsia" w:cs="Times New Roman" w:eastAsiaTheme="minorEastAsia"/>
                <w:color w:val="auto"/>
                <w:sz w:val="24"/>
                <w:szCs w:val="24"/>
                <w:lang w:val="en-US" w:eastAsia="zh-CN"/>
              </w:rPr>
              <w:t>可以有效减少无组织废气排放</w:t>
            </w:r>
          </w:p>
        </w:tc>
        <w:tc>
          <w:tcPr>
            <w:tcW w:w="1262" w:type="pct"/>
            <w:vAlign w:val="center"/>
          </w:tcPr>
          <w:p w14:paraId="1B9047BC">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GB31572-2015《合成树脂工业污染物排放标准》（含2024年修改单）表9标准</w:t>
            </w:r>
          </w:p>
        </w:tc>
      </w:tr>
      <w:tr w14:paraId="400670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Merge w:val="continue"/>
            <w:vAlign w:val="center"/>
          </w:tcPr>
          <w:p w14:paraId="21F0A1C8">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Merge w:val="continue"/>
            <w:vAlign w:val="center"/>
          </w:tcPr>
          <w:p w14:paraId="41044342">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rPr>
            </w:pPr>
          </w:p>
        </w:tc>
        <w:tc>
          <w:tcPr>
            <w:tcW w:w="699" w:type="pct"/>
            <w:vAlign w:val="center"/>
          </w:tcPr>
          <w:p w14:paraId="68114350">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臭气</w:t>
            </w:r>
            <w:r>
              <w:rPr>
                <w:rFonts w:hint="default" w:ascii="Times New Roman" w:hAnsi="Times New Roman" w:cs="Times New Roman" w:eastAsiaTheme="minorEastAsia"/>
                <w:color w:val="auto"/>
                <w:sz w:val="24"/>
                <w:szCs w:val="24"/>
                <w:lang w:val="en-US" w:eastAsia="zh-CN"/>
              </w:rPr>
              <w:t>浓度、苯乙烯</w:t>
            </w:r>
          </w:p>
        </w:tc>
        <w:tc>
          <w:tcPr>
            <w:tcW w:w="1358" w:type="pct"/>
            <w:vAlign w:val="center"/>
          </w:tcPr>
          <w:p w14:paraId="48E88FC8">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集气罩收集+</w:t>
            </w:r>
            <w:r>
              <w:rPr>
                <w:rFonts w:hint="default" w:ascii="Times New Roman" w:hAnsi="Times New Roman" w:cs="Times New Roman" w:eastAsiaTheme="minorEastAsia"/>
                <w:color w:val="auto"/>
                <w:sz w:val="24"/>
                <w:szCs w:val="24"/>
                <w:lang w:val="en-US" w:eastAsia="zh-CN"/>
              </w:rPr>
              <w:t>1套两</w:t>
            </w:r>
            <w:r>
              <w:rPr>
                <w:rFonts w:hint="default" w:ascii="Times New Roman" w:hAnsi="Times New Roman" w:cs="Times New Roman" w:eastAsiaTheme="minorEastAsia"/>
                <w:color w:val="auto"/>
                <w:sz w:val="24"/>
                <w:szCs w:val="24"/>
                <w:lang w:eastAsia="zh-CN"/>
              </w:rPr>
              <w:t>级活性炭吸附装置</w:t>
            </w:r>
            <w:r>
              <w:rPr>
                <w:rFonts w:hint="eastAsia" w:ascii="Times New Roman" w:hAnsi="Times New Roman" w:cs="Times New Roman" w:eastAsiaTheme="minorEastAsia"/>
                <w:color w:val="auto"/>
                <w:sz w:val="24"/>
                <w:szCs w:val="24"/>
                <w:lang w:val="en-US" w:eastAsia="zh-CN"/>
              </w:rPr>
              <w:t>处理后，无法有效收集的部分呈无组织排放，通过</w:t>
            </w:r>
            <w:r>
              <w:rPr>
                <w:rFonts w:hint="default" w:ascii="Times New Roman" w:hAnsi="Times New Roman" w:cs="Times New Roman" w:eastAsiaTheme="minorEastAsia"/>
                <w:color w:val="auto"/>
                <w:sz w:val="24"/>
                <w:szCs w:val="24"/>
                <w:lang w:val="en-US" w:eastAsia="zh-CN"/>
              </w:rPr>
              <w:t>自然稀释扩散以及周边绿化植被吸附净化</w:t>
            </w:r>
          </w:p>
        </w:tc>
        <w:tc>
          <w:tcPr>
            <w:tcW w:w="1262" w:type="pct"/>
            <w:vAlign w:val="center"/>
          </w:tcPr>
          <w:p w14:paraId="5612489C">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b w:val="0"/>
                <w:bCs w:val="0"/>
                <w:i w:val="0"/>
                <w:iCs/>
                <w:color w:val="auto"/>
                <w:sz w:val="24"/>
                <w:szCs w:val="24"/>
                <w:vertAlign w:val="baseline"/>
                <w:lang w:val="en-US" w:eastAsia="zh-CN"/>
              </w:rPr>
              <w:t>执行《恶臭污染物排放标准》（GB14554-93）表1标准二级新扩改建标准限值</w:t>
            </w:r>
          </w:p>
        </w:tc>
      </w:tr>
      <w:tr w14:paraId="68301A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52" w:type="pct"/>
            <w:vMerge w:val="restart"/>
            <w:vAlign w:val="center"/>
          </w:tcPr>
          <w:p w14:paraId="028FF6F6">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地表水环境</w:t>
            </w:r>
          </w:p>
        </w:tc>
        <w:tc>
          <w:tcPr>
            <w:tcW w:w="1028" w:type="pct"/>
            <w:vAlign w:val="center"/>
          </w:tcPr>
          <w:p w14:paraId="28E717D3">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生产废水</w:t>
            </w:r>
          </w:p>
        </w:tc>
        <w:tc>
          <w:tcPr>
            <w:tcW w:w="699" w:type="pct"/>
            <w:vAlign w:val="center"/>
          </w:tcPr>
          <w:p w14:paraId="38F86386">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rPr>
              <w:t>SS</w:t>
            </w: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COD、全盐量</w:t>
            </w:r>
          </w:p>
        </w:tc>
        <w:tc>
          <w:tcPr>
            <w:tcW w:w="1358" w:type="pct"/>
            <w:vAlign w:val="center"/>
          </w:tcPr>
          <w:p w14:paraId="3B9CA9B1">
            <w:pPr>
              <w:keepNext w:val="0"/>
              <w:keepLines w:val="0"/>
              <w:pageBreakBefore/>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rPr>
            </w:pPr>
            <w:r>
              <w:rPr>
                <w:rFonts w:hint="default" w:ascii="Times New Roman" w:hAnsi="Times New Roman" w:cs="Times New Roman" w:eastAsiaTheme="minorEastAsia"/>
                <w:color w:val="auto"/>
                <w:kern w:val="0"/>
                <w:sz w:val="24"/>
                <w:szCs w:val="24"/>
                <w:lang w:val="en-US" w:eastAsia="zh-CN" w:bidi="ar-SA"/>
              </w:rPr>
              <w:t>生产废水（</w:t>
            </w:r>
            <w:r>
              <w:rPr>
                <w:rFonts w:hint="eastAsia" w:cs="Times New Roman" w:eastAsiaTheme="minorEastAsia"/>
                <w:color w:val="auto"/>
                <w:kern w:val="0"/>
                <w:sz w:val="24"/>
                <w:szCs w:val="24"/>
                <w:lang w:val="en-US" w:eastAsia="zh-CN" w:bidi="ar-SA"/>
              </w:rPr>
              <w:t>生物质蒸汽发生器</w:t>
            </w:r>
            <w:r>
              <w:rPr>
                <w:rFonts w:hint="default" w:ascii="Times New Roman" w:hAnsi="Times New Roman" w:cs="Times New Roman" w:eastAsiaTheme="minorEastAsia"/>
                <w:color w:val="auto"/>
                <w:kern w:val="0"/>
                <w:sz w:val="24"/>
                <w:szCs w:val="24"/>
                <w:lang w:val="en-US" w:eastAsia="zh-CN" w:bidi="ar-SA"/>
              </w:rPr>
              <w:t>排位水、软水制备废水）经收集后回用于厂区洒水降尘，不外排</w:t>
            </w:r>
          </w:p>
        </w:tc>
        <w:tc>
          <w:tcPr>
            <w:tcW w:w="1262" w:type="pct"/>
            <w:vAlign w:val="center"/>
          </w:tcPr>
          <w:p w14:paraId="1D61FF21">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4D499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652" w:type="pct"/>
            <w:vMerge w:val="continue"/>
            <w:vAlign w:val="center"/>
          </w:tcPr>
          <w:p w14:paraId="3785B8DD">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63494BF5">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bCs w:val="0"/>
                <w:color w:val="auto"/>
                <w:sz w:val="24"/>
                <w:szCs w:val="24"/>
                <w:lang w:eastAsia="zh-CN"/>
              </w:rPr>
            </w:pPr>
            <w:r>
              <w:rPr>
                <w:rFonts w:hint="default" w:ascii="Times New Roman" w:hAnsi="Times New Roman" w:cs="Times New Roman" w:eastAsiaTheme="minorEastAsia"/>
                <w:b w:val="0"/>
                <w:bCs w:val="0"/>
                <w:color w:val="auto"/>
                <w:sz w:val="24"/>
                <w:szCs w:val="24"/>
                <w:lang w:eastAsia="zh-CN"/>
              </w:rPr>
              <w:t>生活污水</w:t>
            </w:r>
          </w:p>
        </w:tc>
        <w:tc>
          <w:tcPr>
            <w:tcW w:w="699" w:type="pct"/>
            <w:vAlign w:val="center"/>
          </w:tcPr>
          <w:p w14:paraId="63E8CC12">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rPr>
              <w:t>COD</w:t>
            </w:r>
            <w:r>
              <w:rPr>
                <w:rFonts w:hint="default" w:ascii="Times New Roman" w:hAnsi="Times New Roman" w:cs="Times New Roman" w:eastAsiaTheme="minorEastAsia"/>
                <w:b w:val="0"/>
                <w:bCs w:val="0"/>
                <w:color w:val="auto"/>
                <w:sz w:val="24"/>
                <w:szCs w:val="24"/>
                <w:vertAlign w:val="subscript"/>
              </w:rPr>
              <w:t>cr</w:t>
            </w:r>
            <w:r>
              <w:rPr>
                <w:rFonts w:hint="eastAsia"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z w:val="24"/>
                <w:szCs w:val="24"/>
              </w:rPr>
              <w:t>BOD</w:t>
            </w:r>
            <w:r>
              <w:rPr>
                <w:rFonts w:hint="default" w:ascii="Times New Roman" w:hAnsi="Times New Roman" w:cs="Times New Roman" w:eastAsiaTheme="minorEastAsia"/>
                <w:b w:val="0"/>
                <w:bCs w:val="0"/>
                <w:color w:val="auto"/>
                <w:sz w:val="24"/>
                <w:szCs w:val="24"/>
                <w:vertAlign w:val="subscript"/>
              </w:rPr>
              <w:t>5</w:t>
            </w:r>
            <w:r>
              <w:rPr>
                <w:rFonts w:hint="eastAsia"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动植物油</w:t>
            </w:r>
            <w:r>
              <w:rPr>
                <w:rFonts w:hint="eastAsia"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z w:val="24"/>
                <w:szCs w:val="24"/>
              </w:rPr>
              <w:t>NH</w:t>
            </w:r>
            <w:r>
              <w:rPr>
                <w:rFonts w:hint="default" w:ascii="Times New Roman" w:hAnsi="Times New Roman" w:cs="Times New Roman" w:eastAsiaTheme="minorEastAsia"/>
                <w:b w:val="0"/>
                <w:bCs w:val="0"/>
                <w:color w:val="auto"/>
                <w:sz w:val="24"/>
                <w:szCs w:val="24"/>
                <w:vertAlign w:val="subscript"/>
              </w:rPr>
              <w:t>3</w:t>
            </w:r>
            <w:r>
              <w:rPr>
                <w:rFonts w:hint="default" w:ascii="Times New Roman" w:hAnsi="Times New Roman" w:cs="Times New Roman" w:eastAsiaTheme="minorEastAsia"/>
                <w:b w:val="0"/>
                <w:bCs w:val="0"/>
                <w:color w:val="auto"/>
                <w:sz w:val="24"/>
                <w:szCs w:val="24"/>
              </w:rPr>
              <w:t>-N</w:t>
            </w:r>
            <w:r>
              <w:rPr>
                <w:rFonts w:hint="eastAsia" w:ascii="Times New Roman" w:hAnsi="Times New Roman" w:cs="Times New Roman" w:eastAsiaTheme="minorEastAsia"/>
                <w:b w:val="0"/>
                <w:bCs w:val="0"/>
                <w:color w:val="auto"/>
                <w:sz w:val="24"/>
                <w:szCs w:val="24"/>
                <w:lang w:eastAsia="zh-CN"/>
              </w:rPr>
              <w:t>、</w:t>
            </w:r>
            <w:r>
              <w:rPr>
                <w:rFonts w:hint="default" w:ascii="Times New Roman" w:hAnsi="Times New Roman" w:cs="Times New Roman" w:eastAsiaTheme="minorEastAsia"/>
                <w:b w:val="0"/>
                <w:bCs w:val="0"/>
                <w:color w:val="auto"/>
                <w:sz w:val="24"/>
                <w:szCs w:val="24"/>
                <w:lang w:val="en-US" w:eastAsia="zh-CN"/>
              </w:rPr>
              <w:t>SS</w:t>
            </w:r>
          </w:p>
        </w:tc>
        <w:tc>
          <w:tcPr>
            <w:tcW w:w="1358" w:type="pct"/>
            <w:vAlign w:val="center"/>
          </w:tcPr>
          <w:p w14:paraId="2CCFCC6E">
            <w:pPr>
              <w:keepNext w:val="0"/>
              <w:keepLines w:val="0"/>
              <w:pageBreakBefore/>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食堂废水经油水分离器隔油后与其</w:t>
            </w:r>
            <w:r>
              <w:rPr>
                <w:rFonts w:hint="default" w:ascii="Times New Roman" w:hAnsi="Times New Roman" w:cs="Times New Roman" w:eastAsiaTheme="minorEastAsia"/>
                <w:color w:val="auto"/>
                <w:sz w:val="24"/>
                <w:szCs w:val="24"/>
                <w:lang w:val="en-US" w:eastAsia="zh-CN"/>
              </w:rPr>
              <w:t>它</w:t>
            </w:r>
            <w:r>
              <w:rPr>
                <w:rFonts w:hint="default" w:ascii="Times New Roman" w:hAnsi="Times New Roman" w:cs="Times New Roman" w:eastAsiaTheme="minorEastAsia"/>
                <w:color w:val="auto"/>
                <w:sz w:val="24"/>
                <w:szCs w:val="24"/>
              </w:rPr>
              <w:t>生活污水一起进入化粪池</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经化粪池（</w:t>
            </w:r>
            <w:r>
              <w:rPr>
                <w:rFonts w:hint="eastAsia"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m</w:t>
            </w:r>
            <w:r>
              <w:rPr>
                <w:rFonts w:hint="default" w:ascii="Times New Roman" w:hAnsi="Times New Roman" w:cs="Times New Roman" w:eastAsiaTheme="minorEastAsia"/>
                <w:color w:val="auto"/>
                <w:sz w:val="24"/>
                <w:szCs w:val="24"/>
                <w:vertAlign w:val="superscript"/>
              </w:rPr>
              <w:t>3</w:t>
            </w:r>
            <w:r>
              <w:rPr>
                <w:rFonts w:hint="default" w:ascii="Times New Roman" w:hAnsi="Times New Roman" w:cs="Times New Roman" w:eastAsiaTheme="minorEastAsia"/>
                <w:color w:val="auto"/>
                <w:sz w:val="24"/>
                <w:szCs w:val="24"/>
              </w:rPr>
              <w:t>）预处理后，</w:t>
            </w:r>
            <w:r>
              <w:rPr>
                <w:rFonts w:hint="eastAsia" w:cs="Times New Roman" w:eastAsiaTheme="minorEastAsia"/>
                <w:color w:val="auto"/>
                <w:sz w:val="24"/>
                <w:szCs w:val="24"/>
                <w:lang w:val="en-US" w:eastAsia="zh-CN"/>
              </w:rPr>
              <w:t>通过泵输送至项目新建的2m</w:t>
            </w:r>
            <w:r>
              <w:rPr>
                <w:rFonts w:hint="eastAsia" w:cs="Times New Roman" w:eastAsiaTheme="minorEastAsia"/>
                <w:color w:val="auto"/>
                <w:sz w:val="24"/>
                <w:szCs w:val="24"/>
                <w:vertAlign w:val="superscript"/>
                <w:lang w:val="en-US" w:eastAsia="zh-CN"/>
              </w:rPr>
              <w:t>3</w:t>
            </w:r>
            <w:r>
              <w:rPr>
                <w:rFonts w:hint="eastAsia" w:cs="Times New Roman" w:eastAsiaTheme="minorEastAsia"/>
                <w:color w:val="auto"/>
                <w:sz w:val="24"/>
                <w:szCs w:val="24"/>
                <w:lang w:val="en-US" w:eastAsia="zh-CN"/>
              </w:rPr>
              <w:t>/d的一体化污水处理设施，经处理达标后，晴天回用于厂区绿化或道路清扫，不外排，雨天暂存于中水池，待晴天后，回用于厂区绿化或道路清扫，不外排</w:t>
            </w:r>
          </w:p>
        </w:tc>
        <w:tc>
          <w:tcPr>
            <w:tcW w:w="1262" w:type="pct"/>
            <w:vAlign w:val="center"/>
          </w:tcPr>
          <w:p w14:paraId="72572124">
            <w:pPr>
              <w:pStyle w:val="46"/>
              <w:keepNext w:val="0"/>
              <w:keepLines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color w:val="auto"/>
                <w:kern w:val="2"/>
                <w:sz w:val="24"/>
                <w:szCs w:val="24"/>
                <w:lang w:val="en-US" w:eastAsia="zh-CN" w:bidi="ar-SA"/>
              </w:rPr>
            </w:pPr>
            <w:r>
              <w:rPr>
                <w:rFonts w:hint="eastAsia" w:ascii="Times New Roman" w:hAnsi="Times New Roman" w:cs="Times New Roman" w:eastAsiaTheme="minorEastAsia"/>
                <w:b w:val="0"/>
                <w:color w:val="auto"/>
                <w:kern w:val="2"/>
                <w:sz w:val="24"/>
                <w:szCs w:val="24"/>
                <w:lang w:val="en-US" w:eastAsia="zh-CN" w:bidi="ar-SA"/>
              </w:rPr>
              <w:t>执行</w:t>
            </w:r>
            <w:r>
              <w:rPr>
                <w:rFonts w:hint="default" w:ascii="Times New Roman" w:hAnsi="Times New Roman" w:cs="Times New Roman" w:eastAsiaTheme="minorEastAsia"/>
                <w:b w:val="0"/>
                <w:color w:val="auto"/>
                <w:kern w:val="2"/>
                <w:sz w:val="24"/>
                <w:szCs w:val="24"/>
                <w:lang w:val="zh-CN" w:eastAsia="zh-CN" w:bidi="ar-SA"/>
              </w:rPr>
              <w:t>《城市污水再生利用 城市杂用水水质》（</w:t>
            </w:r>
            <w:r>
              <w:rPr>
                <w:rFonts w:hint="default" w:ascii="Times New Roman" w:hAnsi="Times New Roman" w:cs="Times New Roman" w:eastAsiaTheme="minorEastAsia"/>
                <w:b w:val="0"/>
                <w:color w:val="auto"/>
                <w:kern w:val="2"/>
                <w:sz w:val="24"/>
                <w:szCs w:val="24"/>
                <w:lang w:val="en-US" w:eastAsia="zh-CN" w:bidi="ar-SA"/>
              </w:rPr>
              <w:t>GB/T18920-2020</w:t>
            </w:r>
            <w:r>
              <w:rPr>
                <w:rFonts w:hint="default" w:ascii="Times New Roman" w:hAnsi="Times New Roman" w:cs="Times New Roman" w:eastAsiaTheme="minorEastAsia"/>
                <w:b w:val="0"/>
                <w:color w:val="auto"/>
                <w:kern w:val="2"/>
                <w:sz w:val="24"/>
                <w:szCs w:val="24"/>
                <w:lang w:val="zh-CN" w:eastAsia="zh-CN" w:bidi="ar-SA"/>
              </w:rPr>
              <w:t>）标准中绿化标准</w:t>
            </w:r>
          </w:p>
        </w:tc>
      </w:tr>
      <w:tr w14:paraId="190214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 w:hRule="atLeast"/>
          <w:jc w:val="center"/>
        </w:trPr>
        <w:tc>
          <w:tcPr>
            <w:tcW w:w="652" w:type="pct"/>
            <w:vAlign w:val="center"/>
          </w:tcPr>
          <w:p w14:paraId="4FC4CB62">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声环境</w:t>
            </w:r>
          </w:p>
        </w:tc>
        <w:tc>
          <w:tcPr>
            <w:tcW w:w="1028" w:type="pct"/>
            <w:vAlign w:val="center"/>
          </w:tcPr>
          <w:p w14:paraId="0820AC5A">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生产设备噪声</w:t>
            </w:r>
          </w:p>
        </w:tc>
        <w:tc>
          <w:tcPr>
            <w:tcW w:w="699" w:type="pct"/>
            <w:vAlign w:val="center"/>
          </w:tcPr>
          <w:p w14:paraId="09ECF562">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噪声</w:t>
            </w:r>
          </w:p>
        </w:tc>
        <w:tc>
          <w:tcPr>
            <w:tcW w:w="1358" w:type="pct"/>
            <w:vAlign w:val="center"/>
          </w:tcPr>
          <w:p w14:paraId="4A298159">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选用低噪设备、安装减震垫、厂房隔音、风机加装消声器</w:t>
            </w:r>
          </w:p>
        </w:tc>
        <w:tc>
          <w:tcPr>
            <w:tcW w:w="1262" w:type="pct"/>
            <w:vAlign w:val="center"/>
          </w:tcPr>
          <w:p w14:paraId="78B24D84">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《工业企业厂界环境噪声排放标准》（GB12348-2008）</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类</w:t>
            </w:r>
          </w:p>
        </w:tc>
      </w:tr>
      <w:tr w14:paraId="34B43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53DB732D">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电磁辐射</w:t>
            </w:r>
          </w:p>
        </w:tc>
        <w:tc>
          <w:tcPr>
            <w:tcW w:w="4347" w:type="pct"/>
            <w:gridSpan w:val="4"/>
            <w:vAlign w:val="center"/>
          </w:tcPr>
          <w:p w14:paraId="46BE9A54">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p>
        </w:tc>
      </w:tr>
      <w:tr w14:paraId="7C5831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652" w:type="pct"/>
            <w:vMerge w:val="restart"/>
            <w:vAlign w:val="center"/>
          </w:tcPr>
          <w:p w14:paraId="23BF7D20">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固体废物</w:t>
            </w:r>
          </w:p>
        </w:tc>
        <w:tc>
          <w:tcPr>
            <w:tcW w:w="1028" w:type="pct"/>
            <w:vAlign w:val="center"/>
          </w:tcPr>
          <w:p w14:paraId="25972751">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日常生活</w:t>
            </w:r>
          </w:p>
        </w:tc>
        <w:tc>
          <w:tcPr>
            <w:tcW w:w="699" w:type="pct"/>
            <w:vAlign w:val="center"/>
          </w:tcPr>
          <w:p w14:paraId="069F19E0">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生活垃圾</w:t>
            </w:r>
          </w:p>
        </w:tc>
        <w:tc>
          <w:tcPr>
            <w:tcW w:w="1358" w:type="pct"/>
            <w:vAlign w:val="center"/>
          </w:tcPr>
          <w:p w14:paraId="62D9E797">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val="en-US" w:eastAsia="zh-CN"/>
              </w:rPr>
              <w:t>统一袋装收集后，</w:t>
            </w:r>
            <w:r>
              <w:rPr>
                <w:rFonts w:hint="default" w:ascii="Times New Roman" w:hAnsi="Times New Roman" w:cs="Times New Roman" w:eastAsiaTheme="minorEastAsia"/>
                <w:color w:val="auto"/>
                <w:sz w:val="24"/>
                <w:szCs w:val="24"/>
              </w:rPr>
              <w:t>运至附近垃圾收集点</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eastAsia="zh-CN"/>
              </w:rPr>
              <w:t>由</w:t>
            </w:r>
            <w:r>
              <w:rPr>
                <w:rFonts w:hint="default" w:ascii="Times New Roman" w:hAnsi="Times New Roman" w:cs="Times New Roman" w:eastAsiaTheme="minorEastAsia"/>
                <w:color w:val="auto"/>
                <w:sz w:val="24"/>
                <w:szCs w:val="24"/>
                <w:lang w:val="en-US" w:eastAsia="zh-CN"/>
              </w:rPr>
              <w:t>当地</w:t>
            </w:r>
            <w:r>
              <w:rPr>
                <w:rFonts w:hint="default" w:ascii="Times New Roman" w:hAnsi="Times New Roman" w:cs="Times New Roman" w:eastAsiaTheme="minorEastAsia"/>
                <w:color w:val="auto"/>
                <w:sz w:val="24"/>
                <w:szCs w:val="24"/>
                <w:lang w:eastAsia="zh-CN"/>
              </w:rPr>
              <w:t>环卫部门统一清运</w:t>
            </w:r>
          </w:p>
        </w:tc>
        <w:tc>
          <w:tcPr>
            <w:tcW w:w="1262" w:type="pct"/>
            <w:vAlign w:val="center"/>
          </w:tcPr>
          <w:p w14:paraId="2E198B7F">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1735D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52" w:type="pct"/>
            <w:vMerge w:val="continue"/>
            <w:vAlign w:val="center"/>
          </w:tcPr>
          <w:p w14:paraId="702DA875">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111F26E9">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一体化污水处理设施和化粪池</w:t>
            </w:r>
          </w:p>
        </w:tc>
        <w:tc>
          <w:tcPr>
            <w:tcW w:w="699" w:type="pct"/>
            <w:vAlign w:val="center"/>
          </w:tcPr>
          <w:p w14:paraId="0E94270C">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污泥</w:t>
            </w:r>
          </w:p>
        </w:tc>
        <w:tc>
          <w:tcPr>
            <w:tcW w:w="1358" w:type="pct"/>
            <w:vAlign w:val="center"/>
          </w:tcPr>
          <w:p w14:paraId="6B0B4B30">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委托</w:t>
            </w:r>
            <w:r>
              <w:rPr>
                <w:rFonts w:hint="eastAsia" w:ascii="Times New Roman" w:hAnsi="Times New Roman" w:cs="Times New Roman" w:eastAsiaTheme="minorEastAsia"/>
                <w:color w:val="auto"/>
                <w:sz w:val="24"/>
                <w:szCs w:val="24"/>
                <w:lang w:val="en-US" w:eastAsia="zh-CN"/>
              </w:rPr>
              <w:t>当地环卫部门负责清理清运</w:t>
            </w:r>
          </w:p>
        </w:tc>
        <w:tc>
          <w:tcPr>
            <w:tcW w:w="1262" w:type="pct"/>
            <w:vAlign w:val="center"/>
          </w:tcPr>
          <w:p w14:paraId="12D6275C">
            <w:pPr>
              <w:keepNext w:val="0"/>
              <w:keepLines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w:t>
            </w:r>
          </w:p>
        </w:tc>
      </w:tr>
      <w:tr w14:paraId="0088C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52" w:type="pct"/>
            <w:vMerge w:val="continue"/>
            <w:vAlign w:val="center"/>
          </w:tcPr>
          <w:p w14:paraId="2AFE0B8D">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2496413E">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车间内收集的颗粒物</w:t>
            </w:r>
          </w:p>
        </w:tc>
        <w:tc>
          <w:tcPr>
            <w:tcW w:w="699" w:type="pct"/>
            <w:vAlign w:val="center"/>
          </w:tcPr>
          <w:p w14:paraId="3E09D7E3">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颗粒物</w:t>
            </w:r>
          </w:p>
        </w:tc>
        <w:tc>
          <w:tcPr>
            <w:tcW w:w="1358" w:type="pct"/>
            <w:vAlign w:val="center"/>
          </w:tcPr>
          <w:p w14:paraId="5AD44695">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人工清扫收集后，回用于生产，不外排</w:t>
            </w:r>
          </w:p>
        </w:tc>
        <w:tc>
          <w:tcPr>
            <w:tcW w:w="1262" w:type="pct"/>
            <w:vAlign w:val="center"/>
          </w:tcPr>
          <w:p w14:paraId="22B28F88">
            <w:pPr>
              <w:keepNext w:val="0"/>
              <w:keepLines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w:t>
            </w:r>
          </w:p>
        </w:tc>
      </w:tr>
      <w:tr w14:paraId="331251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52" w:type="pct"/>
            <w:vMerge w:val="continue"/>
            <w:vAlign w:val="center"/>
          </w:tcPr>
          <w:p w14:paraId="5E69967A">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3E51F6C7">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原辅料包装袋</w:t>
            </w:r>
          </w:p>
        </w:tc>
        <w:tc>
          <w:tcPr>
            <w:tcW w:w="699" w:type="pct"/>
            <w:shd w:val="clear" w:color="auto" w:fill="auto"/>
            <w:vAlign w:val="center"/>
          </w:tcPr>
          <w:p w14:paraId="7C4ED885">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outlineLvl w:val="9"/>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color w:val="auto"/>
                <w:sz w:val="24"/>
                <w:szCs w:val="24"/>
                <w:lang w:val="en-US" w:eastAsia="zh-CN"/>
              </w:rPr>
              <w:t>废弃包装物</w:t>
            </w:r>
          </w:p>
        </w:tc>
        <w:tc>
          <w:tcPr>
            <w:tcW w:w="1358" w:type="pct"/>
            <w:vMerge w:val="restart"/>
            <w:vAlign w:val="center"/>
          </w:tcPr>
          <w:p w14:paraId="17C70AD8">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pacing w:val="-1"/>
                <w:sz w:val="24"/>
                <w:szCs w:val="24"/>
                <w:lang w:val="en-US" w:eastAsia="zh-CN"/>
              </w:rPr>
              <w:t>统一收集后外售处置</w:t>
            </w:r>
          </w:p>
        </w:tc>
        <w:tc>
          <w:tcPr>
            <w:tcW w:w="1262" w:type="pct"/>
            <w:vMerge w:val="restart"/>
            <w:vAlign w:val="center"/>
          </w:tcPr>
          <w:p w14:paraId="12484CD3">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贮存设施符合《一般工业固体废物贮存和填埋污染控制标准》（GB18599-2020）</w:t>
            </w:r>
          </w:p>
        </w:tc>
      </w:tr>
      <w:tr w14:paraId="4E9040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52" w:type="pct"/>
            <w:vMerge w:val="continue"/>
            <w:vAlign w:val="center"/>
          </w:tcPr>
          <w:p w14:paraId="7493F464">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1C137F9F">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废气治理设施</w:t>
            </w:r>
          </w:p>
        </w:tc>
        <w:tc>
          <w:tcPr>
            <w:tcW w:w="699" w:type="pct"/>
            <w:shd w:val="clear" w:color="auto" w:fill="auto"/>
            <w:vAlign w:val="center"/>
          </w:tcPr>
          <w:p w14:paraId="74570898">
            <w:pPr>
              <w:pStyle w:val="104"/>
              <w:keepNext w:val="0"/>
              <w:kinsoku/>
              <w:overflowPunct/>
              <w:topLinePunct w:val="0"/>
              <w:autoSpaceDE/>
              <w:autoSpaceDN/>
              <w:bidi w:val="0"/>
              <w:spacing w:line="240" w:lineRule="auto"/>
              <w:ind w:firstLine="0" w:firstLineChars="0"/>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废布袋</w:t>
            </w:r>
          </w:p>
        </w:tc>
        <w:tc>
          <w:tcPr>
            <w:tcW w:w="1358" w:type="pct"/>
            <w:vMerge w:val="continue"/>
            <w:vAlign w:val="center"/>
          </w:tcPr>
          <w:p w14:paraId="263D6A5A">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pacing w:val="-1"/>
                <w:sz w:val="24"/>
                <w:szCs w:val="24"/>
                <w:lang w:val="en-US" w:eastAsia="zh-CN"/>
              </w:rPr>
            </w:pPr>
          </w:p>
        </w:tc>
        <w:tc>
          <w:tcPr>
            <w:tcW w:w="1262" w:type="pct"/>
            <w:vMerge w:val="continue"/>
            <w:vAlign w:val="center"/>
          </w:tcPr>
          <w:p w14:paraId="5ABEA01A">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r>
      <w:tr w14:paraId="5C7D88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52" w:type="pct"/>
            <w:vMerge w:val="continue"/>
            <w:vAlign w:val="center"/>
          </w:tcPr>
          <w:p w14:paraId="6F639F61">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5783535B">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旋风除尘+布袋除尘</w:t>
            </w:r>
            <w:r>
              <w:rPr>
                <w:rFonts w:hint="eastAsia" w:cs="Times New Roman" w:eastAsiaTheme="minorEastAsia"/>
                <w:color w:val="auto"/>
                <w:sz w:val="24"/>
                <w:szCs w:val="24"/>
                <w:lang w:val="en-US" w:eastAsia="zh-CN"/>
              </w:rPr>
              <w:t>的</w:t>
            </w:r>
          </w:p>
        </w:tc>
        <w:tc>
          <w:tcPr>
            <w:tcW w:w="699" w:type="pct"/>
            <w:shd w:val="clear" w:color="auto" w:fill="auto"/>
            <w:vAlign w:val="center"/>
          </w:tcPr>
          <w:p w14:paraId="3B8B1172">
            <w:pPr>
              <w:pStyle w:val="104"/>
              <w:keepNext w:val="0"/>
              <w:kinsoku/>
              <w:overflowPunct/>
              <w:topLinePunct w:val="0"/>
              <w:autoSpaceDE/>
              <w:autoSpaceDN/>
              <w:bidi w:val="0"/>
              <w:spacing w:line="240" w:lineRule="auto"/>
              <w:ind w:firstLine="0" w:firstLineChars="0"/>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除尘器</w:t>
            </w:r>
            <w:r>
              <w:rPr>
                <w:rFonts w:hint="eastAsia" w:cs="Times New Roman" w:eastAsiaTheme="minorEastAsia"/>
                <w:color w:val="auto"/>
                <w:kern w:val="2"/>
                <w:sz w:val="24"/>
                <w:szCs w:val="24"/>
                <w:lang w:val="en-US" w:eastAsia="zh-CN" w:bidi="ar-SA"/>
              </w:rPr>
              <w:t>收集的</w:t>
            </w:r>
            <w:r>
              <w:rPr>
                <w:rFonts w:hint="default" w:ascii="Times New Roman" w:hAnsi="Times New Roman" w:cs="Times New Roman" w:eastAsiaTheme="minorEastAsia"/>
                <w:color w:val="auto"/>
                <w:kern w:val="2"/>
                <w:sz w:val="24"/>
                <w:szCs w:val="24"/>
                <w:lang w:val="en-US" w:eastAsia="zh-CN" w:bidi="ar-SA"/>
              </w:rPr>
              <w:t>除尘灰</w:t>
            </w:r>
          </w:p>
        </w:tc>
        <w:tc>
          <w:tcPr>
            <w:tcW w:w="1358" w:type="pct"/>
            <w:vMerge w:val="restart"/>
            <w:vAlign w:val="center"/>
          </w:tcPr>
          <w:p w14:paraId="4E13C8D8">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pacing w:val="-1"/>
                <w:sz w:val="24"/>
                <w:szCs w:val="24"/>
                <w:lang w:val="en-US" w:eastAsia="zh-CN"/>
              </w:rPr>
            </w:pPr>
            <w:r>
              <w:rPr>
                <w:rFonts w:hint="default" w:ascii="Times New Roman" w:hAnsi="Times New Roman" w:cs="Times New Roman" w:eastAsiaTheme="minorEastAsia"/>
                <w:color w:val="auto"/>
                <w:sz w:val="24"/>
                <w:szCs w:val="24"/>
              </w:rPr>
              <w:t>统一收集袋装后暂存于一般固废暂存间内，外售其他企业制作复合肥料</w:t>
            </w:r>
          </w:p>
        </w:tc>
        <w:tc>
          <w:tcPr>
            <w:tcW w:w="1262" w:type="pct"/>
            <w:vMerge w:val="continue"/>
            <w:vAlign w:val="center"/>
          </w:tcPr>
          <w:p w14:paraId="072BB8E2">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r>
      <w:tr w14:paraId="07C40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652" w:type="pct"/>
            <w:vMerge w:val="continue"/>
            <w:vAlign w:val="center"/>
          </w:tcPr>
          <w:p w14:paraId="7C8E1E14">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2314932B">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生物质蒸汽发生器</w:t>
            </w:r>
          </w:p>
        </w:tc>
        <w:tc>
          <w:tcPr>
            <w:tcW w:w="699" w:type="pct"/>
            <w:shd w:val="clear" w:color="auto" w:fill="auto"/>
            <w:vAlign w:val="center"/>
          </w:tcPr>
          <w:p w14:paraId="7E7F3568">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生物质蒸汽发生器</w:t>
            </w:r>
            <w:r>
              <w:rPr>
                <w:rFonts w:hint="default" w:ascii="Times New Roman" w:hAnsi="Times New Roman" w:cs="Times New Roman" w:eastAsiaTheme="minorEastAsia"/>
                <w:color w:val="auto"/>
                <w:kern w:val="2"/>
                <w:sz w:val="24"/>
                <w:szCs w:val="24"/>
                <w:lang w:val="en-US" w:eastAsia="zh-CN" w:bidi="ar-SA"/>
              </w:rPr>
              <w:t>炉渣</w:t>
            </w:r>
          </w:p>
        </w:tc>
        <w:tc>
          <w:tcPr>
            <w:tcW w:w="1358" w:type="pct"/>
            <w:vMerge w:val="continue"/>
            <w:vAlign w:val="center"/>
          </w:tcPr>
          <w:p w14:paraId="4C4CAA8E">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pacing w:val="-1"/>
                <w:sz w:val="24"/>
                <w:szCs w:val="24"/>
                <w:lang w:val="en-US" w:eastAsia="zh-CN"/>
              </w:rPr>
            </w:pPr>
          </w:p>
        </w:tc>
        <w:tc>
          <w:tcPr>
            <w:tcW w:w="1262" w:type="pct"/>
            <w:vMerge w:val="continue"/>
            <w:vAlign w:val="center"/>
          </w:tcPr>
          <w:p w14:paraId="209F7F2B">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r>
      <w:tr w14:paraId="13689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Merge w:val="continue"/>
            <w:vAlign w:val="center"/>
          </w:tcPr>
          <w:p w14:paraId="579711E5">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3E36768E">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软水制备装置</w:t>
            </w:r>
          </w:p>
        </w:tc>
        <w:tc>
          <w:tcPr>
            <w:tcW w:w="699" w:type="pct"/>
            <w:shd w:val="clear" w:color="auto" w:fill="auto"/>
            <w:vAlign w:val="center"/>
          </w:tcPr>
          <w:p w14:paraId="4B49B2F0">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废离子交换树脂</w:t>
            </w:r>
          </w:p>
        </w:tc>
        <w:tc>
          <w:tcPr>
            <w:tcW w:w="1358" w:type="pct"/>
            <w:vAlign w:val="center"/>
          </w:tcPr>
          <w:p w14:paraId="01886AF0">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由厂家直接回收，不在厂内暂存</w:t>
            </w:r>
          </w:p>
        </w:tc>
        <w:tc>
          <w:tcPr>
            <w:tcW w:w="1262" w:type="pct"/>
            <w:vMerge w:val="continue"/>
            <w:vAlign w:val="center"/>
          </w:tcPr>
          <w:p w14:paraId="1ED83DB6">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r>
      <w:tr w14:paraId="16DF0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Merge w:val="continue"/>
            <w:vAlign w:val="center"/>
          </w:tcPr>
          <w:p w14:paraId="773DCF32">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24C1AFD0">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设备维修</w:t>
            </w:r>
          </w:p>
        </w:tc>
        <w:tc>
          <w:tcPr>
            <w:tcW w:w="699" w:type="pct"/>
            <w:shd w:val="clear" w:color="auto" w:fill="auto"/>
            <w:vAlign w:val="center"/>
          </w:tcPr>
          <w:p w14:paraId="596632D1">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outlineLvl w:val="9"/>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含油废弃废抹布和劳保用品</w:t>
            </w:r>
          </w:p>
        </w:tc>
        <w:tc>
          <w:tcPr>
            <w:tcW w:w="1358" w:type="pct"/>
            <w:vAlign w:val="center"/>
          </w:tcPr>
          <w:p w14:paraId="3A10EA1E">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并入生活垃圾一并处置</w:t>
            </w:r>
          </w:p>
        </w:tc>
        <w:tc>
          <w:tcPr>
            <w:tcW w:w="1262" w:type="pct"/>
            <w:vAlign w:val="center"/>
          </w:tcPr>
          <w:p w14:paraId="31C5F069">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eastAsia" w:ascii="Times New Roman" w:hAnsi="Times New Roman"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w:t>
            </w:r>
          </w:p>
        </w:tc>
      </w:tr>
      <w:tr w14:paraId="47D4F3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Merge w:val="continue"/>
            <w:vAlign w:val="center"/>
          </w:tcPr>
          <w:p w14:paraId="105F6623">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45E2EE46">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有机废气处理装置</w:t>
            </w:r>
          </w:p>
        </w:tc>
        <w:tc>
          <w:tcPr>
            <w:tcW w:w="699" w:type="pct"/>
            <w:vAlign w:val="center"/>
          </w:tcPr>
          <w:p w14:paraId="16924B62">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废活性炭</w:t>
            </w:r>
          </w:p>
        </w:tc>
        <w:tc>
          <w:tcPr>
            <w:tcW w:w="1358" w:type="pct"/>
            <w:vMerge w:val="restart"/>
            <w:vAlign w:val="center"/>
          </w:tcPr>
          <w:p w14:paraId="23C5E459">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统一</w:t>
            </w:r>
            <w:r>
              <w:rPr>
                <w:rFonts w:hint="default" w:ascii="Times New Roman" w:hAnsi="Times New Roman" w:cs="Times New Roman" w:eastAsiaTheme="minorEastAsia"/>
                <w:color w:val="auto"/>
                <w:sz w:val="24"/>
                <w:szCs w:val="24"/>
              </w:rPr>
              <w:t>收集</w:t>
            </w:r>
            <w:r>
              <w:rPr>
                <w:rFonts w:hint="default" w:ascii="Times New Roman" w:hAnsi="Times New Roman" w:cs="Times New Roman" w:eastAsiaTheme="minorEastAsia"/>
                <w:color w:val="auto"/>
                <w:sz w:val="24"/>
                <w:szCs w:val="24"/>
                <w:lang w:val="en-US" w:eastAsia="zh-CN"/>
              </w:rPr>
              <w:t>后分类</w:t>
            </w:r>
            <w:r>
              <w:rPr>
                <w:rFonts w:hint="default" w:ascii="Times New Roman" w:hAnsi="Times New Roman" w:cs="Times New Roman" w:eastAsiaTheme="minorEastAsia"/>
                <w:color w:val="auto"/>
                <w:sz w:val="24"/>
                <w:szCs w:val="24"/>
              </w:rPr>
              <w:t>暂存于危废暂存间内，分区管理</w:t>
            </w:r>
            <w:r>
              <w:rPr>
                <w:rFonts w:hint="default" w:ascii="Times New Roman" w:hAnsi="Times New Roman" w:cs="Times New Roman" w:eastAsiaTheme="minorEastAsia"/>
                <w:color w:val="auto"/>
                <w:sz w:val="24"/>
                <w:szCs w:val="24"/>
                <w:lang w:eastAsia="zh-CN"/>
              </w:rPr>
              <w:t>，定期委托</w:t>
            </w:r>
            <w:r>
              <w:rPr>
                <w:rFonts w:hint="default" w:ascii="Times New Roman" w:hAnsi="Times New Roman" w:cs="Times New Roman" w:eastAsiaTheme="minorEastAsia"/>
                <w:color w:val="auto"/>
                <w:sz w:val="24"/>
                <w:szCs w:val="24"/>
                <w:lang w:val="en-US" w:eastAsia="zh-CN"/>
              </w:rPr>
              <w:t>有资质的单位进行处置</w:t>
            </w:r>
          </w:p>
        </w:tc>
        <w:tc>
          <w:tcPr>
            <w:tcW w:w="1262" w:type="pct"/>
            <w:vMerge w:val="restart"/>
            <w:vAlign w:val="center"/>
          </w:tcPr>
          <w:p w14:paraId="3C6147A5">
            <w:pPr>
              <w:keepNext w:val="0"/>
              <w:keepLines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危险废物贮存设施符合《危险废物贮存污染控制标准》（GB18597-2023）的有关要求</w:t>
            </w:r>
          </w:p>
        </w:tc>
      </w:tr>
      <w:tr w14:paraId="42A62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652" w:type="pct"/>
            <w:vMerge w:val="continue"/>
            <w:vAlign w:val="center"/>
          </w:tcPr>
          <w:p w14:paraId="62F67793">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028" w:type="pct"/>
            <w:vAlign w:val="center"/>
          </w:tcPr>
          <w:p w14:paraId="52512F62">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设备维护保养</w:t>
            </w:r>
          </w:p>
        </w:tc>
        <w:tc>
          <w:tcPr>
            <w:tcW w:w="699" w:type="pct"/>
            <w:vAlign w:val="center"/>
          </w:tcPr>
          <w:p w14:paraId="715522EB">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废机油</w:t>
            </w:r>
          </w:p>
        </w:tc>
        <w:tc>
          <w:tcPr>
            <w:tcW w:w="1358" w:type="pct"/>
            <w:vMerge w:val="continue"/>
            <w:vAlign w:val="center"/>
          </w:tcPr>
          <w:p w14:paraId="35FAAF89">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c>
          <w:tcPr>
            <w:tcW w:w="1262" w:type="pct"/>
            <w:vMerge w:val="continue"/>
            <w:vAlign w:val="center"/>
          </w:tcPr>
          <w:p w14:paraId="37D8D820">
            <w:pPr>
              <w:keepNext w:val="0"/>
              <w:keepLines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p>
        </w:tc>
      </w:tr>
      <w:tr w14:paraId="54CD7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2" w:type="pct"/>
            <w:vAlign w:val="center"/>
          </w:tcPr>
          <w:p w14:paraId="6B436134">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土壤及地下水污染防治措施</w:t>
            </w:r>
          </w:p>
        </w:tc>
        <w:tc>
          <w:tcPr>
            <w:tcW w:w="4347" w:type="pct"/>
            <w:gridSpan w:val="4"/>
            <w:vAlign w:val="center"/>
          </w:tcPr>
          <w:p w14:paraId="7DC7B2C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危废暂存间</w:t>
            </w:r>
            <w:r>
              <w:rPr>
                <w:rFonts w:hint="default" w:ascii="Times New Roman" w:hAnsi="Times New Roman" w:cs="Times New Roman" w:eastAsiaTheme="minorEastAsia"/>
                <w:color w:val="auto"/>
                <w:sz w:val="24"/>
                <w:szCs w:val="24"/>
                <w:lang w:eastAsia="zh-CN"/>
              </w:rPr>
              <w:t>作为</w:t>
            </w:r>
            <w:r>
              <w:rPr>
                <w:rFonts w:hint="default" w:ascii="Times New Roman" w:hAnsi="Times New Roman" w:cs="Times New Roman" w:eastAsiaTheme="minorEastAsia"/>
                <w:color w:val="auto"/>
                <w:sz w:val="24"/>
                <w:szCs w:val="24"/>
              </w:rPr>
              <w:t>重点防渗</w:t>
            </w:r>
            <w:r>
              <w:rPr>
                <w:rFonts w:hint="default" w:ascii="Times New Roman" w:hAnsi="Times New Roman" w:cs="Times New Roman" w:eastAsiaTheme="minorEastAsia"/>
                <w:color w:val="auto"/>
                <w:sz w:val="24"/>
                <w:szCs w:val="24"/>
                <w:lang w:eastAsia="zh-CN"/>
              </w:rPr>
              <w:t>区，</w:t>
            </w:r>
            <w:r>
              <w:rPr>
                <w:rFonts w:hint="default" w:ascii="Times New Roman" w:hAnsi="Times New Roman" w:cs="Times New Roman" w:eastAsiaTheme="minorEastAsia"/>
                <w:b w:val="0"/>
                <w:bCs w:val="0"/>
                <w:color w:val="auto"/>
                <w:sz w:val="24"/>
                <w:szCs w:val="24"/>
                <w:lang w:val="en-US" w:eastAsia="zh-CN"/>
              </w:rPr>
              <w:t>防渗层为至少1 m厚黏土层（渗透系数不大于10</w:t>
            </w:r>
            <w:r>
              <w:rPr>
                <w:rFonts w:hint="default" w:ascii="Times New Roman" w:hAnsi="Times New Roman" w:cs="Times New Roman" w:eastAsiaTheme="minorEastAsia"/>
                <w:b w:val="0"/>
                <w:bCs w:val="0"/>
                <w:color w:val="auto"/>
                <w:sz w:val="24"/>
                <w:szCs w:val="24"/>
                <w:vertAlign w:val="superscript"/>
                <w:lang w:val="en-US" w:eastAsia="zh-CN"/>
              </w:rPr>
              <w:t>-7</w:t>
            </w:r>
            <w:r>
              <w:rPr>
                <w:rFonts w:hint="default" w:ascii="Times New Roman" w:hAnsi="Times New Roman" w:cs="Times New Roman" w:eastAsiaTheme="minorEastAsia"/>
                <w:b w:val="0"/>
                <w:bCs w:val="0"/>
                <w:color w:val="auto"/>
                <w:sz w:val="24"/>
                <w:szCs w:val="24"/>
                <w:lang w:val="en-US" w:eastAsia="zh-CN"/>
              </w:rPr>
              <w:t>cm/s），或至少2 mm厚高密度聚乙烯膜等人工防渗材料（渗透系数不大于10</w:t>
            </w:r>
            <w:r>
              <w:rPr>
                <w:rFonts w:hint="default" w:ascii="Times New Roman" w:hAnsi="Times New Roman" w:cs="Times New Roman" w:eastAsiaTheme="minorEastAsia"/>
                <w:b w:val="0"/>
                <w:bCs w:val="0"/>
                <w:color w:val="auto"/>
                <w:sz w:val="24"/>
                <w:szCs w:val="24"/>
                <w:vertAlign w:val="superscript"/>
                <w:lang w:val="en-US" w:eastAsia="zh-CN"/>
              </w:rPr>
              <w:t>-10</w:t>
            </w:r>
            <w:r>
              <w:rPr>
                <w:rFonts w:hint="default" w:ascii="Times New Roman" w:hAnsi="Times New Roman" w:cs="Times New Roman" w:eastAsiaTheme="minorEastAsia"/>
                <w:b w:val="0"/>
                <w:bCs w:val="0"/>
                <w:color w:val="auto"/>
                <w:sz w:val="24"/>
                <w:szCs w:val="24"/>
                <w:lang w:val="en-US" w:eastAsia="zh-CN"/>
              </w:rPr>
              <w:t>cm/s），参照执行《危险废物贮存污染控制标准》（GB18597-2023）相关要求，其他区域为简单防渗区，水泥地面硬化；</w:t>
            </w:r>
          </w:p>
          <w:p w14:paraId="36A51096">
            <w:pPr>
              <w:keepNext w:val="0"/>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项目建设过程中采取防渗措施可有效防止风险物质下渗进入地下水，通过加强定期检查消除污染隐患；发现有污染物泄漏或渗漏，及时修补。</w:t>
            </w:r>
          </w:p>
          <w:p w14:paraId="4AF337AC">
            <w:pPr>
              <w:keepNext w:val="0"/>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本项目产生的危险废物经收集后暂存于危废暂存间，危废暂存间地面防渗，设置围堰并铺设防水漆；本项目危险废物分类分区收集于收集桶中，且产生量不大，若发生泄漏事故，经危废暂存间围堰收集后，可将风险控制在危废暂存间内，对周边环境影响较小。</w:t>
            </w:r>
          </w:p>
          <w:p w14:paraId="0A2043B4">
            <w:pPr>
              <w:keepNext w:val="0"/>
              <w:keepLines/>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若发生泄漏事件危险废物泄漏至外环境事件时，以事故地点为中心，按一定间隔的圆形布点采样，并采集事故发生地附近的样品做对照，主要监测因子为pH、石油烃，监测频次为事件第一时间监测1次，之后根据第一次监测浓度确定监测频次。</w:t>
            </w:r>
          </w:p>
        </w:tc>
      </w:tr>
      <w:tr w14:paraId="265652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63CEB9A5">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生态保护措施</w:t>
            </w:r>
          </w:p>
        </w:tc>
        <w:tc>
          <w:tcPr>
            <w:tcW w:w="4347" w:type="pct"/>
            <w:gridSpan w:val="4"/>
            <w:vAlign w:val="center"/>
          </w:tcPr>
          <w:p w14:paraId="4DAB1EDC">
            <w:pPr>
              <w:pStyle w:val="13"/>
              <w:keepNext w:val="0"/>
              <w:keepLines w:val="0"/>
              <w:pageBreakBefore w:val="0"/>
              <w:widowControl w:val="0"/>
              <w:kinsoku/>
              <w:wordWrap/>
              <w:overflowPunct/>
              <w:topLinePunct w:val="0"/>
              <w:autoSpaceDE/>
              <w:autoSpaceDN/>
              <w:bidi w:val="0"/>
              <w:adjustRightInd/>
              <w:snapToGrid/>
              <w:spacing w:line="360" w:lineRule="auto"/>
              <w:ind w:firstLineChars="200"/>
              <w:jc w:val="center"/>
              <w:textAlignment w:val="auto"/>
              <w:outlineLvl w:val="9"/>
              <w:rPr>
                <w:rFonts w:hint="default" w:ascii="Times New Roman" w:hAnsi="Times New Roman" w:cs="Times New Roman" w:eastAsiaTheme="minorEastAsia"/>
                <w:color w:val="auto"/>
                <w:sz w:val="24"/>
                <w:szCs w:val="24"/>
                <w:lang w:eastAsia="zh-CN"/>
              </w:rPr>
            </w:pPr>
            <w:r>
              <w:rPr>
                <w:rFonts w:hint="eastAsia" w:cs="Times New Roman" w:eastAsiaTheme="minorEastAsia"/>
                <w:color w:val="auto"/>
                <w:sz w:val="24"/>
                <w:szCs w:val="24"/>
                <w:lang w:val="en-US" w:eastAsia="zh-CN"/>
              </w:rPr>
              <w:t>本项目不涉及</w:t>
            </w:r>
            <w:r>
              <w:rPr>
                <w:rFonts w:hint="default" w:ascii="Times New Roman" w:hAnsi="Times New Roman" w:cs="Times New Roman" w:eastAsiaTheme="minorEastAsia"/>
                <w:color w:val="auto"/>
                <w:sz w:val="24"/>
                <w:szCs w:val="24"/>
                <w:lang w:val="en-US" w:eastAsia="zh-CN"/>
              </w:rPr>
              <w:t>。</w:t>
            </w:r>
          </w:p>
        </w:tc>
      </w:tr>
      <w:tr w14:paraId="2CD18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5A8B30AB">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环境风险防范措施</w:t>
            </w:r>
          </w:p>
        </w:tc>
        <w:tc>
          <w:tcPr>
            <w:tcW w:w="4347" w:type="pct"/>
            <w:gridSpan w:val="4"/>
            <w:vAlign w:val="center"/>
          </w:tcPr>
          <w:p w14:paraId="7A754599">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加强设备日常的维护和管理，定期清理更换废活性炭，对</w:t>
            </w:r>
            <w:r>
              <w:rPr>
                <w:rFonts w:hint="default" w:ascii="Times New Roman" w:hAnsi="Times New Roman" w:cs="Times New Roman" w:eastAsiaTheme="minorEastAsia"/>
                <w:color w:val="auto"/>
                <w:sz w:val="24"/>
                <w:szCs w:val="24"/>
                <w:lang w:val="en-US" w:eastAsia="zh-CN"/>
              </w:rPr>
              <w:t>废气处理</w:t>
            </w:r>
            <w:r>
              <w:rPr>
                <w:rFonts w:hint="default" w:ascii="Times New Roman" w:hAnsi="Times New Roman" w:cs="Times New Roman" w:eastAsiaTheme="minorEastAsia"/>
                <w:color w:val="auto"/>
                <w:sz w:val="24"/>
                <w:szCs w:val="24"/>
              </w:rPr>
              <w:t>系统的各类设备进行保养、检查和维修，确保集气系统和</w:t>
            </w:r>
            <w:r>
              <w:rPr>
                <w:rFonts w:hint="default" w:ascii="Times New Roman" w:hAnsi="Times New Roman" w:cs="Times New Roman" w:eastAsiaTheme="minorEastAsia"/>
                <w:color w:val="auto"/>
                <w:sz w:val="24"/>
                <w:szCs w:val="24"/>
                <w:lang w:val="en-US" w:eastAsia="zh-CN"/>
              </w:rPr>
              <w:t>有机废气去除</w:t>
            </w:r>
            <w:r>
              <w:rPr>
                <w:rFonts w:hint="default" w:ascii="Times New Roman" w:hAnsi="Times New Roman" w:cs="Times New Roman" w:eastAsiaTheme="minorEastAsia"/>
                <w:color w:val="auto"/>
                <w:sz w:val="24"/>
                <w:szCs w:val="24"/>
              </w:rPr>
              <w:t>系统的正常运行。</w:t>
            </w:r>
          </w:p>
          <w:p w14:paraId="46B635EB">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加强对生产车间、危废暂存间的监督管理，通过专人定时巡查、安装视频监控系统、每天上下班检查设备等方式，遏制可能发生的突发环境事故隐患。</w:t>
            </w:r>
          </w:p>
          <w:p w14:paraId="2EBAB64D">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危险废物暂存间严格按照《危险废物贮存污染控制标准》（GB18597-2023）及其修改单的相关要求进行建设；危险废物严格管理，集中分类收集，及时交由有危险废物处理资质的单位回收处理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设置危险固废管理台账，如实记载危废的来源、数量、特性、包装容器类别、入库日期</w:t>
            </w:r>
            <w:r>
              <w:rPr>
                <w:rFonts w:hint="default" w:ascii="Times New Roman" w:hAnsi="Times New Roman" w:cs="Times New Roman" w:eastAsiaTheme="minorEastAsia"/>
                <w:color w:val="auto"/>
                <w:sz w:val="24"/>
                <w:szCs w:val="24"/>
                <w:lang w:val="en-US" w:eastAsia="zh-CN"/>
              </w:rPr>
              <w:t>等。</w:t>
            </w:r>
          </w:p>
          <w:p w14:paraId="21969DA5">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4</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按规范使用各类电器设备，避免漏电、短路、过流、过载、过热等而造成的绝缘失效或线路着火，定期检查厂房内的电源、线路，对老化电线及时更换；</w:t>
            </w:r>
          </w:p>
          <w:p w14:paraId="69122B33">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5</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进一步加强职工的岗位操作培训，提高职工的安全意识和风险防范能力，规范操作，将安全隐患降到最低。</w:t>
            </w:r>
          </w:p>
          <w:p w14:paraId="42B507FC">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6</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设置应急管理组织，建立风险管理制度</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厂区内应配置所需的各类应急救援物资，发生事故时，第一时间加以发现并控制，防止事故进一步扩大。</w:t>
            </w:r>
          </w:p>
        </w:tc>
      </w:tr>
      <w:tr w14:paraId="6EB573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2" w:type="pct"/>
            <w:vAlign w:val="center"/>
          </w:tcPr>
          <w:p w14:paraId="7A6FAD13">
            <w:pPr>
              <w:keepNext w:val="0"/>
              <w:keepLines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pacing w:val="-8"/>
                <w:sz w:val="24"/>
                <w:szCs w:val="24"/>
              </w:rPr>
            </w:pPr>
            <w:r>
              <w:rPr>
                <w:rFonts w:hint="default" w:ascii="Times New Roman" w:hAnsi="Times New Roman" w:cs="Times New Roman" w:eastAsiaTheme="minorEastAsia"/>
                <w:color w:val="auto"/>
                <w:spacing w:val="-8"/>
                <w:sz w:val="24"/>
                <w:szCs w:val="24"/>
              </w:rPr>
              <w:t>其他环境管理要求</w:t>
            </w:r>
          </w:p>
        </w:tc>
        <w:tc>
          <w:tcPr>
            <w:tcW w:w="4347" w:type="pct"/>
            <w:gridSpan w:val="4"/>
            <w:vAlign w:val="center"/>
          </w:tcPr>
          <w:p w14:paraId="03A0B5CD">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1、环境管理</w:t>
            </w:r>
          </w:p>
          <w:p w14:paraId="7D4DB1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建立环境保护管理机构，根据工程环境影响评价中提出的施工期和营运期环境保护措施，落实环境保护经费，实施环境保护对策措施；协调政府环境管理与工程环境管理间的关系，具体管理内容如下：</w:t>
            </w:r>
          </w:p>
          <w:p w14:paraId="422FA37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（1）项目在建设和运行中应认真执行国家、地方环境保护的有关规定和要求。按照当地生态环境主管部门的要求及时反映发生的环保问题，接受生态环境主管部门的检查监督。</w:t>
            </w:r>
          </w:p>
          <w:p w14:paraId="564A3D3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（2）项目建成运行后，建设单位应自主组织相关人员进行环保验收，并编制《突发事故环境风险应急预案》</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报送</w:t>
            </w:r>
            <w:r>
              <w:rPr>
                <w:rFonts w:hint="default" w:ascii="Times New Roman" w:hAnsi="Times New Roman" w:cs="Times New Roman" w:eastAsiaTheme="minorEastAsia"/>
                <w:color w:val="auto"/>
                <w:sz w:val="24"/>
                <w:szCs w:val="24"/>
                <w:lang w:val="en-US" w:eastAsia="zh-CN"/>
              </w:rPr>
              <w:t>玉溪市生态环境局红塔分局</w:t>
            </w:r>
            <w:r>
              <w:rPr>
                <w:rFonts w:hint="default" w:ascii="Times New Roman" w:hAnsi="Times New Roman" w:cs="Times New Roman" w:eastAsiaTheme="minorEastAsia"/>
                <w:color w:val="auto"/>
                <w:sz w:val="24"/>
                <w:szCs w:val="24"/>
              </w:rPr>
              <w:t>进行备案。</w:t>
            </w:r>
          </w:p>
          <w:p w14:paraId="722315D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（3）加强管理，使污染物尽量消除在源头。</w:t>
            </w:r>
          </w:p>
          <w:p w14:paraId="18921A6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（4）加强风险事故防范机制，避免污染性的突发事件发生。</w:t>
            </w:r>
          </w:p>
          <w:p w14:paraId="1075E6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（5）加强宣传教育，增强施工及管理人员的环保意识。</w:t>
            </w:r>
          </w:p>
          <w:p w14:paraId="01D5D22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（6）按危废暂存间建设规范建设危废暂存间，建立危险废物暂存间台账，委托有资质单位处理。</w:t>
            </w:r>
          </w:p>
          <w:p w14:paraId="04A6F0E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rPr>
              <w:t>2、排污许可证办理</w:t>
            </w:r>
          </w:p>
          <w:p w14:paraId="6B3B673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根据《排污许可管理条例》（中华人民共和国国务院令 第736号），本项目应当在启动生产设施或者发生实际排污之前，向当地生态环境局申请取得排污许可证。</w:t>
            </w:r>
          </w:p>
          <w:p w14:paraId="6E0F3B5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根据《固定污染源排污许可分类管理名录（2019年版）》，本项目</w:t>
            </w:r>
            <w:r>
              <w:rPr>
                <w:rFonts w:hint="default" w:ascii="Times New Roman" w:hAnsi="Times New Roman" w:cs="Times New Roman" w:eastAsiaTheme="minorEastAsia"/>
                <w:color w:val="auto"/>
                <w:sz w:val="24"/>
                <w:szCs w:val="24"/>
                <w:lang w:val="en-US" w:eastAsia="zh-CN"/>
              </w:rPr>
              <w:t>属于橡胶和塑料制品业292</w:t>
            </w:r>
            <w:r>
              <w:rPr>
                <w:rFonts w:hint="default" w:ascii="Times New Roman" w:hAnsi="Times New Roman" w:cs="Times New Roman" w:eastAsiaTheme="minorEastAsia"/>
                <w:color w:val="auto"/>
                <w:sz w:val="24"/>
                <w:szCs w:val="24"/>
              </w:rPr>
              <w:t>中的</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泡沫塑料制造2924</w:t>
            </w:r>
            <w:r>
              <w:rPr>
                <w:rFonts w:hint="eastAsia"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lang w:val="en-US" w:eastAsia="zh-CN"/>
              </w:rPr>
              <w:t>本项目年产100吨EPS泡沫颗粒，为1万吨以下，故本项目</w:t>
            </w:r>
            <w:r>
              <w:rPr>
                <w:rFonts w:hint="default" w:ascii="Times New Roman" w:hAnsi="Times New Roman" w:cs="Times New Roman" w:eastAsiaTheme="minorEastAsia"/>
                <w:color w:val="auto"/>
                <w:sz w:val="24"/>
                <w:szCs w:val="24"/>
              </w:rPr>
              <w:t>属于排污许可</w:t>
            </w:r>
            <w:r>
              <w:rPr>
                <w:rFonts w:hint="default" w:ascii="Times New Roman" w:hAnsi="Times New Roman" w:cs="Times New Roman" w:eastAsiaTheme="minorEastAsia"/>
                <w:color w:val="auto"/>
                <w:sz w:val="24"/>
                <w:szCs w:val="24"/>
                <w:lang w:val="en-US" w:eastAsia="zh-CN"/>
              </w:rPr>
              <w:t>为登记管理</w:t>
            </w:r>
            <w:r>
              <w:rPr>
                <w:rFonts w:hint="default" w:ascii="Times New Roman" w:hAnsi="Times New Roman" w:cs="Times New Roman" w:eastAsiaTheme="minorEastAsia"/>
                <w:color w:val="auto"/>
                <w:sz w:val="24"/>
                <w:szCs w:val="24"/>
              </w:rPr>
              <w:t>的排污单位。</w:t>
            </w:r>
          </w:p>
          <w:p w14:paraId="1F83021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cs="Times New Roman" w:eastAsiaTheme="minorEastAsia"/>
                <w:b/>
                <w:bCs/>
                <w:color w:val="auto"/>
                <w:sz w:val="24"/>
                <w:szCs w:val="24"/>
              </w:rPr>
            </w:pPr>
            <w:r>
              <w:rPr>
                <w:rFonts w:hint="default" w:ascii="Times New Roman" w:hAnsi="Times New Roman" w:cs="Times New Roman" w:eastAsiaTheme="minorEastAsia"/>
                <w:b/>
                <w:bCs/>
                <w:color w:val="auto"/>
                <w:sz w:val="24"/>
                <w:szCs w:val="24"/>
                <w:lang w:val="en-US" w:eastAsia="zh-CN"/>
              </w:rPr>
              <w:t>3</w:t>
            </w:r>
            <w:r>
              <w:rPr>
                <w:rFonts w:hint="default" w:ascii="Times New Roman" w:hAnsi="Times New Roman" w:cs="Times New Roman" w:eastAsiaTheme="minorEastAsia"/>
                <w:b/>
                <w:bCs/>
                <w:color w:val="auto"/>
                <w:sz w:val="24"/>
                <w:szCs w:val="24"/>
              </w:rPr>
              <w:t>、建设项目竣工环境保护验收</w:t>
            </w:r>
          </w:p>
          <w:p w14:paraId="533C1B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本项目环保设施竣工验收由建设单位自行组织实施验收。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02B9BF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项目竣工验收一览表详见下表。</w:t>
            </w:r>
          </w:p>
          <w:p w14:paraId="16E51DCD">
            <w:pPr>
              <w:pStyle w:val="92"/>
              <w:keepNext w:val="0"/>
              <w:keepLines/>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表5-1  项目竣工验收一览表</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450"/>
              <w:gridCol w:w="465"/>
              <w:gridCol w:w="1147"/>
              <w:gridCol w:w="1096"/>
              <w:gridCol w:w="944"/>
              <w:gridCol w:w="900"/>
              <w:gridCol w:w="1790"/>
            </w:tblGrid>
            <w:tr w14:paraId="67A7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14:paraId="719C2108">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序号</w:t>
                  </w:r>
                </w:p>
              </w:tc>
              <w:tc>
                <w:tcPr>
                  <w:tcW w:w="637" w:type="pct"/>
                  <w:gridSpan w:val="2"/>
                  <w:noWrap w:val="0"/>
                  <w:vAlign w:val="center"/>
                </w:tcPr>
                <w:p w14:paraId="2793CD74">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类别</w:t>
                  </w:r>
                </w:p>
              </w:tc>
              <w:tc>
                <w:tcPr>
                  <w:tcW w:w="798" w:type="pct"/>
                  <w:noWrap w:val="0"/>
                  <w:vAlign w:val="center"/>
                </w:tcPr>
                <w:p w14:paraId="2059F417">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bCs/>
                      <w:color w:val="auto"/>
                      <w:kern w:val="0"/>
                      <w:sz w:val="21"/>
                      <w:szCs w:val="21"/>
                      <w:lang w:val="en-US" w:eastAsia="zh-CN"/>
                    </w:rPr>
                  </w:pPr>
                  <w:r>
                    <w:rPr>
                      <w:rFonts w:hint="default" w:ascii="Times New Roman" w:hAnsi="Times New Roman" w:cs="Times New Roman" w:eastAsiaTheme="minorEastAsia"/>
                      <w:b/>
                      <w:bCs/>
                      <w:color w:val="auto"/>
                      <w:kern w:val="0"/>
                      <w:sz w:val="21"/>
                      <w:szCs w:val="21"/>
                      <w:lang w:val="en-US" w:eastAsia="zh-CN"/>
                    </w:rPr>
                    <w:t>污染源</w:t>
                  </w:r>
                </w:p>
              </w:tc>
              <w:tc>
                <w:tcPr>
                  <w:tcW w:w="763" w:type="pct"/>
                  <w:noWrap w:val="0"/>
                  <w:vAlign w:val="center"/>
                </w:tcPr>
                <w:p w14:paraId="058DF57C">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lang w:val="en-US" w:eastAsia="zh-CN"/>
                    </w:rPr>
                    <w:t>污染物</w:t>
                  </w:r>
                </w:p>
              </w:tc>
              <w:tc>
                <w:tcPr>
                  <w:tcW w:w="1283" w:type="pct"/>
                  <w:gridSpan w:val="2"/>
                  <w:noWrap w:val="0"/>
                  <w:vAlign w:val="center"/>
                </w:tcPr>
                <w:p w14:paraId="5CC35EBD">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0"/>
                      <w:sz w:val="21"/>
                      <w:szCs w:val="21"/>
                      <w:lang w:val="en-US" w:eastAsia="zh-CN"/>
                    </w:rPr>
                    <w:t>治理措施</w:t>
                  </w:r>
                </w:p>
              </w:tc>
              <w:tc>
                <w:tcPr>
                  <w:tcW w:w="1246" w:type="pct"/>
                  <w:noWrap w:val="0"/>
                  <w:vAlign w:val="center"/>
                </w:tcPr>
                <w:p w14:paraId="313840F1">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bCs/>
                      <w:color w:val="auto"/>
                      <w:kern w:val="0"/>
                      <w:sz w:val="21"/>
                      <w:szCs w:val="21"/>
                    </w:rPr>
                  </w:pPr>
                  <w:r>
                    <w:rPr>
                      <w:rFonts w:hint="default" w:ascii="Times New Roman" w:hAnsi="Times New Roman" w:cs="Times New Roman" w:eastAsiaTheme="minorEastAsia"/>
                      <w:b/>
                      <w:bCs/>
                      <w:color w:val="auto"/>
                      <w:kern w:val="2"/>
                      <w:sz w:val="21"/>
                      <w:szCs w:val="21"/>
                      <w:lang w:val="en-US"/>
                    </w:rPr>
                    <w:t>处理效果、执行标准</w:t>
                  </w:r>
                </w:p>
              </w:tc>
            </w:tr>
            <w:tr w14:paraId="41F1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7" w:hRule="atLeast"/>
              </w:trPr>
              <w:tc>
                <w:tcPr>
                  <w:tcW w:w="270" w:type="pct"/>
                  <w:vMerge w:val="restart"/>
                  <w:noWrap w:val="0"/>
                  <w:vAlign w:val="center"/>
                </w:tcPr>
                <w:p w14:paraId="051891EA">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1</w:t>
                  </w:r>
                </w:p>
              </w:tc>
              <w:tc>
                <w:tcPr>
                  <w:tcW w:w="313" w:type="pct"/>
                  <w:vMerge w:val="restart"/>
                  <w:noWrap w:val="0"/>
                  <w:vAlign w:val="center"/>
                </w:tcPr>
                <w:p w14:paraId="2EB564D5">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废气</w:t>
                  </w:r>
                </w:p>
              </w:tc>
              <w:tc>
                <w:tcPr>
                  <w:tcW w:w="323" w:type="pct"/>
                  <w:vMerge w:val="restart"/>
                  <w:noWrap w:val="0"/>
                  <w:vAlign w:val="center"/>
                </w:tcPr>
                <w:p w14:paraId="31C1F25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有组织废气</w:t>
                  </w:r>
                </w:p>
              </w:tc>
              <w:tc>
                <w:tcPr>
                  <w:tcW w:w="798" w:type="pct"/>
                  <w:vMerge w:val="restart"/>
                  <w:noWrap w:val="0"/>
                  <w:vAlign w:val="center"/>
                </w:tcPr>
                <w:p w14:paraId="161CE18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泡沫颗粒生产线</w:t>
                  </w:r>
                </w:p>
              </w:tc>
              <w:tc>
                <w:tcPr>
                  <w:tcW w:w="763" w:type="pct"/>
                  <w:noWrap w:val="0"/>
                  <w:vAlign w:val="center"/>
                </w:tcPr>
                <w:p w14:paraId="4C3DAFB5">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color w:val="auto"/>
                      <w:sz w:val="21"/>
                      <w:szCs w:val="21"/>
                    </w:rPr>
                    <w:t>NMHC</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苯乙烯、甲苯、乙苯</w:t>
                  </w:r>
                </w:p>
              </w:tc>
              <w:tc>
                <w:tcPr>
                  <w:tcW w:w="657" w:type="pct"/>
                  <w:vMerge w:val="restart"/>
                  <w:noWrap w:val="0"/>
                  <w:vAlign w:val="center"/>
                </w:tcPr>
                <w:p w14:paraId="060325C5">
                  <w:pPr>
                    <w:keepNext w:val="0"/>
                    <w:keepLines w:val="0"/>
                    <w:pageBreakBefore w:val="0"/>
                    <w:widowControl/>
                    <w:tabs>
                      <w:tab w:val="left" w:pos="5327"/>
                      <w:tab w:val="left" w:pos="6326"/>
                      <w:tab w:val="left" w:pos="7230"/>
                      <w:tab w:val="left" w:pos="9301"/>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color w:val="auto"/>
                      <w:sz w:val="21"/>
                      <w:szCs w:val="21"/>
                    </w:rPr>
                    <w:t>集气罩收集+</w:t>
                  </w:r>
                  <w:r>
                    <w:rPr>
                      <w:rFonts w:hint="default" w:ascii="Times New Roman" w:hAnsi="Times New Roman" w:cs="Times New Roman" w:eastAsiaTheme="minorEastAsia"/>
                      <w:color w:val="auto"/>
                      <w:sz w:val="21"/>
                      <w:szCs w:val="21"/>
                      <w:lang w:val="en-US" w:eastAsia="zh-CN"/>
                    </w:rPr>
                    <w:t>1套两</w:t>
                  </w:r>
                  <w:r>
                    <w:rPr>
                      <w:rFonts w:hint="default" w:ascii="Times New Roman" w:hAnsi="Times New Roman" w:cs="Times New Roman" w:eastAsiaTheme="minorEastAsia"/>
                      <w:color w:val="auto"/>
                      <w:sz w:val="21"/>
                      <w:szCs w:val="21"/>
                      <w:lang w:eastAsia="zh-CN"/>
                    </w:rPr>
                    <w:t>级活性炭吸附装置</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1根</w:t>
                  </w:r>
                  <w:r>
                    <w:rPr>
                      <w:rFonts w:hint="default" w:ascii="Times New Roman" w:hAnsi="Times New Roman" w:cs="Times New Roman" w:eastAsiaTheme="minorEastAsia"/>
                      <w:color w:val="auto"/>
                      <w:sz w:val="21"/>
                      <w:szCs w:val="21"/>
                    </w:rPr>
                    <w:t>15m排气筒</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DA001</w:t>
                  </w:r>
                  <w:r>
                    <w:rPr>
                      <w:rFonts w:hint="default" w:ascii="Times New Roman" w:hAnsi="Times New Roman" w:cs="Times New Roman" w:eastAsiaTheme="minorEastAsia"/>
                      <w:color w:val="auto"/>
                      <w:sz w:val="21"/>
                      <w:szCs w:val="21"/>
                      <w:lang w:eastAsia="zh-CN"/>
                    </w:rPr>
                    <w:t>）</w:t>
                  </w:r>
                </w:p>
              </w:tc>
              <w:tc>
                <w:tcPr>
                  <w:tcW w:w="626" w:type="pct"/>
                  <w:vMerge w:val="restart"/>
                  <w:noWrap w:val="0"/>
                  <w:vAlign w:val="center"/>
                </w:tcPr>
                <w:p w14:paraId="714C0B0C">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2"/>
                      <w:sz w:val="21"/>
                      <w:szCs w:val="21"/>
                      <w:lang w:val="en-US"/>
                    </w:rPr>
                    <w:t>排气筒按照《固定污染源排气中颗粒物测定与气态污染物采样方法》（GB/T 1617-1996）设立采样孔和采样平台</w:t>
                  </w:r>
                </w:p>
              </w:tc>
              <w:tc>
                <w:tcPr>
                  <w:tcW w:w="1246" w:type="pct"/>
                  <w:noWrap w:val="0"/>
                  <w:vAlign w:val="center"/>
                </w:tcPr>
                <w:p w14:paraId="57713B2F">
                  <w:pPr>
                    <w:pStyle w:val="46"/>
                    <w:keepNext w:val="0"/>
                    <w:keepLines w:val="0"/>
                    <w:pageBreakBefore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color w:val="auto"/>
                      <w:sz w:val="21"/>
                      <w:szCs w:val="21"/>
                      <w:lang w:eastAsia="zh-CN"/>
                    </w:rPr>
                    <w:t>执行GB31572-2015《合成树脂工业污染物排放标准》（含2024年修改单）表4标准</w:t>
                  </w:r>
                </w:p>
              </w:tc>
            </w:tr>
            <w:tr w14:paraId="65730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70" w:type="pct"/>
                  <w:vMerge w:val="continue"/>
                  <w:noWrap w:val="0"/>
                  <w:vAlign w:val="center"/>
                </w:tcPr>
                <w:p w14:paraId="4045229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p>
              </w:tc>
              <w:tc>
                <w:tcPr>
                  <w:tcW w:w="313" w:type="pct"/>
                  <w:vMerge w:val="continue"/>
                  <w:noWrap w:val="0"/>
                  <w:vAlign w:val="center"/>
                </w:tcPr>
                <w:p w14:paraId="4C0B5829">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p>
              </w:tc>
              <w:tc>
                <w:tcPr>
                  <w:tcW w:w="323" w:type="pct"/>
                  <w:vMerge w:val="continue"/>
                  <w:noWrap w:val="0"/>
                  <w:vAlign w:val="center"/>
                </w:tcPr>
                <w:p w14:paraId="5A8DF94F">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p>
              </w:tc>
              <w:tc>
                <w:tcPr>
                  <w:tcW w:w="798" w:type="pct"/>
                  <w:vMerge w:val="continue"/>
                  <w:noWrap w:val="0"/>
                  <w:vAlign w:val="center"/>
                </w:tcPr>
                <w:p w14:paraId="6408653B">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p>
              </w:tc>
              <w:tc>
                <w:tcPr>
                  <w:tcW w:w="763" w:type="pct"/>
                  <w:noWrap w:val="0"/>
                  <w:vAlign w:val="center"/>
                </w:tcPr>
                <w:p w14:paraId="7536D1B1">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臭气浓度</w:t>
                  </w:r>
                </w:p>
              </w:tc>
              <w:tc>
                <w:tcPr>
                  <w:tcW w:w="657" w:type="pct"/>
                  <w:vMerge w:val="continue"/>
                  <w:noWrap w:val="0"/>
                  <w:vAlign w:val="center"/>
                </w:tcPr>
                <w:p w14:paraId="49B02FC1">
                  <w:pPr>
                    <w:keepNext w:val="0"/>
                    <w:keepLines w:val="0"/>
                    <w:pageBreakBefore w:val="0"/>
                    <w:widowControl/>
                    <w:tabs>
                      <w:tab w:val="left" w:pos="5327"/>
                      <w:tab w:val="left" w:pos="6326"/>
                      <w:tab w:val="left" w:pos="7230"/>
                      <w:tab w:val="left" w:pos="9301"/>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color w:val="auto"/>
                      <w:sz w:val="21"/>
                      <w:szCs w:val="21"/>
                    </w:rPr>
                  </w:pPr>
                </w:p>
              </w:tc>
              <w:tc>
                <w:tcPr>
                  <w:tcW w:w="626" w:type="pct"/>
                  <w:vMerge w:val="continue"/>
                  <w:noWrap w:val="0"/>
                  <w:vAlign w:val="center"/>
                </w:tcPr>
                <w:p w14:paraId="2047ACC1">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rPr>
                  </w:pPr>
                </w:p>
              </w:tc>
              <w:tc>
                <w:tcPr>
                  <w:tcW w:w="1246" w:type="pct"/>
                  <w:noWrap w:val="0"/>
                  <w:vAlign w:val="center"/>
                </w:tcPr>
                <w:p w14:paraId="39D27FC4">
                  <w:pPr>
                    <w:pStyle w:val="46"/>
                    <w:keepNext w:val="0"/>
                    <w:keepLines w:val="0"/>
                    <w:pageBreakBefore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sz w:val="21"/>
                      <w:szCs w:val="21"/>
                    </w:rPr>
                    <w:t>执行《恶臭污染物排放标准》（GB14554-93）表2限值</w:t>
                  </w:r>
                </w:p>
              </w:tc>
            </w:tr>
            <w:tr w14:paraId="68B4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noWrap w:val="0"/>
                  <w:vAlign w:val="center"/>
                </w:tcPr>
                <w:p w14:paraId="587811CB">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13" w:type="pct"/>
                  <w:vMerge w:val="continue"/>
                  <w:noWrap w:val="0"/>
                  <w:vAlign w:val="center"/>
                </w:tcPr>
                <w:p w14:paraId="35CA8D6D">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23" w:type="pct"/>
                  <w:vMerge w:val="continue"/>
                  <w:noWrap w:val="0"/>
                  <w:vAlign w:val="center"/>
                </w:tcPr>
                <w:p w14:paraId="52DC1706">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noWrap w:val="0"/>
                  <w:vAlign w:val="center"/>
                </w:tcPr>
                <w:p w14:paraId="0838E44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生物质蒸汽发生器</w:t>
                  </w:r>
                </w:p>
              </w:tc>
              <w:tc>
                <w:tcPr>
                  <w:tcW w:w="763" w:type="pct"/>
                  <w:noWrap w:val="0"/>
                  <w:vAlign w:val="center"/>
                </w:tcPr>
                <w:p w14:paraId="5C52DF17">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sz w:val="21"/>
                      <w:szCs w:val="21"/>
                      <w:lang w:val="en-US" w:eastAsia="zh-CN"/>
                    </w:rPr>
                    <w:t>颗粒物、二氧化硫、氮氧化物、烟气黑度</w:t>
                  </w:r>
                </w:p>
              </w:tc>
              <w:tc>
                <w:tcPr>
                  <w:tcW w:w="657" w:type="pct"/>
                  <w:noWrap w:val="0"/>
                  <w:vAlign w:val="center"/>
                </w:tcPr>
                <w:p w14:paraId="33022A40">
                  <w:pPr>
                    <w:keepNext w:val="0"/>
                    <w:keepLines w:val="0"/>
                    <w:pageBreakBefore w:val="0"/>
                    <w:widowControl/>
                    <w:tabs>
                      <w:tab w:val="left" w:pos="5327"/>
                      <w:tab w:val="left" w:pos="6326"/>
                      <w:tab w:val="left" w:pos="7230"/>
                      <w:tab w:val="left" w:pos="9301"/>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0"/>
                      <w:sz w:val="21"/>
                      <w:szCs w:val="21"/>
                      <w:lang w:val="en-US" w:eastAsia="zh-CN"/>
                    </w:rPr>
                    <w:t>集气罩+旋风除尘+布袋除尘器+</w:t>
                  </w:r>
                  <w:r>
                    <w:rPr>
                      <w:rFonts w:hint="eastAsia" w:cs="Times New Roman" w:eastAsiaTheme="minorEastAsia"/>
                      <w:b w:val="0"/>
                      <w:bCs w:val="0"/>
                      <w:color w:val="auto"/>
                      <w:kern w:val="0"/>
                      <w:sz w:val="21"/>
                      <w:szCs w:val="21"/>
                      <w:lang w:val="en-US" w:eastAsia="zh-CN"/>
                    </w:rPr>
                    <w:t>30</w:t>
                  </w:r>
                  <w:r>
                    <w:rPr>
                      <w:rFonts w:hint="default" w:ascii="Times New Roman" w:hAnsi="Times New Roman" w:cs="Times New Roman" w:eastAsiaTheme="minorEastAsia"/>
                      <w:b w:val="0"/>
                      <w:bCs w:val="0"/>
                      <w:color w:val="auto"/>
                      <w:kern w:val="0"/>
                      <w:sz w:val="21"/>
                      <w:szCs w:val="21"/>
                      <w:lang w:val="en-US" w:eastAsia="zh-CN"/>
                    </w:rPr>
                    <w:t>m排气筒（DA002）</w:t>
                  </w:r>
                </w:p>
              </w:tc>
              <w:tc>
                <w:tcPr>
                  <w:tcW w:w="626" w:type="pct"/>
                  <w:vMerge w:val="continue"/>
                  <w:noWrap w:val="0"/>
                  <w:vAlign w:val="center"/>
                </w:tcPr>
                <w:p w14:paraId="2F2681E9">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1246" w:type="pct"/>
                  <w:noWrap w:val="0"/>
                  <w:vAlign w:val="center"/>
                </w:tcPr>
                <w:p w14:paraId="472ABBC7">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sz w:val="21"/>
                      <w:szCs w:val="21"/>
                      <w:lang w:val="en-US" w:eastAsia="zh-CN"/>
                    </w:rPr>
                    <w:t>执行</w:t>
                  </w:r>
                  <w:r>
                    <w:rPr>
                      <w:rFonts w:hint="default" w:ascii="Times New Roman" w:hAnsi="Times New Roman" w:cs="Times New Roman" w:eastAsiaTheme="minorEastAsia"/>
                      <w:color w:val="auto"/>
                      <w:sz w:val="21"/>
                      <w:szCs w:val="21"/>
                    </w:rPr>
                    <w:t>《锅炉大气污染物排放标准》（GB13271-2014）中表2新建燃煤锅炉大气污染物排放浓度限值</w:t>
                  </w:r>
                </w:p>
              </w:tc>
            </w:tr>
            <w:tr w14:paraId="7F474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noWrap w:val="0"/>
                  <w:vAlign w:val="center"/>
                </w:tcPr>
                <w:p w14:paraId="443369FA">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13" w:type="pct"/>
                  <w:vMerge w:val="continue"/>
                  <w:noWrap w:val="0"/>
                  <w:vAlign w:val="center"/>
                </w:tcPr>
                <w:p w14:paraId="104E4DA7">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23" w:type="pct"/>
                  <w:vMerge w:val="restart"/>
                  <w:noWrap w:val="0"/>
                  <w:vAlign w:val="center"/>
                </w:tcPr>
                <w:p w14:paraId="532C515B">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无组织废气</w:t>
                  </w:r>
                </w:p>
              </w:tc>
              <w:tc>
                <w:tcPr>
                  <w:tcW w:w="798" w:type="pct"/>
                  <w:noWrap w:val="0"/>
                  <w:vAlign w:val="center"/>
                </w:tcPr>
                <w:p w14:paraId="4BFD0812">
                  <w:pPr>
                    <w:keepNext w:val="0"/>
                    <w:keepLines w:val="0"/>
                    <w:pageBreakBefore w:val="0"/>
                    <w:widowControl/>
                    <w:tabs>
                      <w:tab w:val="left" w:pos="5327"/>
                      <w:tab w:val="left" w:pos="6326"/>
                      <w:tab w:val="left" w:pos="7230"/>
                      <w:tab w:val="left" w:pos="9301"/>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厂区</w:t>
                  </w:r>
                </w:p>
              </w:tc>
              <w:tc>
                <w:tcPr>
                  <w:tcW w:w="763" w:type="pct"/>
                  <w:noWrap w:val="0"/>
                  <w:vAlign w:val="center"/>
                </w:tcPr>
                <w:p w14:paraId="04402E55">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sz w:val="21"/>
                      <w:szCs w:val="21"/>
                    </w:rPr>
                    <w:t>NMHC</w:t>
                  </w:r>
                </w:p>
              </w:tc>
              <w:tc>
                <w:tcPr>
                  <w:tcW w:w="1283" w:type="pct"/>
                  <w:gridSpan w:val="2"/>
                  <w:noWrap w:val="0"/>
                  <w:vAlign w:val="center"/>
                </w:tcPr>
                <w:p w14:paraId="057641A7">
                  <w:pPr>
                    <w:pStyle w:val="46"/>
                    <w:keepNext w:val="0"/>
                    <w:keepLines w:val="0"/>
                    <w:pageBreakBefore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sz w:val="21"/>
                      <w:szCs w:val="21"/>
                      <w:lang w:val="en-US" w:eastAsia="zh-CN"/>
                    </w:rPr>
                    <w:t>加强车间通风</w:t>
                  </w:r>
                </w:p>
              </w:tc>
              <w:tc>
                <w:tcPr>
                  <w:tcW w:w="1246" w:type="pct"/>
                  <w:noWrap w:val="0"/>
                  <w:vAlign w:val="center"/>
                </w:tcPr>
                <w:p w14:paraId="320CE79D">
                  <w:pPr>
                    <w:pStyle w:val="46"/>
                    <w:keepNext w:val="0"/>
                    <w:keepLines w:val="0"/>
                    <w:pageBreakBefore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color w:val="auto"/>
                      <w:sz w:val="21"/>
                      <w:szCs w:val="21"/>
                    </w:rPr>
                    <w:t>执行GB37822-2019《挥发性有机物无组织排放控制标准》</w:t>
                  </w:r>
                </w:p>
              </w:tc>
            </w:tr>
            <w:tr w14:paraId="2D034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noWrap w:val="0"/>
                  <w:vAlign w:val="center"/>
                </w:tcPr>
                <w:p w14:paraId="7C375908">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13" w:type="pct"/>
                  <w:vMerge w:val="continue"/>
                  <w:noWrap w:val="0"/>
                  <w:vAlign w:val="center"/>
                </w:tcPr>
                <w:p w14:paraId="1C70669A">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23" w:type="pct"/>
                  <w:vMerge w:val="continue"/>
                  <w:noWrap w:val="0"/>
                  <w:vAlign w:val="center"/>
                </w:tcPr>
                <w:p w14:paraId="1D41BBF8">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vMerge w:val="restart"/>
                  <w:noWrap w:val="0"/>
                  <w:vAlign w:val="center"/>
                </w:tcPr>
                <w:p w14:paraId="3C2FD358">
                  <w:pPr>
                    <w:keepNext w:val="0"/>
                    <w:keepLines w:val="0"/>
                    <w:pageBreakBefore w:val="0"/>
                    <w:widowControl/>
                    <w:tabs>
                      <w:tab w:val="left" w:pos="5327"/>
                      <w:tab w:val="left" w:pos="6326"/>
                      <w:tab w:val="left" w:pos="7230"/>
                      <w:tab w:val="left" w:pos="9301"/>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color w:val="auto"/>
                      <w:sz w:val="21"/>
                      <w:szCs w:val="21"/>
                      <w:lang w:val="en-US" w:eastAsia="zh-CN"/>
                    </w:rPr>
                    <w:t>厂界</w:t>
                  </w:r>
                </w:p>
              </w:tc>
              <w:tc>
                <w:tcPr>
                  <w:tcW w:w="763" w:type="pct"/>
                  <w:shd w:val="clear" w:color="auto" w:fill="auto"/>
                  <w:noWrap w:val="0"/>
                  <w:vAlign w:val="center"/>
                </w:tcPr>
                <w:p w14:paraId="31B1F200">
                  <w:pPr>
                    <w:keepNext w:val="0"/>
                    <w:keepLines w:val="0"/>
                    <w:pageBreakBefore w:val="0"/>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NMHC</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甲苯、颗粒物</w:t>
                  </w:r>
                </w:p>
              </w:tc>
              <w:tc>
                <w:tcPr>
                  <w:tcW w:w="1283" w:type="pct"/>
                  <w:gridSpan w:val="2"/>
                  <w:shd w:val="clear" w:color="auto" w:fill="auto"/>
                  <w:noWrap w:val="0"/>
                  <w:vAlign w:val="center"/>
                </w:tcPr>
                <w:p w14:paraId="56EC0389">
                  <w:pPr>
                    <w:pStyle w:val="46"/>
                    <w:keepNext w:val="0"/>
                    <w:keepLines w:val="0"/>
                    <w:pageBreakBefore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rPr>
                    <w:t>集气罩收集+</w:t>
                  </w:r>
                  <w:r>
                    <w:rPr>
                      <w:rFonts w:hint="default" w:ascii="Times New Roman" w:hAnsi="Times New Roman" w:cs="Times New Roman" w:eastAsiaTheme="minorEastAsia"/>
                      <w:color w:val="auto"/>
                      <w:sz w:val="21"/>
                      <w:szCs w:val="21"/>
                      <w:lang w:val="en-US" w:eastAsia="zh-CN"/>
                    </w:rPr>
                    <w:t>1套两</w:t>
                  </w:r>
                  <w:r>
                    <w:rPr>
                      <w:rFonts w:hint="default" w:ascii="Times New Roman" w:hAnsi="Times New Roman" w:cs="Times New Roman" w:eastAsiaTheme="minorEastAsia"/>
                      <w:color w:val="auto"/>
                      <w:sz w:val="21"/>
                      <w:szCs w:val="21"/>
                      <w:lang w:eastAsia="zh-CN"/>
                    </w:rPr>
                    <w:t>级活性炭吸附装置</w:t>
                  </w:r>
                  <w:r>
                    <w:rPr>
                      <w:rFonts w:hint="default" w:ascii="Times New Roman" w:hAnsi="Times New Roman" w:cs="Times New Roman" w:eastAsiaTheme="minorEastAsia"/>
                      <w:color w:val="auto"/>
                      <w:sz w:val="21"/>
                      <w:szCs w:val="21"/>
                      <w:lang w:val="en-US" w:eastAsia="zh-CN"/>
                    </w:rPr>
                    <w:t>处理后，无法有效收集的部分呈无组织排放，通过加强车间通风，人工定期清扫可以有效减少无组织废气排放</w:t>
                  </w:r>
                </w:p>
              </w:tc>
              <w:tc>
                <w:tcPr>
                  <w:tcW w:w="1246" w:type="pct"/>
                  <w:shd w:val="clear" w:color="auto" w:fill="auto"/>
                  <w:noWrap w:val="0"/>
                  <w:vAlign w:val="center"/>
                </w:tcPr>
                <w:p w14:paraId="27843F13">
                  <w:pPr>
                    <w:pStyle w:val="46"/>
                    <w:keepNext w:val="0"/>
                    <w:keepLines w:val="0"/>
                    <w:pageBreakBefore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执行GB31572-2015《合成树脂工业污染物排放标准》（含2024年修改单）表9标准</w:t>
                  </w:r>
                </w:p>
              </w:tc>
            </w:tr>
            <w:tr w14:paraId="33D7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70" w:type="pct"/>
                  <w:vMerge w:val="continue"/>
                  <w:noWrap w:val="0"/>
                  <w:vAlign w:val="center"/>
                </w:tcPr>
                <w:p w14:paraId="49E2EC9C">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13" w:type="pct"/>
                  <w:vMerge w:val="continue"/>
                  <w:noWrap w:val="0"/>
                  <w:vAlign w:val="center"/>
                </w:tcPr>
                <w:p w14:paraId="2F8C0C7B">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23" w:type="pct"/>
                  <w:vMerge w:val="continue"/>
                  <w:noWrap w:val="0"/>
                  <w:vAlign w:val="center"/>
                </w:tcPr>
                <w:p w14:paraId="084BA07E">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vMerge w:val="continue"/>
                  <w:noWrap w:val="0"/>
                  <w:vAlign w:val="center"/>
                </w:tcPr>
                <w:p w14:paraId="7569BA46">
                  <w:pPr>
                    <w:keepNext w:val="0"/>
                    <w:keepLines w:val="0"/>
                    <w:pageBreakBefore w:val="0"/>
                    <w:widowControl/>
                    <w:tabs>
                      <w:tab w:val="left" w:pos="5327"/>
                      <w:tab w:val="left" w:pos="6326"/>
                      <w:tab w:val="left" w:pos="7230"/>
                      <w:tab w:val="left" w:pos="9301"/>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p>
              </w:tc>
              <w:tc>
                <w:tcPr>
                  <w:tcW w:w="763" w:type="pct"/>
                  <w:shd w:val="clear" w:color="auto" w:fill="auto"/>
                  <w:noWrap w:val="0"/>
                  <w:vAlign w:val="center"/>
                </w:tcPr>
                <w:p w14:paraId="043C584D">
                  <w:pPr>
                    <w:pStyle w:val="46"/>
                    <w:keepNext w:val="0"/>
                    <w:keepLines w:val="0"/>
                    <w:pageBreakBefore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臭气浓度、苯乙烯</w:t>
                  </w:r>
                </w:p>
              </w:tc>
              <w:tc>
                <w:tcPr>
                  <w:tcW w:w="1283" w:type="pct"/>
                  <w:gridSpan w:val="2"/>
                  <w:shd w:val="clear" w:color="auto" w:fill="auto"/>
                  <w:noWrap w:val="0"/>
                  <w:vAlign w:val="center"/>
                </w:tcPr>
                <w:p w14:paraId="70B30ED0">
                  <w:pPr>
                    <w:pStyle w:val="46"/>
                    <w:keepNext w:val="0"/>
                    <w:keepLines w:val="0"/>
                    <w:pageBreakBefore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color w:val="auto"/>
                      <w:sz w:val="21"/>
                      <w:szCs w:val="21"/>
                    </w:rPr>
                    <w:t>集气罩收集+</w:t>
                  </w:r>
                  <w:r>
                    <w:rPr>
                      <w:rFonts w:hint="default" w:ascii="Times New Roman" w:hAnsi="Times New Roman" w:cs="Times New Roman" w:eastAsiaTheme="minorEastAsia"/>
                      <w:color w:val="auto"/>
                      <w:sz w:val="21"/>
                      <w:szCs w:val="21"/>
                      <w:lang w:val="en-US" w:eastAsia="zh-CN"/>
                    </w:rPr>
                    <w:t>1套两</w:t>
                  </w:r>
                  <w:r>
                    <w:rPr>
                      <w:rFonts w:hint="default" w:ascii="Times New Roman" w:hAnsi="Times New Roman" w:cs="Times New Roman" w:eastAsiaTheme="minorEastAsia"/>
                      <w:color w:val="auto"/>
                      <w:sz w:val="21"/>
                      <w:szCs w:val="21"/>
                      <w:lang w:eastAsia="zh-CN"/>
                    </w:rPr>
                    <w:t>级活性炭吸附装置</w:t>
                  </w:r>
                  <w:r>
                    <w:rPr>
                      <w:rFonts w:hint="default" w:ascii="Times New Roman" w:hAnsi="Times New Roman" w:cs="Times New Roman" w:eastAsiaTheme="minorEastAsia"/>
                      <w:color w:val="auto"/>
                      <w:sz w:val="21"/>
                      <w:szCs w:val="21"/>
                      <w:lang w:val="en-US" w:eastAsia="zh-CN"/>
                    </w:rPr>
                    <w:t>处理后，无法有效收集的部分呈无组织排放，通过自然稀释扩散以及周边绿化植被吸附净化</w:t>
                  </w:r>
                </w:p>
              </w:tc>
              <w:tc>
                <w:tcPr>
                  <w:tcW w:w="1246" w:type="pct"/>
                  <w:shd w:val="clear" w:color="auto" w:fill="auto"/>
                  <w:noWrap w:val="0"/>
                  <w:vAlign w:val="center"/>
                </w:tcPr>
                <w:p w14:paraId="7238082A">
                  <w:pPr>
                    <w:pStyle w:val="46"/>
                    <w:keepNext w:val="0"/>
                    <w:keepLines w:val="0"/>
                    <w:pageBreakBefore w:val="0"/>
                    <w:kinsoku/>
                    <w:overflowPunct/>
                    <w:topLinePunct w:val="0"/>
                    <w:autoSpaceDE/>
                    <w:autoSpaceDN/>
                    <w:bidi w:val="0"/>
                    <w:adjustRightInd/>
                    <w:snapToGrid/>
                    <w:spacing w:line="240" w:lineRule="auto"/>
                    <w:ind w:firstLine="0" w:firstLineChars="0"/>
                    <w:textAlignment w:val="auto"/>
                    <w:outlineLvl w:val="9"/>
                    <w:rPr>
                      <w:rFonts w:hint="default" w:ascii="Times New Roman" w:hAnsi="Times New Roman" w:cs="Times New Roman" w:eastAsiaTheme="minorEastAsia"/>
                      <w:b w:val="0"/>
                      <w:color w:val="auto"/>
                      <w:kern w:val="2"/>
                      <w:sz w:val="21"/>
                      <w:szCs w:val="21"/>
                      <w:lang w:val="en-US" w:eastAsia="zh-CN" w:bidi="ar-SA"/>
                    </w:rPr>
                  </w:pPr>
                  <w:r>
                    <w:rPr>
                      <w:rFonts w:hint="default" w:ascii="Times New Roman" w:hAnsi="Times New Roman" w:cs="Times New Roman" w:eastAsiaTheme="minorEastAsia"/>
                      <w:b w:val="0"/>
                      <w:bCs w:val="0"/>
                      <w:i w:val="0"/>
                      <w:iCs/>
                      <w:color w:val="auto"/>
                      <w:sz w:val="21"/>
                      <w:szCs w:val="21"/>
                      <w:vertAlign w:val="baseline"/>
                      <w:lang w:val="en-US" w:eastAsia="zh-CN"/>
                    </w:rPr>
                    <w:t>执行《恶臭污染物排放标准》（GB14554-93）表1标准二级新扩改建标准限值</w:t>
                  </w:r>
                </w:p>
              </w:tc>
            </w:tr>
            <w:tr w14:paraId="0927F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270" w:type="pct"/>
                  <w:vMerge w:val="continue"/>
                  <w:noWrap w:val="0"/>
                  <w:vAlign w:val="center"/>
                </w:tcPr>
                <w:p w14:paraId="1CAD1909">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13" w:type="pct"/>
                  <w:vMerge w:val="continue"/>
                  <w:noWrap w:val="0"/>
                  <w:vAlign w:val="center"/>
                </w:tcPr>
                <w:p w14:paraId="7769BEAA">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323" w:type="pct"/>
                  <w:vMerge w:val="continue"/>
                  <w:noWrap w:val="0"/>
                  <w:vAlign w:val="center"/>
                </w:tcPr>
                <w:p w14:paraId="4CF65A37">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noWrap w:val="0"/>
                  <w:vAlign w:val="center"/>
                </w:tcPr>
                <w:p w14:paraId="0C294179">
                  <w:pPr>
                    <w:keepNext w:val="0"/>
                    <w:keepLines w:val="0"/>
                    <w:pageBreakBefore w:val="0"/>
                    <w:widowControl/>
                    <w:tabs>
                      <w:tab w:val="left" w:pos="5327"/>
                      <w:tab w:val="left" w:pos="6326"/>
                      <w:tab w:val="left" w:pos="7230"/>
                      <w:tab w:val="left" w:pos="9301"/>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食堂油烟</w:t>
                  </w:r>
                </w:p>
              </w:tc>
              <w:tc>
                <w:tcPr>
                  <w:tcW w:w="763" w:type="pct"/>
                  <w:noWrap w:val="0"/>
                  <w:vAlign w:val="center"/>
                </w:tcPr>
                <w:p w14:paraId="31794D27">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油烟</w:t>
                  </w:r>
                </w:p>
              </w:tc>
              <w:tc>
                <w:tcPr>
                  <w:tcW w:w="1283" w:type="pct"/>
                  <w:gridSpan w:val="2"/>
                  <w:noWrap w:val="0"/>
                  <w:vAlign w:val="center"/>
                </w:tcPr>
                <w:p w14:paraId="46B5DD18">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color w:val="auto"/>
                      <w:kern w:val="2"/>
                      <w:sz w:val="21"/>
                      <w:szCs w:val="21"/>
                      <w:lang w:val="en-US" w:eastAsia="zh-CN" w:bidi="ar-SA"/>
                    </w:rPr>
                    <w:t>油烟净化器</w:t>
                  </w:r>
                </w:p>
              </w:tc>
              <w:tc>
                <w:tcPr>
                  <w:tcW w:w="1246" w:type="pct"/>
                  <w:noWrap w:val="0"/>
                  <w:vAlign w:val="center"/>
                </w:tcPr>
                <w:p w14:paraId="73A852C9">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kern w:val="0"/>
                      <w:sz w:val="21"/>
                      <w:szCs w:val="21"/>
                      <w:lang w:val="en-US" w:eastAsia="zh-CN"/>
                    </w:rPr>
                    <w:t>《饮食业油烟排放标准》（GB18483-2001）小型规模标准</w:t>
                  </w:r>
                </w:p>
              </w:tc>
            </w:tr>
            <w:tr w14:paraId="17F5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3" w:hRule="atLeast"/>
              </w:trPr>
              <w:tc>
                <w:tcPr>
                  <w:tcW w:w="270" w:type="pct"/>
                  <w:vMerge w:val="restart"/>
                  <w:noWrap w:val="0"/>
                  <w:vAlign w:val="center"/>
                </w:tcPr>
                <w:p w14:paraId="3061DDBE">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2</w:t>
                  </w:r>
                </w:p>
              </w:tc>
              <w:tc>
                <w:tcPr>
                  <w:tcW w:w="637" w:type="pct"/>
                  <w:gridSpan w:val="2"/>
                  <w:vMerge w:val="restart"/>
                  <w:noWrap w:val="0"/>
                  <w:vAlign w:val="center"/>
                </w:tcPr>
                <w:p w14:paraId="662546B5">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废水</w:t>
                  </w:r>
                </w:p>
              </w:tc>
              <w:tc>
                <w:tcPr>
                  <w:tcW w:w="798" w:type="pct"/>
                  <w:shd w:val="clear" w:color="auto" w:fill="auto"/>
                  <w:noWrap w:val="0"/>
                  <w:vAlign w:val="center"/>
                </w:tcPr>
                <w:p w14:paraId="0F570888">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b w:val="0"/>
                      <w:bCs w:val="0"/>
                      <w:color w:val="auto"/>
                      <w:kern w:val="0"/>
                      <w:sz w:val="21"/>
                      <w:szCs w:val="21"/>
                      <w:lang w:val="en-US" w:eastAsia="zh-CN"/>
                    </w:rPr>
                    <w:t>废水收集池</w:t>
                  </w:r>
                </w:p>
              </w:tc>
              <w:tc>
                <w:tcPr>
                  <w:tcW w:w="763" w:type="pct"/>
                  <w:shd w:val="clear" w:color="auto" w:fill="auto"/>
                  <w:noWrap w:val="0"/>
                  <w:vAlign w:val="center"/>
                </w:tcPr>
                <w:p w14:paraId="6E992A0A">
                  <w:pPr>
                    <w:keepNext w:val="0"/>
                    <w:keepLines w:val="0"/>
                    <w:pageBreakBefore w:val="0"/>
                    <w:tabs>
                      <w:tab w:val="left" w:pos="501"/>
                    </w:tabs>
                    <w:kinsoku/>
                    <w:wordWrap/>
                    <w:overflowPunct/>
                    <w:topLinePunct w:val="0"/>
                    <w:autoSpaceDE/>
                    <w:autoSpaceDN/>
                    <w:bidi w:val="0"/>
                    <w:spacing w:line="240" w:lineRule="auto"/>
                    <w:ind w:firstLine="0" w:firstLineChars="0"/>
                    <w:jc w:val="left"/>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color w:val="auto"/>
                      <w:sz w:val="21"/>
                      <w:szCs w:val="21"/>
                    </w:rPr>
                    <w:t>SS、全盐量</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COD</w:t>
                  </w:r>
                  <w:r>
                    <w:rPr>
                      <w:rFonts w:hint="default" w:ascii="Times New Roman" w:hAnsi="Times New Roman" w:cs="Times New Roman" w:eastAsiaTheme="minorEastAsia"/>
                      <w:color w:val="auto"/>
                      <w:sz w:val="21"/>
                      <w:szCs w:val="21"/>
                      <w:vertAlign w:val="subscript"/>
                    </w:rPr>
                    <w:t>Cr</w:t>
                  </w:r>
                </w:p>
              </w:tc>
              <w:tc>
                <w:tcPr>
                  <w:tcW w:w="1283" w:type="pct"/>
                  <w:gridSpan w:val="2"/>
                  <w:shd w:val="clear" w:color="auto" w:fill="auto"/>
                  <w:noWrap w:val="0"/>
                  <w:vAlign w:val="center"/>
                </w:tcPr>
                <w:p w14:paraId="52A330B7">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b w:val="0"/>
                      <w:bCs w:val="0"/>
                      <w:color w:val="auto"/>
                      <w:kern w:val="0"/>
                      <w:sz w:val="21"/>
                      <w:szCs w:val="21"/>
                      <w:lang w:val="en-US" w:eastAsia="zh-CN"/>
                    </w:rPr>
                    <w:t>1个，容积为15m</w:t>
                  </w:r>
                  <w:r>
                    <w:rPr>
                      <w:rFonts w:hint="default" w:ascii="Times New Roman" w:hAnsi="Times New Roman" w:cs="Times New Roman" w:eastAsiaTheme="minorEastAsia"/>
                      <w:b w:val="0"/>
                      <w:bCs w:val="0"/>
                      <w:color w:val="auto"/>
                      <w:kern w:val="0"/>
                      <w:sz w:val="21"/>
                      <w:szCs w:val="21"/>
                      <w:vertAlign w:val="superscript"/>
                      <w:lang w:val="en-US" w:eastAsia="zh-CN"/>
                    </w:rPr>
                    <w:t>3</w:t>
                  </w:r>
                  <w:r>
                    <w:rPr>
                      <w:rFonts w:hint="default" w:ascii="Times New Roman" w:hAnsi="Times New Roman" w:cs="Times New Roman" w:eastAsiaTheme="minorEastAsia"/>
                      <w:b w:val="0"/>
                      <w:bCs w:val="0"/>
                      <w:color w:val="auto"/>
                      <w:kern w:val="0"/>
                      <w:sz w:val="21"/>
                      <w:szCs w:val="21"/>
                      <w:lang w:val="en-US" w:eastAsia="zh-CN"/>
                    </w:rPr>
                    <w:t>，</w:t>
                  </w:r>
                  <w:r>
                    <w:rPr>
                      <w:rFonts w:hint="default" w:ascii="Times New Roman" w:hAnsi="Times New Roman" w:cs="Times New Roman" w:eastAsiaTheme="minorEastAsia"/>
                      <w:color w:val="auto"/>
                      <w:sz w:val="21"/>
                      <w:szCs w:val="21"/>
                      <w:lang w:val="en-US" w:eastAsia="zh-CN"/>
                    </w:rPr>
                    <w:t>主要收集</w:t>
                  </w:r>
                  <w:r>
                    <w:rPr>
                      <w:rFonts w:hint="eastAsia" w:cs="Times New Roman" w:eastAsiaTheme="minorEastAsia"/>
                      <w:color w:val="auto"/>
                      <w:sz w:val="21"/>
                      <w:szCs w:val="21"/>
                      <w:lang w:val="en-US" w:eastAsia="zh-CN"/>
                    </w:rPr>
                    <w:t>生物质蒸汽发生器</w:t>
                  </w:r>
                  <w:r>
                    <w:rPr>
                      <w:rFonts w:hint="default" w:ascii="Times New Roman" w:hAnsi="Times New Roman" w:cs="Times New Roman" w:eastAsiaTheme="minorEastAsia"/>
                      <w:color w:val="auto"/>
                      <w:sz w:val="21"/>
                      <w:szCs w:val="21"/>
                      <w:lang w:val="en-US" w:eastAsia="zh-CN"/>
                    </w:rPr>
                    <w:t>排污水和软水制备废水，经经生产废水收集池收集后，晴天回用于厂区洒水降尘，雨天暂存于废水收集池，</w:t>
                  </w:r>
                  <w:r>
                    <w:rPr>
                      <w:rFonts w:hint="eastAsia" w:ascii="Times New Roman" w:hAnsi="Times New Roman" w:cs="Times New Roman" w:eastAsiaTheme="minorEastAsia"/>
                      <w:color w:val="auto"/>
                      <w:sz w:val="21"/>
                      <w:szCs w:val="21"/>
                      <w:lang w:val="en-US" w:eastAsia="zh-CN"/>
                    </w:rPr>
                    <w:t>待晴天后，</w:t>
                  </w:r>
                  <w:r>
                    <w:rPr>
                      <w:rFonts w:hint="default" w:ascii="Times New Roman" w:hAnsi="Times New Roman" w:cs="Times New Roman" w:eastAsiaTheme="minorEastAsia"/>
                      <w:color w:val="auto"/>
                      <w:sz w:val="21"/>
                      <w:szCs w:val="21"/>
                      <w:lang w:val="en-US" w:eastAsia="zh-CN"/>
                    </w:rPr>
                    <w:t>回用于厂区洒水降尘，不外排</w:t>
                  </w:r>
                </w:p>
              </w:tc>
              <w:tc>
                <w:tcPr>
                  <w:tcW w:w="1246" w:type="pct"/>
                  <w:shd w:val="clear" w:color="auto" w:fill="auto"/>
                  <w:noWrap w:val="0"/>
                  <w:vAlign w:val="center"/>
                </w:tcPr>
                <w:p w14:paraId="1A1978E8">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eastAsia" w:cs="Times New Roman" w:eastAsiaTheme="minorEastAsia"/>
                      <w:b w:val="0"/>
                      <w:bCs w:val="0"/>
                      <w:color w:val="auto"/>
                      <w:kern w:val="0"/>
                      <w:sz w:val="21"/>
                      <w:szCs w:val="21"/>
                      <w:lang w:val="en-US" w:eastAsia="zh-CN"/>
                    </w:rPr>
                    <w:t>/</w:t>
                  </w:r>
                </w:p>
              </w:tc>
            </w:tr>
            <w:tr w14:paraId="43F0F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3" w:hRule="atLeast"/>
              </w:trPr>
              <w:tc>
                <w:tcPr>
                  <w:tcW w:w="270" w:type="pct"/>
                  <w:vMerge w:val="continue"/>
                  <w:noWrap w:val="0"/>
                  <w:vAlign w:val="center"/>
                </w:tcPr>
                <w:p w14:paraId="13F6F5C1">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p>
              </w:tc>
              <w:tc>
                <w:tcPr>
                  <w:tcW w:w="637" w:type="pct"/>
                  <w:gridSpan w:val="2"/>
                  <w:vMerge w:val="continue"/>
                  <w:noWrap w:val="0"/>
                  <w:vAlign w:val="center"/>
                </w:tcPr>
                <w:p w14:paraId="71A2888E">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p>
              </w:tc>
              <w:tc>
                <w:tcPr>
                  <w:tcW w:w="798" w:type="pct"/>
                  <w:shd w:val="clear" w:color="auto" w:fill="auto"/>
                  <w:noWrap w:val="0"/>
                  <w:vAlign w:val="center"/>
                </w:tcPr>
                <w:p w14:paraId="7F5D7A38">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b w:val="0"/>
                      <w:bCs w:val="0"/>
                      <w:color w:val="auto"/>
                      <w:kern w:val="0"/>
                      <w:sz w:val="21"/>
                      <w:szCs w:val="21"/>
                      <w:lang w:val="en-US" w:eastAsia="zh-CN"/>
                    </w:rPr>
                    <w:t>生活污水</w:t>
                  </w:r>
                </w:p>
              </w:tc>
              <w:tc>
                <w:tcPr>
                  <w:tcW w:w="763" w:type="pct"/>
                  <w:shd w:val="clear" w:color="auto" w:fill="auto"/>
                  <w:noWrap w:val="0"/>
                  <w:vAlign w:val="center"/>
                </w:tcPr>
                <w:p w14:paraId="3C3138E5">
                  <w:pPr>
                    <w:keepNext w:val="0"/>
                    <w:keepLines w:val="0"/>
                    <w:pageBreakBefore w:val="0"/>
                    <w:widowControl/>
                    <w:tabs>
                      <w:tab w:val="left" w:pos="5327"/>
                      <w:tab w:val="left" w:pos="6326"/>
                      <w:tab w:val="left" w:pos="7230"/>
                      <w:tab w:val="left" w:pos="9301"/>
                    </w:tabs>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b w:val="0"/>
                      <w:bCs w:val="0"/>
                      <w:color w:val="auto"/>
                      <w:sz w:val="21"/>
                      <w:szCs w:val="21"/>
                    </w:rPr>
                    <w:t>COD</w:t>
                  </w:r>
                  <w:r>
                    <w:rPr>
                      <w:rFonts w:hint="default" w:ascii="Times New Roman" w:hAnsi="Times New Roman" w:cs="Times New Roman" w:eastAsiaTheme="minorEastAsia"/>
                      <w:b w:val="0"/>
                      <w:bCs w:val="0"/>
                      <w:color w:val="auto"/>
                      <w:sz w:val="21"/>
                      <w:szCs w:val="21"/>
                      <w:vertAlign w:val="subscript"/>
                    </w:rPr>
                    <w:t>cr</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rPr>
                    <w:t>BOD</w:t>
                  </w:r>
                  <w:r>
                    <w:rPr>
                      <w:rFonts w:hint="default" w:ascii="Times New Roman" w:hAnsi="Times New Roman" w:cs="Times New Roman" w:eastAsiaTheme="minorEastAsia"/>
                      <w:b w:val="0"/>
                      <w:bCs w:val="0"/>
                      <w:color w:val="auto"/>
                      <w:sz w:val="21"/>
                      <w:szCs w:val="21"/>
                      <w:vertAlign w:val="subscript"/>
                    </w:rPr>
                    <w:t>5</w:t>
                  </w:r>
                  <w:r>
                    <w:rPr>
                      <w:rFonts w:hint="eastAsia" w:ascii="Times New Roman" w:hAnsi="Times New Roman" w:cs="Times New Roman" w:eastAsiaTheme="minorEastAsia"/>
                      <w:b w:val="0"/>
                      <w:bCs w:val="0"/>
                      <w:color w:val="auto"/>
                      <w:sz w:val="21"/>
                      <w:szCs w:val="21"/>
                      <w:lang w:eastAsia="zh-CN"/>
                    </w:rPr>
                    <w:t>、</w:t>
                  </w:r>
                  <w:r>
                    <w:rPr>
                      <w:rFonts w:hint="default" w:ascii="Times New Roman" w:hAnsi="Times New Roman" w:cs="Times New Roman" w:eastAsiaTheme="minorEastAsia"/>
                      <w:b w:val="0"/>
                      <w:bCs w:val="0"/>
                      <w:color w:val="auto"/>
                      <w:sz w:val="21"/>
                      <w:szCs w:val="21"/>
                      <w:lang w:val="en-US" w:eastAsia="zh-CN"/>
                    </w:rPr>
                    <w:t>动植物油</w:t>
                  </w:r>
                  <w:r>
                    <w:rPr>
                      <w:rFonts w:hint="eastAsia" w:ascii="Times New Roman" w:hAnsi="Times New Roman" w:cs="Times New Roman" w:eastAsiaTheme="minorEastAsia"/>
                      <w:b w:val="0"/>
                      <w:bCs w:val="0"/>
                      <w:color w:val="auto"/>
                      <w:sz w:val="21"/>
                      <w:szCs w:val="21"/>
                      <w:lang w:val="en-US" w:eastAsia="zh-CN"/>
                    </w:rPr>
                    <w:t>、</w:t>
                  </w:r>
                  <w:r>
                    <w:rPr>
                      <w:rFonts w:hint="default" w:ascii="Times New Roman" w:hAnsi="Times New Roman" w:cs="Times New Roman" w:eastAsiaTheme="minorEastAsia"/>
                      <w:b w:val="0"/>
                      <w:bCs w:val="0"/>
                      <w:color w:val="auto"/>
                      <w:sz w:val="21"/>
                      <w:szCs w:val="21"/>
                    </w:rPr>
                    <w:t>NH</w:t>
                  </w:r>
                  <w:r>
                    <w:rPr>
                      <w:rFonts w:hint="default" w:ascii="Times New Roman" w:hAnsi="Times New Roman" w:cs="Times New Roman" w:eastAsiaTheme="minorEastAsia"/>
                      <w:b w:val="0"/>
                      <w:bCs w:val="0"/>
                      <w:color w:val="auto"/>
                      <w:sz w:val="21"/>
                      <w:szCs w:val="21"/>
                      <w:vertAlign w:val="subscript"/>
                    </w:rPr>
                    <w:t>3</w:t>
                  </w:r>
                  <w:r>
                    <w:rPr>
                      <w:rFonts w:hint="default" w:ascii="Times New Roman" w:hAnsi="Times New Roman" w:cs="Times New Roman" w:eastAsiaTheme="minorEastAsia"/>
                      <w:b w:val="0"/>
                      <w:bCs w:val="0"/>
                      <w:color w:val="auto"/>
                      <w:sz w:val="21"/>
                      <w:szCs w:val="21"/>
                    </w:rPr>
                    <w:t>-N</w:t>
                  </w:r>
                  <w:r>
                    <w:rPr>
                      <w:rFonts w:hint="eastAsia" w:ascii="Times New Roman" w:hAnsi="Times New Roman" w:cs="Times New Roman" w:eastAsiaTheme="minorEastAsia"/>
                      <w:b w:val="0"/>
                      <w:bCs w:val="0"/>
                      <w:color w:val="auto"/>
                      <w:sz w:val="21"/>
                      <w:szCs w:val="21"/>
                      <w:lang w:eastAsia="zh-CN"/>
                    </w:rPr>
                    <w:t>、</w:t>
                  </w:r>
                  <w:r>
                    <w:rPr>
                      <w:rFonts w:hint="default" w:ascii="Times New Roman" w:hAnsi="Times New Roman" w:cs="Times New Roman" w:eastAsiaTheme="minorEastAsia"/>
                      <w:b w:val="0"/>
                      <w:bCs w:val="0"/>
                      <w:color w:val="auto"/>
                      <w:sz w:val="21"/>
                      <w:szCs w:val="21"/>
                      <w:lang w:val="en-US" w:eastAsia="zh-CN"/>
                    </w:rPr>
                    <w:t>SS</w:t>
                  </w:r>
                </w:p>
              </w:tc>
              <w:tc>
                <w:tcPr>
                  <w:tcW w:w="1283" w:type="pct"/>
                  <w:gridSpan w:val="2"/>
                  <w:shd w:val="clear" w:color="auto" w:fill="auto"/>
                  <w:noWrap w:val="0"/>
                  <w:vAlign w:val="center"/>
                </w:tcPr>
                <w:p w14:paraId="1EC984DA">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color w:val="auto"/>
                      <w:sz w:val="21"/>
                      <w:szCs w:val="21"/>
                    </w:rPr>
                    <w:t>食堂废水经油水分离器隔油后与其</w:t>
                  </w:r>
                  <w:r>
                    <w:rPr>
                      <w:rFonts w:hint="default" w:ascii="Times New Roman" w:hAnsi="Times New Roman" w:cs="Times New Roman" w:eastAsiaTheme="minorEastAsia"/>
                      <w:color w:val="auto"/>
                      <w:sz w:val="21"/>
                      <w:szCs w:val="21"/>
                      <w:lang w:val="en-US" w:eastAsia="zh-CN"/>
                    </w:rPr>
                    <w:t>它</w:t>
                  </w:r>
                  <w:r>
                    <w:rPr>
                      <w:rFonts w:hint="default" w:ascii="Times New Roman" w:hAnsi="Times New Roman" w:cs="Times New Roman" w:eastAsiaTheme="minorEastAsia"/>
                      <w:color w:val="auto"/>
                      <w:sz w:val="21"/>
                      <w:szCs w:val="21"/>
                    </w:rPr>
                    <w:t>生活污水一起进入化粪池</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rPr>
                    <w:t>经化粪池（</w:t>
                  </w:r>
                  <w:r>
                    <w:rPr>
                      <w:rFonts w:hint="default"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）预处理后，</w:t>
                  </w:r>
                  <w:r>
                    <w:rPr>
                      <w:rFonts w:hint="default" w:ascii="Times New Roman" w:hAnsi="Times New Roman" w:cs="Times New Roman" w:eastAsiaTheme="minorEastAsia"/>
                      <w:color w:val="auto"/>
                      <w:sz w:val="21"/>
                      <w:szCs w:val="21"/>
                      <w:lang w:val="en-US" w:eastAsia="zh-CN"/>
                    </w:rPr>
                    <w:t>通过泵输送至项目新建的2m</w:t>
                  </w:r>
                  <w:r>
                    <w:rPr>
                      <w:rFonts w:hint="default" w:ascii="Times New Roman" w:hAnsi="Times New Roman" w:cs="Times New Roman" w:eastAsiaTheme="minorEastAsia"/>
                      <w:color w:val="auto"/>
                      <w:sz w:val="21"/>
                      <w:szCs w:val="21"/>
                      <w:vertAlign w:val="superscript"/>
                      <w:lang w:val="en-US" w:eastAsia="zh-CN"/>
                    </w:rPr>
                    <w:t>3</w:t>
                  </w:r>
                  <w:r>
                    <w:rPr>
                      <w:rFonts w:hint="default" w:ascii="Times New Roman" w:hAnsi="Times New Roman" w:cs="Times New Roman" w:eastAsiaTheme="minorEastAsia"/>
                      <w:color w:val="auto"/>
                      <w:sz w:val="21"/>
                      <w:szCs w:val="21"/>
                      <w:lang w:val="en-US" w:eastAsia="zh-CN"/>
                    </w:rPr>
                    <w:t>/d的一体化污水处理设施，经处理达标后，晴天回用于厂区绿化或道路清扫，雨天暂存于中水池，</w:t>
                  </w:r>
                  <w:r>
                    <w:rPr>
                      <w:rFonts w:hint="eastAsia" w:ascii="Times New Roman" w:hAnsi="Times New Roman" w:cs="Times New Roman" w:eastAsiaTheme="minorEastAsia"/>
                      <w:color w:val="auto"/>
                      <w:sz w:val="21"/>
                      <w:szCs w:val="21"/>
                      <w:lang w:val="en-US" w:eastAsia="zh-CN"/>
                    </w:rPr>
                    <w:t>待晴天后，</w:t>
                  </w:r>
                  <w:r>
                    <w:rPr>
                      <w:rFonts w:hint="default" w:ascii="Times New Roman" w:hAnsi="Times New Roman" w:cs="Times New Roman" w:eastAsiaTheme="minorEastAsia"/>
                      <w:color w:val="auto"/>
                      <w:sz w:val="21"/>
                      <w:szCs w:val="21"/>
                      <w:lang w:val="en-US" w:eastAsia="zh-CN"/>
                    </w:rPr>
                    <w:t>后回用于厂区绿化，不外排</w:t>
                  </w:r>
                </w:p>
              </w:tc>
              <w:tc>
                <w:tcPr>
                  <w:tcW w:w="1246" w:type="pct"/>
                  <w:shd w:val="clear" w:color="auto" w:fill="auto"/>
                  <w:noWrap w:val="0"/>
                  <w:vAlign w:val="center"/>
                </w:tcPr>
                <w:p w14:paraId="3F7D7D56">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bidi="ar-SA"/>
                    </w:rPr>
                  </w:pPr>
                  <w:r>
                    <w:rPr>
                      <w:rFonts w:hint="default" w:ascii="Times New Roman" w:hAnsi="Times New Roman" w:cs="Times New Roman" w:eastAsiaTheme="minorEastAsia"/>
                      <w:b w:val="0"/>
                      <w:color w:val="auto"/>
                      <w:kern w:val="2"/>
                      <w:sz w:val="21"/>
                      <w:szCs w:val="21"/>
                      <w:lang w:val="en-US" w:eastAsia="zh-CN" w:bidi="ar-SA"/>
                    </w:rPr>
                    <w:t>执行</w:t>
                  </w:r>
                  <w:r>
                    <w:rPr>
                      <w:rFonts w:hint="default" w:ascii="Times New Roman" w:hAnsi="Times New Roman" w:cs="Times New Roman" w:eastAsiaTheme="minorEastAsia"/>
                      <w:b w:val="0"/>
                      <w:color w:val="auto"/>
                      <w:kern w:val="2"/>
                      <w:sz w:val="21"/>
                      <w:szCs w:val="21"/>
                      <w:lang w:val="zh-CN" w:eastAsia="zh-CN" w:bidi="ar-SA"/>
                    </w:rPr>
                    <w:t>《城市污水再生利用 城市杂用水水质》（</w:t>
                  </w:r>
                  <w:r>
                    <w:rPr>
                      <w:rFonts w:hint="default" w:ascii="Times New Roman" w:hAnsi="Times New Roman" w:cs="Times New Roman" w:eastAsiaTheme="minorEastAsia"/>
                      <w:b w:val="0"/>
                      <w:color w:val="auto"/>
                      <w:kern w:val="2"/>
                      <w:sz w:val="21"/>
                      <w:szCs w:val="21"/>
                      <w:lang w:val="en-US" w:eastAsia="zh-CN" w:bidi="ar-SA"/>
                    </w:rPr>
                    <w:t>GB/T18920-2020</w:t>
                  </w:r>
                  <w:r>
                    <w:rPr>
                      <w:rFonts w:hint="default" w:ascii="Times New Roman" w:hAnsi="Times New Roman" w:cs="Times New Roman" w:eastAsiaTheme="minorEastAsia"/>
                      <w:b w:val="0"/>
                      <w:color w:val="auto"/>
                      <w:kern w:val="2"/>
                      <w:sz w:val="21"/>
                      <w:szCs w:val="21"/>
                      <w:lang w:val="zh-CN" w:eastAsia="zh-CN" w:bidi="ar-SA"/>
                    </w:rPr>
                    <w:t>）标准中绿化标准</w:t>
                  </w:r>
                </w:p>
              </w:tc>
            </w:tr>
            <w:tr w14:paraId="26F9F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noWrap w:val="0"/>
                  <w:vAlign w:val="center"/>
                </w:tcPr>
                <w:p w14:paraId="46D0009E">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3F0CCCC2">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noWrap w:val="0"/>
                  <w:vAlign w:val="center"/>
                </w:tcPr>
                <w:p w14:paraId="6B233BEB">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冷凝水收集池</w:t>
                  </w:r>
                </w:p>
              </w:tc>
              <w:tc>
                <w:tcPr>
                  <w:tcW w:w="763" w:type="pct"/>
                  <w:noWrap w:val="0"/>
                  <w:vAlign w:val="center"/>
                </w:tcPr>
                <w:p w14:paraId="3A05C5C2">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SS、</w:t>
                  </w:r>
                  <w:r>
                    <w:rPr>
                      <w:rFonts w:hint="default" w:ascii="Times New Roman" w:hAnsi="Times New Roman" w:cs="Times New Roman" w:eastAsiaTheme="minorEastAsia"/>
                      <w:color w:val="auto"/>
                      <w:sz w:val="21"/>
                      <w:szCs w:val="21"/>
                    </w:rPr>
                    <w:t>COD</w:t>
                  </w:r>
                  <w:r>
                    <w:rPr>
                      <w:rFonts w:hint="default" w:ascii="Times New Roman" w:hAnsi="Times New Roman" w:cs="Times New Roman" w:eastAsiaTheme="minorEastAsia"/>
                      <w:color w:val="auto"/>
                      <w:sz w:val="21"/>
                      <w:szCs w:val="21"/>
                      <w:vertAlign w:val="subscript"/>
                    </w:rPr>
                    <w:t>Cr</w:t>
                  </w:r>
                </w:p>
              </w:tc>
              <w:tc>
                <w:tcPr>
                  <w:tcW w:w="1283" w:type="pct"/>
                  <w:gridSpan w:val="2"/>
                  <w:noWrap w:val="0"/>
                  <w:vAlign w:val="center"/>
                </w:tcPr>
                <w:p w14:paraId="092F9D2A">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1个，容积为25m</w:t>
                  </w:r>
                  <w:r>
                    <w:rPr>
                      <w:rFonts w:hint="default" w:ascii="Times New Roman" w:hAnsi="Times New Roman" w:cs="Times New Roman" w:eastAsiaTheme="minorEastAsia"/>
                      <w:b w:val="0"/>
                      <w:bCs w:val="0"/>
                      <w:color w:val="auto"/>
                      <w:kern w:val="0"/>
                      <w:sz w:val="21"/>
                      <w:szCs w:val="21"/>
                      <w:vertAlign w:val="superscript"/>
                      <w:lang w:val="en-US" w:eastAsia="zh-CN"/>
                    </w:rPr>
                    <w:t>3</w:t>
                  </w:r>
                  <w:r>
                    <w:rPr>
                      <w:rFonts w:hint="default" w:ascii="Times New Roman" w:hAnsi="Times New Roman" w:cs="Times New Roman" w:eastAsiaTheme="minorEastAsia"/>
                      <w:b w:val="0"/>
                      <w:bCs w:val="0"/>
                      <w:color w:val="auto"/>
                      <w:kern w:val="0"/>
                      <w:sz w:val="21"/>
                      <w:szCs w:val="21"/>
                      <w:lang w:val="en-US" w:eastAsia="zh-CN"/>
                    </w:rPr>
                    <w:t>，</w:t>
                  </w:r>
                  <w:r>
                    <w:rPr>
                      <w:rFonts w:hint="default" w:ascii="Times New Roman" w:hAnsi="Times New Roman" w:cs="Times New Roman" w:eastAsiaTheme="minorEastAsia"/>
                      <w:color w:val="auto"/>
                      <w:sz w:val="21"/>
                      <w:szCs w:val="21"/>
                      <w:lang w:val="en-US" w:eastAsia="zh-CN"/>
                    </w:rPr>
                    <w:t>收集暂存</w:t>
                  </w:r>
                  <w:r>
                    <w:rPr>
                      <w:rFonts w:hint="default" w:ascii="Times New Roman" w:hAnsi="Times New Roman" w:cs="Times New Roman" w:eastAsiaTheme="minorEastAsia"/>
                      <w:color w:val="auto"/>
                      <w:sz w:val="21"/>
                      <w:szCs w:val="21"/>
                    </w:rPr>
                    <w:t>发泡工段蒸汽冷凝水</w:t>
                  </w:r>
                  <w:r>
                    <w:rPr>
                      <w:rFonts w:hint="default" w:ascii="Times New Roman" w:hAnsi="Times New Roman" w:cs="Times New Roman" w:eastAsiaTheme="minorEastAsia"/>
                      <w:color w:val="auto"/>
                      <w:sz w:val="21"/>
                      <w:szCs w:val="21"/>
                      <w:lang w:eastAsia="zh-CN"/>
                    </w:rPr>
                    <w:t>，</w:t>
                  </w:r>
                  <w:r>
                    <w:rPr>
                      <w:rFonts w:hint="default" w:ascii="Times New Roman" w:hAnsi="Times New Roman" w:cs="Times New Roman" w:eastAsiaTheme="minorEastAsia"/>
                      <w:color w:val="auto"/>
                      <w:sz w:val="21"/>
                      <w:szCs w:val="21"/>
                      <w:lang w:val="en-US" w:eastAsia="zh-CN"/>
                    </w:rPr>
                    <w:t>经收集后，回用于生产，不外排</w:t>
                  </w:r>
                </w:p>
              </w:tc>
              <w:tc>
                <w:tcPr>
                  <w:tcW w:w="1246" w:type="pct"/>
                  <w:noWrap w:val="0"/>
                  <w:vAlign w:val="center"/>
                </w:tcPr>
                <w:p w14:paraId="1389E69E">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w:t>
                  </w:r>
                </w:p>
              </w:tc>
            </w:tr>
            <w:tr w14:paraId="7967D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noWrap w:val="0"/>
                  <w:vAlign w:val="center"/>
                </w:tcPr>
                <w:p w14:paraId="0A7EB97D">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3</w:t>
                  </w:r>
                </w:p>
              </w:tc>
              <w:tc>
                <w:tcPr>
                  <w:tcW w:w="637" w:type="pct"/>
                  <w:gridSpan w:val="2"/>
                  <w:noWrap w:val="0"/>
                  <w:vAlign w:val="center"/>
                </w:tcPr>
                <w:p w14:paraId="5BCA04B5">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sz w:val="21"/>
                      <w:szCs w:val="21"/>
                    </w:rPr>
                    <w:t>噪声</w:t>
                  </w:r>
                </w:p>
              </w:tc>
              <w:tc>
                <w:tcPr>
                  <w:tcW w:w="798" w:type="pct"/>
                  <w:noWrap w:val="0"/>
                  <w:vAlign w:val="center"/>
                </w:tcPr>
                <w:p w14:paraId="2E27D2F6">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各生产设备</w:t>
                  </w:r>
                </w:p>
              </w:tc>
              <w:tc>
                <w:tcPr>
                  <w:tcW w:w="763" w:type="pct"/>
                  <w:noWrap w:val="0"/>
                  <w:vAlign w:val="center"/>
                </w:tcPr>
                <w:p w14:paraId="6A969EA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噪声</w:t>
                  </w:r>
                </w:p>
              </w:tc>
              <w:tc>
                <w:tcPr>
                  <w:tcW w:w="1283" w:type="pct"/>
                  <w:gridSpan w:val="2"/>
                  <w:noWrap w:val="0"/>
                  <w:vAlign w:val="center"/>
                </w:tcPr>
                <w:p w14:paraId="20EC7B29">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2"/>
                      <w:sz w:val="21"/>
                      <w:szCs w:val="21"/>
                      <w:lang w:val="en-US"/>
                    </w:rPr>
                    <w:t>隔声、减振、消声、弹性连接等措施</w:t>
                  </w:r>
                </w:p>
              </w:tc>
              <w:tc>
                <w:tcPr>
                  <w:tcW w:w="1246" w:type="pct"/>
                  <w:noWrap w:val="0"/>
                  <w:vAlign w:val="center"/>
                </w:tcPr>
                <w:p w14:paraId="5895161E">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b w:val="0"/>
                      <w:bCs w:val="0"/>
                      <w:color w:val="auto"/>
                      <w:kern w:val="2"/>
                      <w:sz w:val="21"/>
                      <w:szCs w:val="21"/>
                      <w:lang w:val="en-US"/>
                    </w:rPr>
                    <w:t>《工业企业厂界环境噪声排放标准》（GB 12348-2008）</w:t>
                  </w:r>
                  <w:r>
                    <w:rPr>
                      <w:rFonts w:hint="default" w:ascii="Times New Roman" w:hAnsi="Times New Roman" w:cs="Times New Roman" w:eastAsiaTheme="minorEastAsia"/>
                      <w:b w:val="0"/>
                      <w:bCs w:val="0"/>
                      <w:color w:val="auto"/>
                      <w:kern w:val="2"/>
                      <w:sz w:val="21"/>
                      <w:szCs w:val="21"/>
                      <w:lang w:val="en-US" w:eastAsia="zh-CN"/>
                    </w:rPr>
                    <w:t>2</w:t>
                  </w:r>
                  <w:r>
                    <w:rPr>
                      <w:rFonts w:hint="default" w:ascii="Times New Roman" w:hAnsi="Times New Roman" w:cs="Times New Roman" w:eastAsiaTheme="minorEastAsia"/>
                      <w:b w:val="0"/>
                      <w:bCs w:val="0"/>
                      <w:color w:val="auto"/>
                      <w:kern w:val="2"/>
                      <w:sz w:val="21"/>
                      <w:szCs w:val="21"/>
                      <w:lang w:val="en-US"/>
                    </w:rPr>
                    <w:t>类</w:t>
                  </w:r>
                </w:p>
              </w:tc>
            </w:tr>
            <w:tr w14:paraId="2592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270" w:type="pct"/>
                  <w:vMerge w:val="restart"/>
                  <w:noWrap w:val="0"/>
                  <w:vAlign w:val="center"/>
                </w:tcPr>
                <w:p w14:paraId="41C96ED6">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4</w:t>
                  </w:r>
                </w:p>
              </w:tc>
              <w:tc>
                <w:tcPr>
                  <w:tcW w:w="637" w:type="pct"/>
                  <w:gridSpan w:val="2"/>
                  <w:vMerge w:val="restart"/>
                  <w:noWrap w:val="0"/>
                  <w:vAlign w:val="center"/>
                </w:tcPr>
                <w:p w14:paraId="1B1C3850">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b w:val="0"/>
                      <w:bCs w:val="0"/>
                      <w:color w:val="auto"/>
                      <w:kern w:val="0"/>
                      <w:sz w:val="21"/>
                      <w:szCs w:val="21"/>
                      <w:lang w:val="en-US" w:eastAsia="zh-CN"/>
                    </w:rPr>
                    <w:t>固废</w:t>
                  </w:r>
                </w:p>
              </w:tc>
              <w:tc>
                <w:tcPr>
                  <w:tcW w:w="798" w:type="pct"/>
                  <w:shd w:val="clear" w:color="auto" w:fill="auto"/>
                  <w:noWrap w:val="0"/>
                  <w:vAlign w:val="center"/>
                </w:tcPr>
                <w:p w14:paraId="4DA2F0FF">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日常生活</w:t>
                  </w:r>
                </w:p>
              </w:tc>
              <w:tc>
                <w:tcPr>
                  <w:tcW w:w="763" w:type="pct"/>
                  <w:shd w:val="clear" w:color="auto" w:fill="auto"/>
                  <w:noWrap w:val="0"/>
                  <w:vAlign w:val="center"/>
                </w:tcPr>
                <w:p w14:paraId="53CD8BB8">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生活垃圾</w:t>
                  </w:r>
                </w:p>
              </w:tc>
              <w:tc>
                <w:tcPr>
                  <w:tcW w:w="1283" w:type="pct"/>
                  <w:gridSpan w:val="2"/>
                  <w:shd w:val="clear" w:color="auto" w:fill="auto"/>
                  <w:noWrap w:val="0"/>
                  <w:vAlign w:val="center"/>
                </w:tcPr>
                <w:p w14:paraId="6F39763F">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统一袋装收集后，</w:t>
                  </w:r>
                  <w:r>
                    <w:rPr>
                      <w:rFonts w:hint="default" w:ascii="Times New Roman" w:hAnsi="Times New Roman" w:cs="Times New Roman" w:eastAsiaTheme="minorEastAsia"/>
                      <w:color w:val="auto"/>
                      <w:sz w:val="21"/>
                      <w:szCs w:val="21"/>
                    </w:rPr>
                    <w:t>运至附近垃圾收集点</w:t>
                  </w:r>
                  <w:r>
                    <w:rPr>
                      <w:rFonts w:hint="default"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eastAsia="zh-CN"/>
                    </w:rPr>
                    <w:t>由</w:t>
                  </w:r>
                  <w:r>
                    <w:rPr>
                      <w:rFonts w:hint="default" w:ascii="Times New Roman" w:hAnsi="Times New Roman" w:cs="Times New Roman" w:eastAsiaTheme="minorEastAsia"/>
                      <w:color w:val="auto"/>
                      <w:sz w:val="21"/>
                      <w:szCs w:val="21"/>
                      <w:lang w:val="en-US" w:eastAsia="zh-CN"/>
                    </w:rPr>
                    <w:t>当地</w:t>
                  </w:r>
                  <w:r>
                    <w:rPr>
                      <w:rFonts w:hint="default" w:ascii="Times New Roman" w:hAnsi="Times New Roman" w:cs="Times New Roman" w:eastAsiaTheme="minorEastAsia"/>
                      <w:color w:val="auto"/>
                      <w:sz w:val="21"/>
                      <w:szCs w:val="21"/>
                      <w:lang w:eastAsia="zh-CN"/>
                    </w:rPr>
                    <w:t>环卫部门统一清运</w:t>
                  </w:r>
                </w:p>
              </w:tc>
              <w:tc>
                <w:tcPr>
                  <w:tcW w:w="1246" w:type="pct"/>
                  <w:shd w:val="clear" w:color="auto" w:fill="auto"/>
                  <w:noWrap w:val="0"/>
                  <w:vAlign w:val="center"/>
                </w:tcPr>
                <w:p w14:paraId="3D73C581">
                  <w:pPr>
                    <w:keepNext w:val="0"/>
                    <w:keepLines w:val="0"/>
                    <w:pageBreakBefore w:val="0"/>
                    <w:kinsoku/>
                    <w:wordWrap w:val="0"/>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w:t>
                  </w:r>
                </w:p>
              </w:tc>
            </w:tr>
            <w:tr w14:paraId="4E4F2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3" w:hRule="atLeast"/>
              </w:trPr>
              <w:tc>
                <w:tcPr>
                  <w:tcW w:w="270" w:type="pct"/>
                  <w:vMerge w:val="continue"/>
                  <w:noWrap w:val="0"/>
                  <w:vAlign w:val="center"/>
                </w:tcPr>
                <w:p w14:paraId="20032E6D">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p>
              </w:tc>
              <w:tc>
                <w:tcPr>
                  <w:tcW w:w="637" w:type="pct"/>
                  <w:gridSpan w:val="2"/>
                  <w:vMerge w:val="continue"/>
                  <w:noWrap w:val="0"/>
                  <w:vAlign w:val="center"/>
                </w:tcPr>
                <w:p w14:paraId="2ABDF7BC">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p>
              </w:tc>
              <w:tc>
                <w:tcPr>
                  <w:tcW w:w="798" w:type="pct"/>
                  <w:shd w:val="clear" w:color="auto" w:fill="auto"/>
                  <w:noWrap w:val="0"/>
                  <w:vAlign w:val="center"/>
                </w:tcPr>
                <w:p w14:paraId="14B5D4B6">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投料工段</w:t>
                  </w:r>
                </w:p>
              </w:tc>
              <w:tc>
                <w:tcPr>
                  <w:tcW w:w="763" w:type="pct"/>
                  <w:shd w:val="clear" w:color="auto" w:fill="auto"/>
                  <w:noWrap w:val="0"/>
                  <w:vAlign w:val="center"/>
                </w:tcPr>
                <w:p w14:paraId="4AD33EED">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车间内收集的颗粒物</w:t>
                  </w:r>
                </w:p>
              </w:tc>
              <w:tc>
                <w:tcPr>
                  <w:tcW w:w="1283" w:type="pct"/>
                  <w:gridSpan w:val="2"/>
                  <w:shd w:val="clear" w:color="auto" w:fill="auto"/>
                  <w:noWrap w:val="0"/>
                  <w:vAlign w:val="center"/>
                </w:tcPr>
                <w:p w14:paraId="51559679">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人工清扫收集后，回用于生产，不外排</w:t>
                  </w:r>
                </w:p>
              </w:tc>
              <w:tc>
                <w:tcPr>
                  <w:tcW w:w="1246" w:type="pct"/>
                  <w:shd w:val="clear" w:color="auto" w:fill="auto"/>
                  <w:noWrap w:val="0"/>
                  <w:vAlign w:val="center"/>
                </w:tcPr>
                <w:p w14:paraId="36050C13">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w:t>
                  </w:r>
                </w:p>
              </w:tc>
            </w:tr>
            <w:tr w14:paraId="7D95E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270" w:type="pct"/>
                  <w:vMerge w:val="continue"/>
                  <w:noWrap w:val="0"/>
                  <w:vAlign w:val="center"/>
                </w:tcPr>
                <w:p w14:paraId="3A8E4001">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0B282E9C">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shd w:val="clear" w:color="auto" w:fill="auto"/>
                  <w:noWrap w:val="0"/>
                  <w:vAlign w:val="center"/>
                </w:tcPr>
                <w:p w14:paraId="1E53A93C">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一体化污水处理设施和化粪池</w:t>
                  </w:r>
                </w:p>
              </w:tc>
              <w:tc>
                <w:tcPr>
                  <w:tcW w:w="763" w:type="pct"/>
                  <w:shd w:val="clear" w:color="auto" w:fill="auto"/>
                  <w:noWrap w:val="0"/>
                  <w:vAlign w:val="center"/>
                </w:tcPr>
                <w:p w14:paraId="39E25582">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污泥</w:t>
                  </w:r>
                </w:p>
              </w:tc>
              <w:tc>
                <w:tcPr>
                  <w:tcW w:w="1283" w:type="pct"/>
                  <w:gridSpan w:val="2"/>
                  <w:shd w:val="clear" w:color="auto" w:fill="auto"/>
                  <w:noWrap w:val="0"/>
                  <w:vAlign w:val="center"/>
                </w:tcPr>
                <w:p w14:paraId="17537C16">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委托当地环卫部门负责清理清运</w:t>
                  </w:r>
                </w:p>
              </w:tc>
              <w:tc>
                <w:tcPr>
                  <w:tcW w:w="1246" w:type="pct"/>
                  <w:shd w:val="clear" w:color="auto" w:fill="auto"/>
                  <w:noWrap w:val="0"/>
                  <w:vAlign w:val="center"/>
                </w:tcPr>
                <w:p w14:paraId="5DCA7C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w:t>
                  </w:r>
                </w:p>
              </w:tc>
            </w:tr>
            <w:tr w14:paraId="0E5D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noWrap w:val="0"/>
                  <w:vAlign w:val="center"/>
                </w:tcPr>
                <w:p w14:paraId="6D697A0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40BD451B">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shd w:val="clear" w:color="auto" w:fill="auto"/>
                  <w:noWrap w:val="0"/>
                  <w:vAlign w:val="center"/>
                </w:tcPr>
                <w:p w14:paraId="677C44E8">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原辅料包装袋</w:t>
                  </w:r>
                </w:p>
              </w:tc>
              <w:tc>
                <w:tcPr>
                  <w:tcW w:w="763" w:type="pct"/>
                  <w:shd w:val="clear" w:color="auto" w:fill="auto"/>
                  <w:noWrap w:val="0"/>
                  <w:vAlign w:val="center"/>
                </w:tcPr>
                <w:p w14:paraId="24CA0FA7">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outlineLvl w:val="9"/>
                    <w:rPr>
                      <w:rFonts w:hint="default" w:ascii="Times New Roman" w:hAnsi="Times New Roman" w:cs="Times New Roman" w:eastAsiaTheme="minorEastAsia"/>
                      <w:b w:val="0"/>
                      <w:bCs w:val="0"/>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废弃包装物</w:t>
                  </w:r>
                </w:p>
              </w:tc>
              <w:tc>
                <w:tcPr>
                  <w:tcW w:w="1283" w:type="pct"/>
                  <w:gridSpan w:val="2"/>
                  <w:vMerge w:val="restart"/>
                  <w:noWrap w:val="0"/>
                  <w:vAlign w:val="center"/>
                </w:tcPr>
                <w:p w14:paraId="41D580E2">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spacing w:val="-1"/>
                      <w:sz w:val="21"/>
                      <w:szCs w:val="21"/>
                      <w:lang w:val="en-US" w:eastAsia="zh-CN"/>
                    </w:rPr>
                    <w:t>统一收集后外售处置</w:t>
                  </w:r>
                </w:p>
              </w:tc>
              <w:tc>
                <w:tcPr>
                  <w:tcW w:w="1246" w:type="pct"/>
                  <w:vMerge w:val="restart"/>
                  <w:noWrap w:val="0"/>
                  <w:vAlign w:val="center"/>
                </w:tcPr>
                <w:p w14:paraId="02F0519A">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sz w:val="21"/>
                      <w:szCs w:val="21"/>
                    </w:rPr>
                    <w:t>贮存设施符合《一般工业固体废物贮存和填埋污染控制标准》（GB18599-2020）</w:t>
                  </w:r>
                </w:p>
              </w:tc>
            </w:tr>
            <w:tr w14:paraId="78400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Merge w:val="continue"/>
                  <w:noWrap w:val="0"/>
                  <w:vAlign w:val="center"/>
                </w:tcPr>
                <w:p w14:paraId="511F06E9">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441EBD6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shd w:val="clear" w:color="auto" w:fill="auto"/>
                  <w:noWrap w:val="0"/>
                  <w:vAlign w:val="center"/>
                </w:tcPr>
                <w:p w14:paraId="4C389A50">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废气治理设施</w:t>
                  </w:r>
                </w:p>
              </w:tc>
              <w:tc>
                <w:tcPr>
                  <w:tcW w:w="763" w:type="pct"/>
                  <w:shd w:val="clear" w:color="auto" w:fill="auto"/>
                  <w:noWrap w:val="0"/>
                  <w:vAlign w:val="center"/>
                </w:tcPr>
                <w:p w14:paraId="647FD567">
                  <w:pPr>
                    <w:pStyle w:val="104"/>
                    <w:keepNext w:val="0"/>
                    <w:pageBreakBefore w:val="0"/>
                    <w:kinsoku/>
                    <w:overflowPunct/>
                    <w:topLinePunct w:val="0"/>
                    <w:autoSpaceDE/>
                    <w:autoSpaceDN/>
                    <w:bidi w:val="0"/>
                    <w:spacing w:line="240" w:lineRule="auto"/>
                    <w:ind w:firstLine="0" w:firstLineChars="0"/>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废布袋</w:t>
                  </w:r>
                </w:p>
              </w:tc>
              <w:tc>
                <w:tcPr>
                  <w:tcW w:w="1283" w:type="pct"/>
                  <w:gridSpan w:val="2"/>
                  <w:vMerge w:val="continue"/>
                  <w:noWrap w:val="0"/>
                  <w:vAlign w:val="center"/>
                </w:tcPr>
                <w:p w14:paraId="768089DF">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1246" w:type="pct"/>
                  <w:vMerge w:val="continue"/>
                  <w:noWrap w:val="0"/>
                  <w:vAlign w:val="center"/>
                </w:tcPr>
                <w:p w14:paraId="06E84A70">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r>
            <w:tr w14:paraId="5656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70" w:type="pct"/>
                  <w:vMerge w:val="continue"/>
                  <w:noWrap w:val="0"/>
                  <w:vAlign w:val="center"/>
                </w:tcPr>
                <w:p w14:paraId="4E72604C">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61082BDD">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shd w:val="clear" w:color="auto" w:fill="auto"/>
                  <w:noWrap w:val="0"/>
                  <w:vAlign w:val="center"/>
                </w:tcPr>
                <w:p w14:paraId="1516F49B">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旋风除尘+布袋除尘</w:t>
                  </w:r>
                </w:p>
              </w:tc>
              <w:tc>
                <w:tcPr>
                  <w:tcW w:w="763" w:type="pct"/>
                  <w:shd w:val="clear" w:color="auto" w:fill="auto"/>
                  <w:noWrap w:val="0"/>
                  <w:vAlign w:val="center"/>
                </w:tcPr>
                <w:p w14:paraId="13896C9D">
                  <w:pPr>
                    <w:pStyle w:val="104"/>
                    <w:keepNext w:val="0"/>
                    <w:pageBreakBefore w:val="0"/>
                    <w:kinsoku/>
                    <w:overflowPunct/>
                    <w:topLinePunct w:val="0"/>
                    <w:autoSpaceDE/>
                    <w:autoSpaceDN/>
                    <w:bidi w:val="0"/>
                    <w:spacing w:line="240" w:lineRule="auto"/>
                    <w:ind w:firstLine="0" w:firstLineChars="0"/>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除尘器收集的除尘灰</w:t>
                  </w:r>
                </w:p>
              </w:tc>
              <w:tc>
                <w:tcPr>
                  <w:tcW w:w="1283" w:type="pct"/>
                  <w:gridSpan w:val="2"/>
                  <w:vMerge w:val="restart"/>
                  <w:shd w:val="clear" w:color="auto" w:fill="auto"/>
                  <w:noWrap w:val="0"/>
                  <w:vAlign w:val="center"/>
                </w:tcPr>
                <w:p w14:paraId="79DFEAD9">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pacing w:val="-1"/>
                      <w:sz w:val="21"/>
                      <w:szCs w:val="21"/>
                      <w:lang w:val="en-US" w:eastAsia="zh-CN"/>
                    </w:rPr>
                    <w:t>统一收集后外售处置</w:t>
                  </w:r>
                </w:p>
              </w:tc>
              <w:tc>
                <w:tcPr>
                  <w:tcW w:w="1246" w:type="pct"/>
                  <w:vMerge w:val="continue"/>
                  <w:noWrap w:val="0"/>
                  <w:vAlign w:val="center"/>
                </w:tcPr>
                <w:p w14:paraId="51CE2D54">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r>
            <w:tr w14:paraId="099AD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70" w:type="pct"/>
                  <w:vMerge w:val="continue"/>
                  <w:noWrap w:val="0"/>
                  <w:vAlign w:val="center"/>
                </w:tcPr>
                <w:p w14:paraId="7F8F9CEC">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27830B17">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shd w:val="clear" w:color="auto" w:fill="auto"/>
                  <w:noWrap w:val="0"/>
                  <w:vAlign w:val="center"/>
                </w:tcPr>
                <w:p w14:paraId="4D2B992E">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生物质蒸汽发生器</w:t>
                  </w:r>
                </w:p>
              </w:tc>
              <w:tc>
                <w:tcPr>
                  <w:tcW w:w="763" w:type="pct"/>
                  <w:shd w:val="clear" w:color="auto" w:fill="auto"/>
                  <w:noWrap w:val="0"/>
                  <w:vAlign w:val="center"/>
                </w:tcPr>
                <w:p w14:paraId="4E6A7281">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eastAsiaTheme="minorEastAsia"/>
                      <w:color w:val="auto"/>
                      <w:kern w:val="2"/>
                      <w:sz w:val="21"/>
                      <w:szCs w:val="21"/>
                      <w:lang w:val="en-US" w:eastAsia="zh-CN" w:bidi="ar-SA"/>
                    </w:rPr>
                    <w:t>生物质蒸汽发生器</w:t>
                  </w:r>
                  <w:r>
                    <w:rPr>
                      <w:rFonts w:hint="default" w:ascii="Times New Roman" w:hAnsi="Times New Roman" w:cs="Times New Roman" w:eastAsiaTheme="minorEastAsia"/>
                      <w:color w:val="auto"/>
                      <w:kern w:val="2"/>
                      <w:sz w:val="21"/>
                      <w:szCs w:val="21"/>
                      <w:lang w:val="en-US" w:eastAsia="zh-CN" w:bidi="ar-SA"/>
                    </w:rPr>
                    <w:t>炉渣</w:t>
                  </w:r>
                </w:p>
              </w:tc>
              <w:tc>
                <w:tcPr>
                  <w:tcW w:w="1283" w:type="pct"/>
                  <w:gridSpan w:val="2"/>
                  <w:vMerge w:val="continue"/>
                  <w:noWrap w:val="0"/>
                  <w:vAlign w:val="center"/>
                </w:tcPr>
                <w:p w14:paraId="072F2BC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p>
              </w:tc>
              <w:tc>
                <w:tcPr>
                  <w:tcW w:w="1246" w:type="pct"/>
                  <w:vMerge w:val="continue"/>
                  <w:noWrap w:val="0"/>
                  <w:vAlign w:val="center"/>
                </w:tcPr>
                <w:p w14:paraId="2DAD071A">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r>
            <w:tr w14:paraId="38FDE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70" w:type="pct"/>
                  <w:vMerge w:val="continue"/>
                  <w:noWrap w:val="0"/>
                  <w:vAlign w:val="center"/>
                </w:tcPr>
                <w:p w14:paraId="060CCB85">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315DD59C">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shd w:val="clear" w:color="auto" w:fill="auto"/>
                  <w:noWrap w:val="0"/>
                  <w:vAlign w:val="center"/>
                </w:tcPr>
                <w:p w14:paraId="589A1503">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软水制备装置</w:t>
                  </w:r>
                </w:p>
              </w:tc>
              <w:tc>
                <w:tcPr>
                  <w:tcW w:w="763" w:type="pct"/>
                  <w:shd w:val="clear" w:color="auto" w:fill="auto"/>
                  <w:noWrap w:val="0"/>
                  <w:vAlign w:val="center"/>
                </w:tcPr>
                <w:p w14:paraId="61C00F08">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废离子交换树脂</w:t>
                  </w:r>
                </w:p>
              </w:tc>
              <w:tc>
                <w:tcPr>
                  <w:tcW w:w="1283" w:type="pct"/>
                  <w:gridSpan w:val="2"/>
                  <w:shd w:val="clear" w:color="auto" w:fill="auto"/>
                  <w:noWrap w:val="0"/>
                  <w:vAlign w:val="center"/>
                </w:tcPr>
                <w:p w14:paraId="4F61FD67">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由厂家直接回收，不在厂内暂存</w:t>
                  </w:r>
                </w:p>
              </w:tc>
              <w:tc>
                <w:tcPr>
                  <w:tcW w:w="1246" w:type="pct"/>
                  <w:vMerge w:val="continue"/>
                  <w:noWrap w:val="0"/>
                  <w:vAlign w:val="center"/>
                </w:tcPr>
                <w:p w14:paraId="25DC29C1">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r>
            <w:tr w14:paraId="7B98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70" w:type="pct"/>
                  <w:vMerge w:val="continue"/>
                  <w:noWrap w:val="0"/>
                  <w:vAlign w:val="center"/>
                </w:tcPr>
                <w:p w14:paraId="13E9E234">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330FAC5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shd w:val="clear" w:color="auto" w:fill="auto"/>
                  <w:noWrap w:val="0"/>
                  <w:vAlign w:val="center"/>
                </w:tcPr>
                <w:p w14:paraId="1A671973">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设备维修</w:t>
                  </w:r>
                </w:p>
              </w:tc>
              <w:tc>
                <w:tcPr>
                  <w:tcW w:w="763" w:type="pct"/>
                  <w:shd w:val="clear" w:color="auto" w:fill="auto"/>
                  <w:noWrap w:val="0"/>
                  <w:vAlign w:val="center"/>
                </w:tcPr>
                <w:p w14:paraId="372DAB9D">
                  <w:pPr>
                    <w:pStyle w:val="21"/>
                    <w:keepNext w:val="0"/>
                    <w:keepLines/>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1"/>
                      <w:szCs w:val="21"/>
                      <w:lang w:val="en-US" w:eastAsia="zh-CN" w:bidi="ar-SA"/>
                    </w:rPr>
                    <w:t>含油废弃废抹布和劳保用品</w:t>
                  </w:r>
                </w:p>
              </w:tc>
              <w:tc>
                <w:tcPr>
                  <w:tcW w:w="1283" w:type="pct"/>
                  <w:gridSpan w:val="2"/>
                  <w:shd w:val="clear" w:color="auto" w:fill="auto"/>
                  <w:noWrap w:val="0"/>
                  <w:vAlign w:val="center"/>
                </w:tcPr>
                <w:p w14:paraId="5B950BDF">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并入生活垃圾一并处置</w:t>
                  </w:r>
                </w:p>
              </w:tc>
              <w:tc>
                <w:tcPr>
                  <w:tcW w:w="1246" w:type="pct"/>
                  <w:noWrap w:val="0"/>
                  <w:vAlign w:val="center"/>
                </w:tcPr>
                <w:p w14:paraId="7D1803B1">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sz w:val="21"/>
                      <w:szCs w:val="21"/>
                      <w:lang w:val="en-US" w:eastAsia="zh-CN"/>
                    </w:rPr>
                    <w:t>/</w:t>
                  </w:r>
                </w:p>
              </w:tc>
            </w:tr>
            <w:tr w14:paraId="1EA9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70" w:type="pct"/>
                  <w:vMerge w:val="continue"/>
                  <w:noWrap w:val="0"/>
                  <w:vAlign w:val="center"/>
                </w:tcPr>
                <w:p w14:paraId="64099277">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073B1BFD">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shd w:val="clear" w:color="auto" w:fill="auto"/>
                  <w:noWrap w:val="0"/>
                  <w:vAlign w:val="center"/>
                </w:tcPr>
                <w:p w14:paraId="40E5BC6A">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有机废气处理装置</w:t>
                  </w:r>
                </w:p>
              </w:tc>
              <w:tc>
                <w:tcPr>
                  <w:tcW w:w="763" w:type="pct"/>
                  <w:shd w:val="clear" w:color="auto" w:fill="auto"/>
                  <w:noWrap w:val="0"/>
                  <w:vAlign w:val="center"/>
                </w:tcPr>
                <w:p w14:paraId="57101220">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废活性炭</w:t>
                  </w:r>
                </w:p>
              </w:tc>
              <w:tc>
                <w:tcPr>
                  <w:tcW w:w="1283" w:type="pct"/>
                  <w:gridSpan w:val="2"/>
                  <w:vMerge w:val="restart"/>
                  <w:noWrap w:val="0"/>
                  <w:vAlign w:val="center"/>
                </w:tcPr>
                <w:p w14:paraId="087B05D5">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统一</w:t>
                  </w:r>
                  <w:r>
                    <w:rPr>
                      <w:rFonts w:hint="default" w:ascii="Times New Roman" w:hAnsi="Times New Roman" w:cs="Times New Roman" w:eastAsiaTheme="minorEastAsia"/>
                      <w:color w:val="auto"/>
                      <w:sz w:val="21"/>
                      <w:szCs w:val="21"/>
                    </w:rPr>
                    <w:t>收集</w:t>
                  </w:r>
                  <w:r>
                    <w:rPr>
                      <w:rFonts w:hint="default" w:ascii="Times New Roman" w:hAnsi="Times New Roman" w:cs="Times New Roman" w:eastAsiaTheme="minorEastAsia"/>
                      <w:color w:val="auto"/>
                      <w:sz w:val="21"/>
                      <w:szCs w:val="21"/>
                      <w:lang w:val="en-US" w:eastAsia="zh-CN"/>
                    </w:rPr>
                    <w:t>后分类</w:t>
                  </w:r>
                  <w:r>
                    <w:rPr>
                      <w:rFonts w:hint="default" w:ascii="Times New Roman" w:hAnsi="Times New Roman" w:cs="Times New Roman" w:eastAsiaTheme="minorEastAsia"/>
                      <w:color w:val="auto"/>
                      <w:sz w:val="21"/>
                      <w:szCs w:val="21"/>
                    </w:rPr>
                    <w:t>暂存于危废暂存间内，分区管理</w:t>
                  </w:r>
                  <w:r>
                    <w:rPr>
                      <w:rFonts w:hint="default" w:ascii="Times New Roman" w:hAnsi="Times New Roman" w:cs="Times New Roman" w:eastAsiaTheme="minorEastAsia"/>
                      <w:color w:val="auto"/>
                      <w:sz w:val="21"/>
                      <w:szCs w:val="21"/>
                      <w:lang w:eastAsia="zh-CN"/>
                    </w:rPr>
                    <w:t>，定期委托</w:t>
                  </w:r>
                  <w:r>
                    <w:rPr>
                      <w:rFonts w:hint="default" w:ascii="Times New Roman" w:hAnsi="Times New Roman" w:cs="Times New Roman" w:eastAsiaTheme="minorEastAsia"/>
                      <w:color w:val="auto"/>
                      <w:sz w:val="21"/>
                      <w:szCs w:val="21"/>
                      <w:lang w:val="en-US" w:eastAsia="zh-CN"/>
                    </w:rPr>
                    <w:t>有资质的单位进行处置</w:t>
                  </w:r>
                </w:p>
              </w:tc>
              <w:tc>
                <w:tcPr>
                  <w:tcW w:w="1246" w:type="pct"/>
                  <w:vMerge w:val="restart"/>
                  <w:noWrap w:val="0"/>
                  <w:vAlign w:val="center"/>
                </w:tcPr>
                <w:p w14:paraId="7D4EE649">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r>
                    <w:rPr>
                      <w:rFonts w:hint="default" w:ascii="Times New Roman" w:hAnsi="Times New Roman" w:cs="Times New Roman" w:eastAsiaTheme="minorEastAsia"/>
                      <w:color w:val="auto"/>
                      <w:sz w:val="21"/>
                      <w:szCs w:val="21"/>
                    </w:rPr>
                    <w:t>危险废物贮存设施符合《危险废物贮存污染控制标准》（GB18597-2023）的有关要求</w:t>
                  </w:r>
                </w:p>
              </w:tc>
            </w:tr>
            <w:tr w14:paraId="4227B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270" w:type="pct"/>
                  <w:vMerge w:val="continue"/>
                  <w:noWrap w:val="0"/>
                  <w:vAlign w:val="center"/>
                </w:tcPr>
                <w:p w14:paraId="6CE4B733">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637" w:type="pct"/>
                  <w:gridSpan w:val="2"/>
                  <w:vMerge w:val="continue"/>
                  <w:noWrap w:val="0"/>
                  <w:vAlign w:val="center"/>
                </w:tcPr>
                <w:p w14:paraId="76F2752A">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798" w:type="pct"/>
                  <w:shd w:val="clear" w:color="auto" w:fill="auto"/>
                  <w:noWrap w:val="0"/>
                  <w:vAlign w:val="center"/>
                </w:tcPr>
                <w:p w14:paraId="53B419F6">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设备维护保养</w:t>
                  </w:r>
                </w:p>
              </w:tc>
              <w:tc>
                <w:tcPr>
                  <w:tcW w:w="763" w:type="pct"/>
                  <w:shd w:val="clear" w:color="auto" w:fill="auto"/>
                  <w:noWrap w:val="0"/>
                  <w:vAlign w:val="center"/>
                </w:tcPr>
                <w:p w14:paraId="36613EC2">
                  <w:pPr>
                    <w:keepNext w:val="0"/>
                    <w:keepLines w:val="0"/>
                    <w:pageBreakBefore w:val="0"/>
                    <w:widowControl/>
                    <w:kinsoku/>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废机油</w:t>
                  </w:r>
                </w:p>
              </w:tc>
              <w:tc>
                <w:tcPr>
                  <w:tcW w:w="1283" w:type="pct"/>
                  <w:gridSpan w:val="2"/>
                  <w:vMerge w:val="continue"/>
                  <w:noWrap w:val="0"/>
                  <w:vAlign w:val="center"/>
                </w:tcPr>
                <w:p w14:paraId="20EB772B">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c>
                <w:tcPr>
                  <w:tcW w:w="1246" w:type="pct"/>
                  <w:vMerge w:val="continue"/>
                  <w:noWrap w:val="0"/>
                  <w:vAlign w:val="center"/>
                </w:tcPr>
                <w:p w14:paraId="2F3D76F2">
                  <w:pPr>
                    <w:keepNext w:val="0"/>
                    <w:keepLines w:val="0"/>
                    <w:pageBreakBefore w:val="0"/>
                    <w:kinsoku/>
                    <w:wordWrap/>
                    <w:overflowPunct/>
                    <w:topLinePunct w:val="0"/>
                    <w:autoSpaceDE/>
                    <w:autoSpaceDN/>
                    <w:bidi w:val="0"/>
                    <w:spacing w:line="240" w:lineRule="auto"/>
                    <w:ind w:firstLine="0" w:firstLineChars="0"/>
                    <w:jc w:val="center"/>
                    <w:textAlignment w:val="auto"/>
                    <w:outlineLvl w:val="9"/>
                    <w:rPr>
                      <w:rFonts w:hint="default" w:ascii="Times New Roman" w:hAnsi="Times New Roman" w:cs="Times New Roman" w:eastAsiaTheme="minorEastAsia"/>
                      <w:b w:val="0"/>
                      <w:bCs w:val="0"/>
                      <w:color w:val="auto"/>
                      <w:kern w:val="0"/>
                      <w:sz w:val="21"/>
                      <w:szCs w:val="21"/>
                    </w:rPr>
                  </w:pPr>
                </w:p>
              </w:tc>
            </w:tr>
          </w:tbl>
          <w:p w14:paraId="6DA36E18">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hint="default" w:cs="Times New Roman" w:eastAsiaTheme="minorEastAsia"/>
                <w:color w:val="auto"/>
                <w:sz w:val="24"/>
                <w:szCs w:val="24"/>
                <w:lang w:val="en-US" w:eastAsia="zh-CN"/>
              </w:rPr>
            </w:pPr>
          </w:p>
          <w:p w14:paraId="0636F79B">
            <w:pPr>
              <w:pStyle w:val="22"/>
              <w:spacing w:line="360" w:lineRule="auto"/>
              <w:ind w:left="0" w:leftChars="0" w:firstLine="0" w:firstLineChars="0"/>
              <w:rPr>
                <w:rFonts w:hint="default" w:ascii="Times New Roman" w:hAnsi="Times New Roman" w:cs="Times New Roman" w:eastAsiaTheme="minorEastAsia"/>
                <w:color w:val="auto"/>
                <w:sz w:val="24"/>
                <w:szCs w:val="24"/>
                <w:lang w:eastAsia="zh-CN"/>
              </w:rPr>
            </w:pPr>
          </w:p>
          <w:p w14:paraId="44CD13E4">
            <w:pPr>
              <w:pStyle w:val="8"/>
              <w:rPr>
                <w:rFonts w:hint="default" w:ascii="Times New Roman" w:hAnsi="Times New Roman" w:cs="Times New Roman" w:eastAsiaTheme="minorEastAsia"/>
                <w:color w:val="auto"/>
                <w:sz w:val="24"/>
                <w:szCs w:val="24"/>
                <w:lang w:eastAsia="zh-CN"/>
              </w:rPr>
            </w:pPr>
          </w:p>
          <w:p w14:paraId="10E5FFC4">
            <w:pPr>
              <w:pStyle w:val="8"/>
              <w:rPr>
                <w:rFonts w:hint="default" w:ascii="Times New Roman" w:hAnsi="Times New Roman" w:cs="Times New Roman" w:eastAsiaTheme="minorEastAsia"/>
                <w:color w:val="auto"/>
                <w:sz w:val="24"/>
                <w:szCs w:val="24"/>
                <w:lang w:eastAsia="zh-CN"/>
              </w:rPr>
            </w:pPr>
          </w:p>
          <w:p w14:paraId="4BEE4403">
            <w:pPr>
              <w:pStyle w:val="8"/>
              <w:ind w:left="0" w:leftChars="0" w:firstLine="0" w:firstLineChars="0"/>
              <w:rPr>
                <w:rFonts w:hint="default" w:ascii="Times New Roman" w:hAnsi="Times New Roman" w:cs="Times New Roman" w:eastAsiaTheme="minorEastAsia"/>
                <w:color w:val="auto"/>
                <w:sz w:val="24"/>
                <w:szCs w:val="24"/>
                <w:lang w:eastAsia="zh-CN"/>
              </w:rPr>
            </w:pPr>
          </w:p>
          <w:p w14:paraId="47BA4345">
            <w:pPr>
              <w:pStyle w:val="8"/>
              <w:ind w:left="0" w:leftChars="0" w:firstLine="0" w:firstLineChars="0"/>
              <w:rPr>
                <w:rFonts w:hint="default" w:ascii="Times New Roman" w:hAnsi="Times New Roman" w:cs="Times New Roman" w:eastAsiaTheme="minorEastAsia"/>
                <w:color w:val="auto"/>
                <w:sz w:val="24"/>
                <w:szCs w:val="24"/>
                <w:lang w:eastAsia="zh-CN"/>
              </w:rPr>
            </w:pPr>
          </w:p>
          <w:p w14:paraId="4C99F538">
            <w:pPr>
              <w:pStyle w:val="8"/>
              <w:ind w:left="0" w:leftChars="0" w:firstLine="0" w:firstLineChars="0"/>
              <w:rPr>
                <w:rFonts w:hint="default" w:ascii="Times New Roman" w:hAnsi="Times New Roman" w:cs="Times New Roman" w:eastAsiaTheme="minorEastAsia"/>
                <w:color w:val="auto"/>
                <w:sz w:val="24"/>
                <w:szCs w:val="24"/>
                <w:lang w:eastAsia="zh-CN"/>
              </w:rPr>
            </w:pPr>
          </w:p>
          <w:p w14:paraId="5EC2D315">
            <w:pPr>
              <w:pStyle w:val="8"/>
              <w:ind w:left="0" w:leftChars="0" w:firstLine="0" w:firstLineChars="0"/>
              <w:rPr>
                <w:rFonts w:hint="default" w:ascii="Times New Roman" w:hAnsi="Times New Roman" w:cs="Times New Roman" w:eastAsiaTheme="minorEastAsia"/>
                <w:color w:val="auto"/>
                <w:sz w:val="24"/>
                <w:szCs w:val="24"/>
                <w:lang w:eastAsia="zh-CN"/>
              </w:rPr>
            </w:pPr>
          </w:p>
          <w:p w14:paraId="7C8E910B">
            <w:pPr>
              <w:pStyle w:val="8"/>
              <w:ind w:left="0" w:leftChars="0" w:firstLine="0" w:firstLineChars="0"/>
              <w:rPr>
                <w:rFonts w:hint="default" w:ascii="Times New Roman" w:hAnsi="Times New Roman" w:cs="Times New Roman" w:eastAsiaTheme="minorEastAsia"/>
                <w:color w:val="auto"/>
                <w:sz w:val="24"/>
                <w:szCs w:val="24"/>
                <w:lang w:eastAsia="zh-CN"/>
              </w:rPr>
            </w:pPr>
          </w:p>
          <w:p w14:paraId="01B060FD">
            <w:pPr>
              <w:pStyle w:val="8"/>
              <w:ind w:left="0" w:leftChars="0" w:firstLine="0" w:firstLineChars="0"/>
              <w:rPr>
                <w:rFonts w:hint="default" w:ascii="Times New Roman" w:hAnsi="Times New Roman" w:cs="Times New Roman" w:eastAsiaTheme="minorEastAsia"/>
                <w:color w:val="auto"/>
                <w:sz w:val="24"/>
                <w:szCs w:val="24"/>
                <w:lang w:eastAsia="zh-CN"/>
              </w:rPr>
            </w:pPr>
          </w:p>
          <w:p w14:paraId="0117ECC5">
            <w:pPr>
              <w:pStyle w:val="8"/>
              <w:ind w:left="0" w:leftChars="0" w:firstLine="0" w:firstLineChars="0"/>
              <w:rPr>
                <w:rFonts w:hint="default" w:ascii="Times New Roman" w:hAnsi="Times New Roman" w:cs="Times New Roman" w:eastAsiaTheme="minorEastAsia"/>
                <w:color w:val="auto"/>
                <w:sz w:val="24"/>
                <w:szCs w:val="24"/>
                <w:lang w:eastAsia="zh-CN"/>
              </w:rPr>
            </w:pPr>
          </w:p>
          <w:p w14:paraId="292CB1E9">
            <w:pPr>
              <w:pStyle w:val="8"/>
              <w:ind w:left="0" w:leftChars="0" w:firstLine="0" w:firstLineChars="0"/>
              <w:rPr>
                <w:rFonts w:hint="default" w:ascii="Times New Roman" w:hAnsi="Times New Roman" w:cs="Times New Roman" w:eastAsiaTheme="minorEastAsia"/>
                <w:color w:val="auto"/>
                <w:sz w:val="24"/>
                <w:szCs w:val="24"/>
                <w:lang w:eastAsia="zh-CN"/>
              </w:rPr>
            </w:pPr>
          </w:p>
          <w:p w14:paraId="2F2E6A13">
            <w:pPr>
              <w:pStyle w:val="8"/>
              <w:ind w:left="0" w:leftChars="0" w:firstLine="0" w:firstLineChars="0"/>
              <w:rPr>
                <w:rFonts w:hint="default" w:ascii="Times New Roman" w:hAnsi="Times New Roman" w:cs="Times New Roman" w:eastAsiaTheme="minorEastAsia"/>
                <w:color w:val="auto"/>
                <w:sz w:val="24"/>
                <w:szCs w:val="24"/>
                <w:lang w:eastAsia="zh-CN"/>
              </w:rPr>
            </w:pPr>
          </w:p>
          <w:p w14:paraId="531EA29F">
            <w:pPr>
              <w:pStyle w:val="8"/>
              <w:ind w:left="0" w:leftChars="0" w:firstLine="0" w:firstLineChars="0"/>
              <w:rPr>
                <w:rFonts w:hint="default" w:ascii="Times New Roman" w:hAnsi="Times New Roman" w:cs="Times New Roman" w:eastAsiaTheme="minorEastAsia"/>
                <w:color w:val="auto"/>
                <w:sz w:val="24"/>
                <w:szCs w:val="24"/>
                <w:lang w:eastAsia="zh-CN"/>
              </w:rPr>
            </w:pPr>
          </w:p>
          <w:p w14:paraId="476B7569">
            <w:pPr>
              <w:pStyle w:val="8"/>
              <w:ind w:left="0" w:leftChars="0" w:firstLine="0" w:firstLineChars="0"/>
              <w:rPr>
                <w:rFonts w:hint="default" w:ascii="Times New Roman" w:hAnsi="Times New Roman" w:cs="Times New Roman" w:eastAsiaTheme="minorEastAsia"/>
                <w:color w:val="auto"/>
                <w:sz w:val="24"/>
                <w:szCs w:val="24"/>
                <w:lang w:eastAsia="zh-CN"/>
              </w:rPr>
            </w:pPr>
          </w:p>
          <w:p w14:paraId="02E89402">
            <w:pPr>
              <w:pStyle w:val="8"/>
              <w:ind w:left="0" w:leftChars="0" w:firstLine="0" w:firstLineChars="0"/>
              <w:rPr>
                <w:rFonts w:hint="default" w:ascii="Times New Roman" w:hAnsi="Times New Roman" w:cs="Times New Roman" w:eastAsiaTheme="minorEastAsia"/>
                <w:color w:val="auto"/>
                <w:sz w:val="24"/>
                <w:szCs w:val="24"/>
                <w:lang w:eastAsia="zh-CN"/>
              </w:rPr>
            </w:pPr>
          </w:p>
          <w:p w14:paraId="55B5BD87">
            <w:pPr>
              <w:pStyle w:val="8"/>
              <w:ind w:left="0" w:leftChars="0" w:firstLine="0" w:firstLineChars="0"/>
              <w:rPr>
                <w:rFonts w:hint="default" w:ascii="Times New Roman" w:hAnsi="Times New Roman" w:cs="Times New Roman" w:eastAsiaTheme="minorEastAsia"/>
                <w:color w:val="auto"/>
                <w:sz w:val="24"/>
                <w:szCs w:val="24"/>
                <w:lang w:eastAsia="zh-CN"/>
              </w:rPr>
            </w:pPr>
          </w:p>
          <w:p w14:paraId="69FBB576">
            <w:pPr>
              <w:pStyle w:val="8"/>
              <w:ind w:left="0" w:leftChars="0" w:firstLine="0" w:firstLineChars="0"/>
              <w:rPr>
                <w:rFonts w:hint="default" w:ascii="Times New Roman" w:hAnsi="Times New Roman" w:cs="Times New Roman" w:eastAsiaTheme="minorEastAsia"/>
                <w:color w:val="auto"/>
                <w:sz w:val="24"/>
                <w:szCs w:val="24"/>
                <w:lang w:eastAsia="zh-CN"/>
              </w:rPr>
            </w:pPr>
          </w:p>
          <w:p w14:paraId="6B1EC5D8">
            <w:pPr>
              <w:pStyle w:val="8"/>
              <w:rPr>
                <w:rFonts w:hint="default" w:ascii="Times New Roman" w:hAnsi="Times New Roman" w:cs="Times New Roman" w:eastAsiaTheme="minorEastAsia"/>
                <w:color w:val="auto"/>
                <w:sz w:val="24"/>
                <w:szCs w:val="24"/>
                <w:lang w:eastAsia="zh-CN"/>
              </w:rPr>
            </w:pPr>
          </w:p>
          <w:p w14:paraId="57DF6033">
            <w:pPr>
              <w:pStyle w:val="8"/>
              <w:rPr>
                <w:rFonts w:hint="default" w:ascii="Times New Roman" w:hAnsi="Times New Roman" w:cs="Times New Roman" w:eastAsiaTheme="minorEastAsia"/>
                <w:color w:val="auto"/>
                <w:sz w:val="24"/>
                <w:szCs w:val="24"/>
                <w:lang w:eastAsia="zh-CN"/>
              </w:rPr>
            </w:pPr>
          </w:p>
        </w:tc>
      </w:tr>
    </w:tbl>
    <w:p w14:paraId="72DD9306">
      <w:pPr>
        <w:rPr>
          <w:rFonts w:hint="default" w:ascii="Times New Roman" w:hAnsi="Times New Roman" w:cs="Times New Roman"/>
          <w:color w:val="auto"/>
        </w:rPr>
      </w:pPr>
      <w:r>
        <w:rPr>
          <w:rFonts w:hint="default" w:ascii="Times New Roman" w:hAnsi="Times New Roman" w:cs="Times New Roman"/>
          <w:snapToGrid w:val="0"/>
          <w:color w:val="auto"/>
        </w:rPr>
        <w:br w:type="page"/>
      </w:r>
    </w:p>
    <w:p w14:paraId="64B98E53">
      <w:pPr>
        <w:pStyle w:val="4"/>
        <w:numPr>
          <w:ilvl w:val="0"/>
          <w:numId w:val="0"/>
        </w:numPr>
        <w:ind w:firstLine="0" w:firstLineChars="0"/>
        <w:jc w:val="center"/>
        <w:rPr>
          <w:rFonts w:hint="default" w:ascii="Times New Roman" w:hAnsi="Times New Roman" w:eastAsia="宋体" w:cs="Times New Roman"/>
          <w:b/>
          <w:color w:val="auto"/>
          <w:kern w:val="44"/>
          <w:sz w:val="28"/>
          <w:szCs w:val="24"/>
          <w:lang w:val="en-US" w:eastAsia="zh-CN" w:bidi="ar-SA"/>
        </w:rPr>
      </w:pPr>
      <w:bookmarkStart w:id="31" w:name="_Toc13537"/>
      <w:r>
        <w:rPr>
          <w:rFonts w:hint="eastAsia" w:ascii="Times New Roman" w:hAnsi="Times New Roman" w:eastAsia="宋体" w:cs="Times New Roman"/>
          <w:b/>
          <w:color w:val="auto"/>
          <w:kern w:val="44"/>
          <w:sz w:val="28"/>
          <w:szCs w:val="24"/>
          <w:lang w:val="en-US" w:eastAsia="zh-CN" w:bidi="ar-SA"/>
        </w:rPr>
        <w:t>六、</w:t>
      </w:r>
      <w:r>
        <w:rPr>
          <w:rFonts w:hint="default" w:ascii="Times New Roman" w:hAnsi="Times New Roman" w:eastAsia="宋体" w:cs="Times New Roman"/>
          <w:b/>
          <w:color w:val="auto"/>
          <w:kern w:val="44"/>
          <w:sz w:val="28"/>
          <w:szCs w:val="24"/>
          <w:lang w:val="en-US" w:eastAsia="zh-CN" w:bidi="ar-SA"/>
        </w:rPr>
        <w:t>结论</w:t>
      </w:r>
      <w:bookmarkEnd w:id="31"/>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57EC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7257295">
            <w:pPr>
              <w:keepNext w:val="0"/>
              <w:keepLines w:val="0"/>
              <w:pageBreakBefore w:val="0"/>
              <w:widowControl w:val="0"/>
              <w:tabs>
                <w:tab w:val="left" w:pos="2395"/>
              </w:tabs>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none"/>
              </w:rPr>
              <w:t>建设项目</w:t>
            </w:r>
            <w:r>
              <w:rPr>
                <w:rFonts w:hint="eastAsia" w:ascii="宋体" w:hAnsi="宋体" w:eastAsia="宋体" w:cs="宋体"/>
                <w:bCs/>
                <w:color w:val="auto"/>
                <w:sz w:val="24"/>
                <w:szCs w:val="24"/>
                <w:u w:val="none"/>
              </w:rPr>
              <w:t>位于</w:t>
            </w:r>
            <w:r>
              <w:rPr>
                <w:rFonts w:hint="eastAsia" w:cs="Times New Roman"/>
                <w:color w:val="auto"/>
                <w:sz w:val="24"/>
                <w:szCs w:val="24"/>
                <w:lang w:eastAsia="zh-CN"/>
              </w:rPr>
              <w:t>云南省玉溪市红塔区北城街道刺桐关社区一组岔箐脑</w:t>
            </w:r>
            <w:r>
              <w:rPr>
                <w:rFonts w:hint="eastAsia" w:ascii="宋体" w:hAnsi="宋体" w:eastAsia="宋体" w:cs="宋体"/>
                <w:color w:val="auto"/>
                <w:sz w:val="24"/>
                <w:szCs w:val="24"/>
                <w:u w:val="none"/>
              </w:rPr>
              <w:t>，通过对该项目的工程分析和环境影响分析可得如下结论：</w:t>
            </w:r>
          </w:p>
          <w:p w14:paraId="465E5E1C">
            <w:pPr>
              <w:adjustRightInd w:val="0"/>
              <w:snapToGrid w:val="0"/>
              <w:ind w:firstLine="48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本项目的建设符合国家产业政策，采取的污染防治措施有效、可靠。项目的污染物排放量较小，通过采取相应的环境保护对策措施可以实现达标排放，项目实施后不会对地表水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地下水</w:t>
            </w:r>
            <w:r>
              <w:rPr>
                <w:rFonts w:hint="eastAsia" w:ascii="宋体" w:hAnsi="宋体" w:eastAsia="宋体" w:cs="宋体"/>
                <w:color w:val="auto"/>
                <w:sz w:val="24"/>
                <w:szCs w:val="24"/>
              </w:rPr>
              <w:t>、环境空气、声环境和生态环境产生明显影响</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环境风险可控。项目建设无明显环境制约因素。在建设单位严格执行本环境影响报告表中提出的污染防治对策和措施、加强环境管理、严格执行</w:t>
            </w:r>
            <w:r>
              <w:rPr>
                <w:rFonts w:hint="eastAsia" w:ascii="宋体" w:hAnsi="宋体" w:cs="宋体"/>
                <w:color w:val="auto"/>
                <w:sz w:val="24"/>
                <w:szCs w:val="24"/>
                <w:lang w:eastAsia="zh-CN"/>
              </w:rPr>
              <w:t>“</w:t>
            </w:r>
            <w:r>
              <w:rPr>
                <w:rFonts w:hint="eastAsia" w:ascii="宋体" w:hAnsi="宋体" w:eastAsia="宋体" w:cs="宋体"/>
                <w:color w:val="auto"/>
                <w:sz w:val="24"/>
                <w:szCs w:val="24"/>
              </w:rPr>
              <w:t>三同时</w:t>
            </w:r>
            <w:r>
              <w:rPr>
                <w:rFonts w:hint="eastAsia" w:ascii="宋体" w:hAnsi="宋体" w:cs="宋体"/>
                <w:color w:val="auto"/>
                <w:sz w:val="24"/>
                <w:szCs w:val="24"/>
                <w:lang w:eastAsia="zh-CN"/>
              </w:rPr>
              <w:t>”</w:t>
            </w:r>
            <w:r>
              <w:rPr>
                <w:rFonts w:hint="eastAsia" w:ascii="宋体" w:hAnsi="宋体" w:eastAsia="宋体" w:cs="宋体"/>
                <w:color w:val="auto"/>
                <w:sz w:val="24"/>
                <w:szCs w:val="24"/>
              </w:rPr>
              <w:t>制度、确保各项污染物达标排放的前提下，从环境保护角度分析，该项目的建设是可行的</w:t>
            </w:r>
            <w:r>
              <w:rPr>
                <w:rFonts w:hint="eastAsia" w:ascii="宋体" w:hAnsi="宋体" w:eastAsia="宋体" w:cs="宋体"/>
                <w:color w:val="auto"/>
                <w:sz w:val="24"/>
                <w:szCs w:val="24"/>
                <w:lang w:eastAsia="zh-CN"/>
              </w:rPr>
              <w:t>。</w:t>
            </w:r>
          </w:p>
          <w:p w14:paraId="4EFBEDC8">
            <w:pPr>
              <w:ind w:firstLine="480"/>
              <w:rPr>
                <w:rFonts w:hint="default" w:ascii="Times New Roman" w:hAnsi="Times New Roman" w:cs="Times New Roman"/>
                <w:color w:val="auto"/>
              </w:rPr>
            </w:pPr>
          </w:p>
          <w:p w14:paraId="3503DC9E">
            <w:pPr>
              <w:ind w:firstLine="400"/>
              <w:rPr>
                <w:rFonts w:hint="default" w:ascii="Times New Roman" w:hAnsi="Times New Roman" w:cs="Times New Roman"/>
                <w:color w:val="auto"/>
                <w:sz w:val="20"/>
                <w:szCs w:val="20"/>
              </w:rPr>
            </w:pPr>
          </w:p>
          <w:p w14:paraId="34520DF0">
            <w:pPr>
              <w:ind w:firstLine="400"/>
              <w:rPr>
                <w:rFonts w:hint="default" w:ascii="Times New Roman" w:hAnsi="Times New Roman" w:cs="Times New Roman"/>
                <w:color w:val="auto"/>
                <w:sz w:val="20"/>
                <w:szCs w:val="20"/>
              </w:rPr>
            </w:pPr>
          </w:p>
          <w:p w14:paraId="5CDC9634">
            <w:pPr>
              <w:ind w:firstLine="400"/>
              <w:rPr>
                <w:rFonts w:hint="default" w:ascii="Times New Roman" w:hAnsi="Times New Roman" w:cs="Times New Roman"/>
                <w:color w:val="auto"/>
                <w:sz w:val="20"/>
                <w:szCs w:val="20"/>
              </w:rPr>
            </w:pPr>
          </w:p>
          <w:p w14:paraId="736785AE">
            <w:pPr>
              <w:ind w:firstLine="400"/>
              <w:rPr>
                <w:rFonts w:hint="default" w:ascii="Times New Roman" w:hAnsi="Times New Roman" w:cs="Times New Roman"/>
                <w:color w:val="auto"/>
                <w:sz w:val="20"/>
                <w:szCs w:val="20"/>
              </w:rPr>
            </w:pPr>
          </w:p>
          <w:p w14:paraId="63583BBC">
            <w:pPr>
              <w:ind w:firstLine="400"/>
              <w:rPr>
                <w:rFonts w:hint="default" w:ascii="Times New Roman" w:hAnsi="Times New Roman" w:cs="Times New Roman"/>
                <w:color w:val="auto"/>
                <w:sz w:val="20"/>
                <w:szCs w:val="20"/>
              </w:rPr>
            </w:pPr>
          </w:p>
          <w:p w14:paraId="325D1D91">
            <w:pPr>
              <w:ind w:firstLine="400"/>
              <w:rPr>
                <w:rFonts w:hint="default" w:ascii="Times New Roman" w:hAnsi="Times New Roman" w:cs="Times New Roman"/>
                <w:color w:val="auto"/>
                <w:sz w:val="20"/>
                <w:szCs w:val="20"/>
              </w:rPr>
            </w:pPr>
          </w:p>
          <w:p w14:paraId="29FC9B6A">
            <w:pPr>
              <w:ind w:firstLine="400"/>
              <w:rPr>
                <w:rFonts w:hint="default" w:ascii="Times New Roman" w:hAnsi="Times New Roman" w:cs="Times New Roman"/>
                <w:color w:val="auto"/>
                <w:sz w:val="20"/>
                <w:szCs w:val="20"/>
              </w:rPr>
            </w:pPr>
          </w:p>
          <w:p w14:paraId="15F0FDF2">
            <w:pPr>
              <w:ind w:firstLine="400"/>
              <w:rPr>
                <w:rFonts w:hint="default" w:ascii="Times New Roman" w:hAnsi="Times New Roman" w:cs="Times New Roman"/>
                <w:color w:val="auto"/>
                <w:sz w:val="20"/>
                <w:szCs w:val="20"/>
              </w:rPr>
            </w:pPr>
          </w:p>
          <w:p w14:paraId="229880AB">
            <w:pPr>
              <w:ind w:firstLine="400"/>
              <w:rPr>
                <w:rFonts w:hint="default" w:ascii="Times New Roman" w:hAnsi="Times New Roman" w:cs="Times New Roman"/>
                <w:color w:val="auto"/>
                <w:sz w:val="20"/>
                <w:szCs w:val="20"/>
              </w:rPr>
            </w:pPr>
          </w:p>
          <w:p w14:paraId="51BF681D">
            <w:pPr>
              <w:ind w:firstLine="400"/>
              <w:rPr>
                <w:rFonts w:hint="default" w:ascii="Times New Roman" w:hAnsi="Times New Roman" w:cs="Times New Roman"/>
                <w:color w:val="auto"/>
                <w:sz w:val="20"/>
                <w:szCs w:val="20"/>
              </w:rPr>
            </w:pPr>
          </w:p>
          <w:p w14:paraId="3D70CF10">
            <w:pPr>
              <w:ind w:firstLine="400"/>
              <w:rPr>
                <w:rFonts w:hint="default" w:ascii="Times New Roman" w:hAnsi="Times New Roman" w:cs="Times New Roman"/>
                <w:color w:val="auto"/>
                <w:sz w:val="20"/>
                <w:szCs w:val="20"/>
              </w:rPr>
            </w:pPr>
          </w:p>
          <w:p w14:paraId="36E67F22">
            <w:pPr>
              <w:ind w:firstLine="400"/>
              <w:rPr>
                <w:rFonts w:hint="default" w:ascii="Times New Roman" w:hAnsi="Times New Roman" w:cs="Times New Roman"/>
                <w:color w:val="auto"/>
                <w:sz w:val="20"/>
                <w:szCs w:val="20"/>
              </w:rPr>
            </w:pPr>
          </w:p>
          <w:p w14:paraId="21F87229">
            <w:pPr>
              <w:ind w:firstLine="400"/>
              <w:rPr>
                <w:rFonts w:hint="default" w:ascii="Times New Roman" w:hAnsi="Times New Roman" w:cs="Times New Roman"/>
                <w:color w:val="auto"/>
                <w:sz w:val="20"/>
                <w:szCs w:val="20"/>
              </w:rPr>
            </w:pPr>
          </w:p>
          <w:p w14:paraId="78C862CA">
            <w:pPr>
              <w:ind w:firstLine="400"/>
              <w:rPr>
                <w:rFonts w:hint="default" w:ascii="Times New Roman" w:hAnsi="Times New Roman" w:cs="Times New Roman"/>
                <w:color w:val="auto"/>
                <w:sz w:val="20"/>
                <w:szCs w:val="20"/>
              </w:rPr>
            </w:pPr>
          </w:p>
          <w:p w14:paraId="5E6371D5">
            <w:pPr>
              <w:ind w:firstLine="400"/>
              <w:rPr>
                <w:rFonts w:hint="default" w:ascii="Times New Roman" w:hAnsi="Times New Roman" w:cs="Times New Roman"/>
                <w:color w:val="auto"/>
                <w:sz w:val="20"/>
                <w:szCs w:val="20"/>
              </w:rPr>
            </w:pPr>
          </w:p>
          <w:p w14:paraId="4F84003B">
            <w:pPr>
              <w:ind w:firstLine="400"/>
              <w:rPr>
                <w:rFonts w:hint="default" w:ascii="Times New Roman" w:hAnsi="Times New Roman" w:cs="Times New Roman"/>
                <w:color w:val="auto"/>
                <w:sz w:val="20"/>
                <w:szCs w:val="20"/>
              </w:rPr>
            </w:pPr>
          </w:p>
          <w:p w14:paraId="72BC42E5">
            <w:pPr>
              <w:ind w:left="0" w:leftChars="0" w:firstLine="0" w:firstLineChars="0"/>
              <w:rPr>
                <w:rFonts w:hint="default" w:ascii="Times New Roman" w:hAnsi="Times New Roman" w:cs="Times New Roman"/>
                <w:color w:val="auto"/>
                <w:sz w:val="20"/>
                <w:szCs w:val="20"/>
              </w:rPr>
            </w:pPr>
          </w:p>
          <w:p w14:paraId="3717E868">
            <w:pPr>
              <w:ind w:firstLine="0" w:firstLineChars="0"/>
              <w:rPr>
                <w:rFonts w:hint="default" w:ascii="Times New Roman" w:hAnsi="Times New Roman" w:cs="Times New Roman"/>
                <w:color w:val="auto"/>
                <w:sz w:val="20"/>
                <w:szCs w:val="20"/>
              </w:rPr>
            </w:pPr>
          </w:p>
        </w:tc>
      </w:tr>
    </w:tbl>
    <w:p w14:paraId="4B067BAB">
      <w:pPr>
        <w:pStyle w:val="21"/>
        <w:rPr>
          <w:rFonts w:hint="default" w:ascii="Times New Roman" w:hAnsi="Times New Roman" w:cs="Times New Roman"/>
          <w:color w:val="auto"/>
        </w:rPr>
        <w:sectPr>
          <w:pgSz w:w="11906" w:h="16838"/>
          <w:pgMar w:top="1440" w:right="1800" w:bottom="1440" w:left="1800" w:header="851" w:footer="992" w:gutter="0"/>
          <w:pgNumType w:fmt="decimal"/>
          <w:cols w:space="720" w:num="1"/>
          <w:docGrid w:type="lines" w:linePitch="312" w:charSpace="0"/>
        </w:sectPr>
      </w:pPr>
    </w:p>
    <w:p w14:paraId="635B77A9">
      <w:pPr>
        <w:pStyle w:val="4"/>
        <w:numPr>
          <w:ilvl w:val="0"/>
          <w:numId w:val="0"/>
        </w:numPr>
        <w:spacing w:line="240" w:lineRule="auto"/>
        <w:ind w:firstLine="0" w:firstLineChars="0"/>
        <w:jc w:val="center"/>
        <w:rPr>
          <w:rFonts w:hint="default" w:ascii="Times New Roman" w:hAnsi="Times New Roman" w:eastAsia="宋体" w:cs="Times New Roman"/>
          <w:b/>
          <w:color w:val="auto"/>
          <w:kern w:val="44"/>
          <w:sz w:val="28"/>
          <w:szCs w:val="24"/>
          <w:lang w:val="en-US" w:eastAsia="zh-CN" w:bidi="ar-SA"/>
        </w:rPr>
      </w:pPr>
      <w:bookmarkStart w:id="32" w:name="_Toc2566"/>
      <w:bookmarkStart w:id="33" w:name="_Toc31138"/>
      <w:bookmarkStart w:id="34" w:name="_Toc8175"/>
      <w:r>
        <w:rPr>
          <w:rFonts w:hint="default" w:ascii="Times New Roman" w:hAnsi="Times New Roman" w:eastAsia="宋体" w:cs="Times New Roman"/>
          <w:b/>
          <w:color w:val="auto"/>
          <w:kern w:val="44"/>
          <w:sz w:val="28"/>
          <w:szCs w:val="24"/>
          <w:lang w:val="en-US" w:eastAsia="zh-CN" w:bidi="ar-SA"/>
        </w:rPr>
        <w:t>建设项目污染物排放量汇总表</w:t>
      </w:r>
      <w:bookmarkEnd w:id="32"/>
      <w:bookmarkEnd w:id="33"/>
      <w:bookmarkEnd w:id="34"/>
    </w:p>
    <w:tbl>
      <w:tblPr>
        <w:tblStyle w:val="33"/>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2201"/>
        <w:gridCol w:w="1318"/>
        <w:gridCol w:w="1161"/>
        <w:gridCol w:w="1441"/>
        <w:gridCol w:w="1649"/>
        <w:gridCol w:w="1307"/>
        <w:gridCol w:w="1949"/>
        <w:gridCol w:w="1607"/>
      </w:tblGrid>
      <w:tr w14:paraId="4CD1F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40" w:hRule="atLeast"/>
        </w:trPr>
        <w:tc>
          <w:tcPr>
            <w:tcW w:w="490" w:type="pct"/>
            <w:tcBorders>
              <w:tl2br w:val="single" w:color="auto" w:sz="4" w:space="0"/>
            </w:tcBorders>
            <w:tcMar>
              <w:left w:w="28" w:type="dxa"/>
              <w:right w:w="28" w:type="dxa"/>
            </w:tcMar>
            <w:vAlign w:val="center"/>
          </w:tcPr>
          <w:p w14:paraId="3CFEFD80">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eastAsia" w:ascii="Times New Roman" w:hAnsi="宋体" w:eastAsia="黑体" w:cs="Times New Roman"/>
                <w:snapToGrid w:val="0"/>
                <w:color w:val="auto"/>
                <w:spacing w:val="-6"/>
                <w:kern w:val="21"/>
                <w:sz w:val="24"/>
                <w:szCs w:val="24"/>
                <w:lang w:val="en-US" w:eastAsia="zh-CN" w:bidi="he-IL"/>
              </w:rPr>
              <w:t xml:space="preserve">     </w:t>
            </w:r>
            <w:r>
              <w:rPr>
                <w:rFonts w:hint="default" w:ascii="Times New Roman" w:hAnsi="宋体" w:eastAsia="黑体" w:cs="Times New Roman"/>
                <w:snapToGrid w:val="0"/>
                <w:color w:val="auto"/>
                <w:spacing w:val="-6"/>
                <w:kern w:val="21"/>
                <w:sz w:val="24"/>
                <w:szCs w:val="24"/>
                <w:lang w:val="en-US" w:eastAsia="zh-CN" w:bidi="he-IL"/>
              </w:rPr>
              <w:t>项目</w:t>
            </w:r>
          </w:p>
          <w:p w14:paraId="31C13E4C">
            <w:pPr>
              <w:pStyle w:val="45"/>
              <w:widowControl/>
              <w:spacing w:beforeLines="0" w:afterLines="0" w:line="240" w:lineRule="auto"/>
              <w:ind w:firstLine="0" w:firstLineChars="0"/>
              <w:jc w:val="both"/>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分类</w:t>
            </w:r>
          </w:p>
        </w:tc>
        <w:tc>
          <w:tcPr>
            <w:tcW w:w="785" w:type="pct"/>
            <w:tcMar>
              <w:left w:w="28" w:type="dxa"/>
              <w:right w:w="28" w:type="dxa"/>
            </w:tcMar>
            <w:vAlign w:val="center"/>
          </w:tcPr>
          <w:p w14:paraId="235D1E48">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污染物名称</w:t>
            </w:r>
          </w:p>
        </w:tc>
        <w:tc>
          <w:tcPr>
            <w:tcW w:w="470" w:type="pct"/>
            <w:tcMar>
              <w:left w:w="28" w:type="dxa"/>
              <w:right w:w="28" w:type="dxa"/>
            </w:tcMar>
            <w:vAlign w:val="center"/>
          </w:tcPr>
          <w:p w14:paraId="1E924D8C">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现有工程</w:t>
            </w:r>
          </w:p>
          <w:p w14:paraId="6217B7F6">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排放量（固体废物产生量）</w:t>
            </w:r>
            <w:r>
              <w:rPr>
                <w:rFonts w:hint="default" w:ascii="Times New Roman" w:hAnsi="宋体" w:eastAsia="黑体" w:cs="Times New Roman"/>
                <w:snapToGrid w:val="0"/>
                <w:color w:val="auto"/>
                <w:spacing w:val="-6"/>
                <w:kern w:val="21"/>
                <w:sz w:val="24"/>
                <w:szCs w:val="24"/>
                <w:lang w:val="en-US" w:eastAsia="zh-CN" w:bidi="he-IL"/>
              </w:rPr>
              <w:fldChar w:fldCharType="begin"/>
            </w:r>
            <w:r>
              <w:rPr>
                <w:rFonts w:hint="default" w:ascii="Times New Roman" w:hAnsi="宋体" w:eastAsia="黑体" w:cs="Times New Roman"/>
                <w:snapToGrid w:val="0"/>
                <w:color w:val="auto"/>
                <w:spacing w:val="-6"/>
                <w:kern w:val="21"/>
                <w:sz w:val="24"/>
                <w:szCs w:val="24"/>
                <w:lang w:val="en-US" w:eastAsia="zh-CN" w:bidi="he-IL"/>
              </w:rPr>
              <w:instrText xml:space="preserve"> = 1 \* GB3 \* MERGEFORMAT </w:instrText>
            </w:r>
            <w:r>
              <w:rPr>
                <w:rFonts w:hint="default" w:ascii="Times New Roman" w:hAnsi="宋体" w:eastAsia="黑体" w:cs="Times New Roman"/>
                <w:snapToGrid w:val="0"/>
                <w:color w:val="auto"/>
                <w:spacing w:val="-6"/>
                <w:kern w:val="21"/>
                <w:sz w:val="24"/>
                <w:szCs w:val="24"/>
                <w:lang w:val="en-US" w:eastAsia="zh-CN" w:bidi="he-IL"/>
              </w:rPr>
              <w:fldChar w:fldCharType="separate"/>
            </w:r>
            <w:r>
              <w:rPr>
                <w:rFonts w:hint="default" w:ascii="Times New Roman" w:hAnsi="宋体" w:eastAsia="黑体" w:cs="Times New Roman"/>
                <w:snapToGrid w:val="0"/>
                <w:color w:val="auto"/>
                <w:spacing w:val="-6"/>
                <w:kern w:val="21"/>
                <w:sz w:val="24"/>
                <w:szCs w:val="24"/>
                <w:lang w:val="en-US" w:eastAsia="zh-CN" w:bidi="he-IL"/>
              </w:rPr>
              <w:t>①</w:t>
            </w:r>
            <w:r>
              <w:rPr>
                <w:rFonts w:hint="default" w:ascii="Times New Roman" w:hAnsi="宋体" w:eastAsia="黑体" w:cs="Times New Roman"/>
                <w:snapToGrid w:val="0"/>
                <w:color w:val="auto"/>
                <w:spacing w:val="-6"/>
                <w:kern w:val="21"/>
                <w:sz w:val="24"/>
                <w:szCs w:val="24"/>
                <w:lang w:val="en-US" w:eastAsia="zh-CN" w:bidi="he-IL"/>
              </w:rPr>
              <w:fldChar w:fldCharType="end"/>
            </w:r>
          </w:p>
        </w:tc>
        <w:tc>
          <w:tcPr>
            <w:tcW w:w="414" w:type="pct"/>
            <w:tcMar>
              <w:left w:w="28" w:type="dxa"/>
              <w:right w:w="28" w:type="dxa"/>
            </w:tcMar>
            <w:vAlign w:val="center"/>
          </w:tcPr>
          <w:p w14:paraId="3394813D">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现有工程</w:t>
            </w:r>
          </w:p>
          <w:p w14:paraId="5C706AC6">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许可排放量</w:t>
            </w:r>
          </w:p>
          <w:p w14:paraId="02E6699C">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fldChar w:fldCharType="begin"/>
            </w:r>
            <w:r>
              <w:rPr>
                <w:rFonts w:hint="default" w:ascii="Times New Roman" w:hAnsi="宋体" w:eastAsia="黑体" w:cs="Times New Roman"/>
                <w:snapToGrid w:val="0"/>
                <w:color w:val="auto"/>
                <w:spacing w:val="-6"/>
                <w:kern w:val="21"/>
                <w:sz w:val="24"/>
                <w:szCs w:val="24"/>
                <w:lang w:val="en-US" w:eastAsia="zh-CN" w:bidi="he-IL"/>
              </w:rPr>
              <w:instrText xml:space="preserve"> = 2 \* GB3 \* MERGEFORMAT </w:instrText>
            </w:r>
            <w:r>
              <w:rPr>
                <w:rFonts w:hint="default" w:ascii="Times New Roman" w:hAnsi="宋体" w:eastAsia="黑体" w:cs="Times New Roman"/>
                <w:snapToGrid w:val="0"/>
                <w:color w:val="auto"/>
                <w:spacing w:val="-6"/>
                <w:kern w:val="21"/>
                <w:sz w:val="24"/>
                <w:szCs w:val="24"/>
                <w:lang w:val="en-US" w:eastAsia="zh-CN" w:bidi="he-IL"/>
              </w:rPr>
              <w:fldChar w:fldCharType="separate"/>
            </w:r>
            <w:r>
              <w:rPr>
                <w:rFonts w:hint="default" w:ascii="Times New Roman" w:hAnsi="宋体" w:eastAsia="黑体" w:cs="Times New Roman"/>
                <w:snapToGrid w:val="0"/>
                <w:color w:val="auto"/>
                <w:spacing w:val="-6"/>
                <w:kern w:val="21"/>
                <w:sz w:val="24"/>
                <w:szCs w:val="24"/>
                <w:lang w:val="en-US" w:eastAsia="zh-CN" w:bidi="he-IL"/>
              </w:rPr>
              <w:t>②</w:t>
            </w:r>
            <w:r>
              <w:rPr>
                <w:rFonts w:hint="default" w:ascii="Times New Roman" w:hAnsi="宋体" w:eastAsia="黑体" w:cs="Times New Roman"/>
                <w:snapToGrid w:val="0"/>
                <w:color w:val="auto"/>
                <w:spacing w:val="-6"/>
                <w:kern w:val="21"/>
                <w:sz w:val="24"/>
                <w:szCs w:val="24"/>
                <w:lang w:val="en-US" w:eastAsia="zh-CN" w:bidi="he-IL"/>
              </w:rPr>
              <w:fldChar w:fldCharType="end"/>
            </w:r>
          </w:p>
        </w:tc>
        <w:tc>
          <w:tcPr>
            <w:tcW w:w="514" w:type="pct"/>
            <w:tcMar>
              <w:left w:w="28" w:type="dxa"/>
              <w:right w:w="28" w:type="dxa"/>
            </w:tcMar>
            <w:vAlign w:val="center"/>
          </w:tcPr>
          <w:p w14:paraId="372E8368">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在建工程</w:t>
            </w:r>
          </w:p>
          <w:p w14:paraId="3B884BB8">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排放量（固体废物产生量）</w:t>
            </w:r>
            <w:r>
              <w:rPr>
                <w:rFonts w:hint="default" w:ascii="Times New Roman" w:hAnsi="宋体" w:eastAsia="黑体" w:cs="Times New Roman"/>
                <w:snapToGrid w:val="0"/>
                <w:color w:val="auto"/>
                <w:spacing w:val="-6"/>
                <w:kern w:val="21"/>
                <w:sz w:val="24"/>
                <w:szCs w:val="24"/>
                <w:lang w:val="en-US" w:eastAsia="zh-CN" w:bidi="he-IL"/>
              </w:rPr>
              <w:fldChar w:fldCharType="begin"/>
            </w:r>
            <w:r>
              <w:rPr>
                <w:rFonts w:hint="default" w:ascii="Times New Roman" w:hAnsi="宋体" w:eastAsia="黑体" w:cs="Times New Roman"/>
                <w:snapToGrid w:val="0"/>
                <w:color w:val="auto"/>
                <w:spacing w:val="-6"/>
                <w:kern w:val="21"/>
                <w:sz w:val="24"/>
                <w:szCs w:val="24"/>
                <w:lang w:val="en-US" w:eastAsia="zh-CN" w:bidi="he-IL"/>
              </w:rPr>
              <w:instrText xml:space="preserve"> = 3 \* GB3 \* MERGEFORMAT </w:instrText>
            </w:r>
            <w:r>
              <w:rPr>
                <w:rFonts w:hint="default" w:ascii="Times New Roman" w:hAnsi="宋体" w:eastAsia="黑体" w:cs="Times New Roman"/>
                <w:snapToGrid w:val="0"/>
                <w:color w:val="auto"/>
                <w:spacing w:val="-6"/>
                <w:kern w:val="21"/>
                <w:sz w:val="24"/>
                <w:szCs w:val="24"/>
                <w:lang w:val="en-US" w:eastAsia="zh-CN" w:bidi="he-IL"/>
              </w:rPr>
              <w:fldChar w:fldCharType="separate"/>
            </w:r>
            <w:r>
              <w:rPr>
                <w:rFonts w:hint="default" w:ascii="Times New Roman" w:hAnsi="宋体" w:eastAsia="黑体" w:cs="Times New Roman"/>
                <w:snapToGrid w:val="0"/>
                <w:color w:val="auto"/>
                <w:spacing w:val="-6"/>
                <w:kern w:val="21"/>
                <w:sz w:val="24"/>
                <w:szCs w:val="24"/>
                <w:lang w:val="en-US" w:eastAsia="zh-CN" w:bidi="he-IL"/>
              </w:rPr>
              <w:t>③</w:t>
            </w:r>
            <w:r>
              <w:rPr>
                <w:rFonts w:hint="default" w:ascii="Times New Roman" w:hAnsi="宋体" w:eastAsia="黑体" w:cs="Times New Roman"/>
                <w:snapToGrid w:val="0"/>
                <w:color w:val="auto"/>
                <w:spacing w:val="-6"/>
                <w:kern w:val="21"/>
                <w:sz w:val="24"/>
                <w:szCs w:val="24"/>
                <w:lang w:val="en-US" w:eastAsia="zh-CN" w:bidi="he-IL"/>
              </w:rPr>
              <w:fldChar w:fldCharType="end"/>
            </w:r>
          </w:p>
        </w:tc>
        <w:tc>
          <w:tcPr>
            <w:tcW w:w="588" w:type="pct"/>
            <w:tcMar>
              <w:left w:w="28" w:type="dxa"/>
              <w:right w:w="28" w:type="dxa"/>
            </w:tcMar>
            <w:vAlign w:val="center"/>
          </w:tcPr>
          <w:p w14:paraId="5CC048EE">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本项目</w:t>
            </w:r>
          </w:p>
          <w:p w14:paraId="48F130B7">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排放量（固体废物产生量）</w:t>
            </w:r>
            <w:r>
              <w:rPr>
                <w:rFonts w:hint="default" w:ascii="Times New Roman" w:hAnsi="宋体" w:eastAsia="黑体" w:cs="Times New Roman"/>
                <w:snapToGrid w:val="0"/>
                <w:color w:val="auto"/>
                <w:spacing w:val="-6"/>
                <w:kern w:val="21"/>
                <w:sz w:val="24"/>
                <w:szCs w:val="24"/>
                <w:lang w:val="en-US" w:eastAsia="zh-CN" w:bidi="he-IL"/>
              </w:rPr>
              <w:fldChar w:fldCharType="begin"/>
            </w:r>
            <w:r>
              <w:rPr>
                <w:rFonts w:hint="default" w:ascii="Times New Roman" w:hAnsi="宋体" w:eastAsia="黑体" w:cs="Times New Roman"/>
                <w:snapToGrid w:val="0"/>
                <w:color w:val="auto"/>
                <w:spacing w:val="-6"/>
                <w:kern w:val="21"/>
                <w:sz w:val="24"/>
                <w:szCs w:val="24"/>
                <w:lang w:val="en-US" w:eastAsia="zh-CN" w:bidi="he-IL"/>
              </w:rPr>
              <w:instrText xml:space="preserve"> = 4 \* GB3 \* MERGEFORMAT </w:instrText>
            </w:r>
            <w:r>
              <w:rPr>
                <w:rFonts w:hint="default" w:ascii="Times New Roman" w:hAnsi="宋体" w:eastAsia="黑体" w:cs="Times New Roman"/>
                <w:snapToGrid w:val="0"/>
                <w:color w:val="auto"/>
                <w:spacing w:val="-6"/>
                <w:kern w:val="21"/>
                <w:sz w:val="24"/>
                <w:szCs w:val="24"/>
                <w:lang w:val="en-US" w:eastAsia="zh-CN" w:bidi="he-IL"/>
              </w:rPr>
              <w:fldChar w:fldCharType="separate"/>
            </w:r>
            <w:r>
              <w:rPr>
                <w:rFonts w:hint="default" w:ascii="Times New Roman" w:hAnsi="宋体" w:eastAsia="黑体" w:cs="Times New Roman"/>
                <w:snapToGrid w:val="0"/>
                <w:color w:val="auto"/>
                <w:spacing w:val="-6"/>
                <w:kern w:val="21"/>
                <w:sz w:val="24"/>
                <w:szCs w:val="24"/>
                <w:lang w:val="en-US" w:eastAsia="zh-CN" w:bidi="he-IL"/>
              </w:rPr>
              <w:t>④</w:t>
            </w:r>
            <w:r>
              <w:rPr>
                <w:rFonts w:hint="default" w:ascii="Times New Roman" w:hAnsi="宋体" w:eastAsia="黑体" w:cs="Times New Roman"/>
                <w:snapToGrid w:val="0"/>
                <w:color w:val="auto"/>
                <w:spacing w:val="-6"/>
                <w:kern w:val="21"/>
                <w:sz w:val="24"/>
                <w:szCs w:val="24"/>
                <w:lang w:val="en-US" w:eastAsia="zh-CN" w:bidi="he-IL"/>
              </w:rPr>
              <w:fldChar w:fldCharType="end"/>
            </w:r>
          </w:p>
        </w:tc>
        <w:tc>
          <w:tcPr>
            <w:tcW w:w="466" w:type="pct"/>
            <w:tcMar>
              <w:left w:w="28" w:type="dxa"/>
              <w:right w:w="28" w:type="dxa"/>
            </w:tcMar>
            <w:vAlign w:val="center"/>
          </w:tcPr>
          <w:p w14:paraId="7B26DC6F">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以新带老削减量</w:t>
            </w:r>
          </w:p>
          <w:p w14:paraId="1642BE96">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（新建项目不填）</w:t>
            </w:r>
            <w:r>
              <w:rPr>
                <w:rFonts w:hint="default" w:ascii="Times New Roman" w:hAnsi="宋体" w:eastAsia="黑体" w:cs="Times New Roman"/>
                <w:snapToGrid w:val="0"/>
                <w:color w:val="auto"/>
                <w:spacing w:val="-6"/>
                <w:kern w:val="21"/>
                <w:sz w:val="24"/>
                <w:szCs w:val="24"/>
                <w:lang w:val="en-US" w:eastAsia="zh-CN" w:bidi="he-IL"/>
              </w:rPr>
              <w:fldChar w:fldCharType="begin"/>
            </w:r>
            <w:r>
              <w:rPr>
                <w:rFonts w:hint="default" w:ascii="Times New Roman" w:hAnsi="宋体" w:eastAsia="黑体" w:cs="Times New Roman"/>
                <w:snapToGrid w:val="0"/>
                <w:color w:val="auto"/>
                <w:spacing w:val="-6"/>
                <w:kern w:val="21"/>
                <w:sz w:val="24"/>
                <w:szCs w:val="24"/>
                <w:lang w:val="en-US" w:eastAsia="zh-CN" w:bidi="he-IL"/>
              </w:rPr>
              <w:instrText xml:space="preserve"> = 5 \* GB3 \* MERGEFORMAT </w:instrText>
            </w:r>
            <w:r>
              <w:rPr>
                <w:rFonts w:hint="default" w:ascii="Times New Roman" w:hAnsi="宋体" w:eastAsia="黑体" w:cs="Times New Roman"/>
                <w:snapToGrid w:val="0"/>
                <w:color w:val="auto"/>
                <w:spacing w:val="-6"/>
                <w:kern w:val="21"/>
                <w:sz w:val="24"/>
                <w:szCs w:val="24"/>
                <w:lang w:val="en-US" w:eastAsia="zh-CN" w:bidi="he-IL"/>
              </w:rPr>
              <w:fldChar w:fldCharType="separate"/>
            </w:r>
            <w:r>
              <w:rPr>
                <w:rFonts w:hint="default" w:ascii="Times New Roman" w:hAnsi="宋体" w:eastAsia="黑体" w:cs="Times New Roman"/>
                <w:snapToGrid w:val="0"/>
                <w:color w:val="auto"/>
                <w:spacing w:val="-6"/>
                <w:kern w:val="21"/>
                <w:sz w:val="24"/>
                <w:szCs w:val="24"/>
                <w:lang w:val="en-US" w:eastAsia="zh-CN" w:bidi="he-IL"/>
              </w:rPr>
              <w:t>⑤</w:t>
            </w:r>
            <w:r>
              <w:rPr>
                <w:rFonts w:hint="default" w:ascii="Times New Roman" w:hAnsi="宋体" w:eastAsia="黑体" w:cs="Times New Roman"/>
                <w:snapToGrid w:val="0"/>
                <w:color w:val="auto"/>
                <w:spacing w:val="-6"/>
                <w:kern w:val="21"/>
                <w:sz w:val="24"/>
                <w:szCs w:val="24"/>
                <w:lang w:val="en-US" w:eastAsia="zh-CN" w:bidi="he-IL"/>
              </w:rPr>
              <w:fldChar w:fldCharType="end"/>
            </w:r>
          </w:p>
        </w:tc>
        <w:tc>
          <w:tcPr>
            <w:tcW w:w="695" w:type="pct"/>
            <w:tcMar>
              <w:left w:w="28" w:type="dxa"/>
              <w:right w:w="28" w:type="dxa"/>
            </w:tcMar>
            <w:vAlign w:val="center"/>
          </w:tcPr>
          <w:p w14:paraId="66C4AC93">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本项目建成后</w:t>
            </w:r>
          </w:p>
          <w:p w14:paraId="30748A8A">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全厂排放量（固体废物产生量）</w:t>
            </w:r>
            <w:r>
              <w:rPr>
                <w:rFonts w:hint="default" w:ascii="Times New Roman" w:hAnsi="宋体" w:eastAsia="黑体" w:cs="Times New Roman"/>
                <w:snapToGrid w:val="0"/>
                <w:color w:val="auto"/>
                <w:spacing w:val="-6"/>
                <w:kern w:val="21"/>
                <w:sz w:val="24"/>
                <w:szCs w:val="24"/>
                <w:lang w:val="en-US" w:eastAsia="zh-CN" w:bidi="he-IL"/>
              </w:rPr>
              <w:fldChar w:fldCharType="begin"/>
            </w:r>
            <w:r>
              <w:rPr>
                <w:rFonts w:hint="default" w:ascii="Times New Roman" w:hAnsi="宋体" w:eastAsia="黑体" w:cs="Times New Roman"/>
                <w:snapToGrid w:val="0"/>
                <w:color w:val="auto"/>
                <w:spacing w:val="-6"/>
                <w:kern w:val="21"/>
                <w:sz w:val="24"/>
                <w:szCs w:val="24"/>
                <w:lang w:val="en-US" w:eastAsia="zh-CN" w:bidi="he-IL"/>
              </w:rPr>
              <w:instrText xml:space="preserve"> = 6 \* GB3 \* MERGEFORMAT </w:instrText>
            </w:r>
            <w:r>
              <w:rPr>
                <w:rFonts w:hint="default" w:ascii="Times New Roman" w:hAnsi="宋体" w:eastAsia="黑体" w:cs="Times New Roman"/>
                <w:snapToGrid w:val="0"/>
                <w:color w:val="auto"/>
                <w:spacing w:val="-6"/>
                <w:kern w:val="21"/>
                <w:sz w:val="24"/>
                <w:szCs w:val="24"/>
                <w:lang w:val="en-US" w:eastAsia="zh-CN" w:bidi="he-IL"/>
              </w:rPr>
              <w:fldChar w:fldCharType="separate"/>
            </w:r>
            <w:r>
              <w:rPr>
                <w:rFonts w:hint="default" w:ascii="Times New Roman" w:hAnsi="宋体" w:eastAsia="黑体" w:cs="Times New Roman"/>
                <w:snapToGrid w:val="0"/>
                <w:color w:val="auto"/>
                <w:spacing w:val="-6"/>
                <w:kern w:val="21"/>
                <w:sz w:val="24"/>
                <w:szCs w:val="24"/>
                <w:lang w:val="en-US" w:eastAsia="zh-CN" w:bidi="he-IL"/>
              </w:rPr>
              <w:t>⑥</w:t>
            </w:r>
            <w:r>
              <w:rPr>
                <w:rFonts w:hint="default" w:ascii="Times New Roman" w:hAnsi="宋体" w:eastAsia="黑体" w:cs="Times New Roman"/>
                <w:snapToGrid w:val="0"/>
                <w:color w:val="auto"/>
                <w:spacing w:val="-6"/>
                <w:kern w:val="21"/>
                <w:sz w:val="24"/>
                <w:szCs w:val="24"/>
                <w:lang w:val="en-US" w:eastAsia="zh-CN" w:bidi="he-IL"/>
              </w:rPr>
              <w:fldChar w:fldCharType="end"/>
            </w:r>
          </w:p>
        </w:tc>
        <w:tc>
          <w:tcPr>
            <w:tcW w:w="573" w:type="pct"/>
            <w:tcMar>
              <w:left w:w="28" w:type="dxa"/>
              <w:right w:w="28" w:type="dxa"/>
            </w:tcMar>
            <w:vAlign w:val="center"/>
          </w:tcPr>
          <w:p w14:paraId="04B56949">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t>变化量</w:t>
            </w:r>
          </w:p>
          <w:p w14:paraId="34ACBE4D">
            <w:pPr>
              <w:pStyle w:val="45"/>
              <w:widowControl/>
              <w:spacing w:beforeLines="0" w:afterLines="0" w:line="240" w:lineRule="auto"/>
              <w:ind w:firstLine="0" w:firstLineChars="0"/>
              <w:jc w:val="center"/>
              <w:rPr>
                <w:rFonts w:hint="default" w:ascii="Times New Roman" w:hAnsi="宋体" w:eastAsia="黑体" w:cs="Times New Roman"/>
                <w:snapToGrid w:val="0"/>
                <w:color w:val="auto"/>
                <w:spacing w:val="-6"/>
                <w:kern w:val="21"/>
                <w:sz w:val="24"/>
                <w:szCs w:val="24"/>
                <w:lang w:val="en-US" w:eastAsia="zh-CN" w:bidi="he-IL"/>
              </w:rPr>
            </w:pPr>
            <w:r>
              <w:rPr>
                <w:rFonts w:hint="default" w:ascii="Times New Roman" w:hAnsi="宋体" w:eastAsia="黑体" w:cs="Times New Roman"/>
                <w:snapToGrid w:val="0"/>
                <w:color w:val="auto"/>
                <w:spacing w:val="-6"/>
                <w:kern w:val="21"/>
                <w:sz w:val="24"/>
                <w:szCs w:val="24"/>
                <w:lang w:val="en-US" w:eastAsia="zh-CN" w:bidi="he-IL"/>
              </w:rPr>
              <w:fldChar w:fldCharType="begin"/>
            </w:r>
            <w:r>
              <w:rPr>
                <w:rFonts w:hint="default" w:ascii="Times New Roman" w:hAnsi="宋体" w:eastAsia="黑体" w:cs="Times New Roman"/>
                <w:snapToGrid w:val="0"/>
                <w:color w:val="auto"/>
                <w:spacing w:val="-6"/>
                <w:kern w:val="21"/>
                <w:sz w:val="24"/>
                <w:szCs w:val="24"/>
                <w:lang w:val="en-US" w:eastAsia="zh-CN" w:bidi="he-IL"/>
              </w:rPr>
              <w:instrText xml:space="preserve"> = 7 \* GB3 \* MERGEFORMAT </w:instrText>
            </w:r>
            <w:r>
              <w:rPr>
                <w:rFonts w:hint="default" w:ascii="Times New Roman" w:hAnsi="宋体" w:eastAsia="黑体" w:cs="Times New Roman"/>
                <w:snapToGrid w:val="0"/>
                <w:color w:val="auto"/>
                <w:spacing w:val="-6"/>
                <w:kern w:val="21"/>
                <w:sz w:val="24"/>
                <w:szCs w:val="24"/>
                <w:lang w:val="en-US" w:eastAsia="zh-CN" w:bidi="he-IL"/>
              </w:rPr>
              <w:fldChar w:fldCharType="separate"/>
            </w:r>
            <w:r>
              <w:rPr>
                <w:rFonts w:hint="default" w:ascii="Times New Roman" w:hAnsi="宋体" w:eastAsia="黑体" w:cs="Times New Roman"/>
                <w:snapToGrid w:val="0"/>
                <w:color w:val="auto"/>
                <w:spacing w:val="-6"/>
                <w:kern w:val="21"/>
                <w:sz w:val="24"/>
                <w:szCs w:val="24"/>
                <w:lang w:val="en-US" w:eastAsia="zh-CN" w:bidi="he-IL"/>
              </w:rPr>
              <w:t>⑦</w:t>
            </w:r>
            <w:r>
              <w:rPr>
                <w:rFonts w:hint="default" w:ascii="Times New Roman" w:hAnsi="宋体" w:eastAsia="黑体" w:cs="Times New Roman"/>
                <w:snapToGrid w:val="0"/>
                <w:color w:val="auto"/>
                <w:spacing w:val="-6"/>
                <w:kern w:val="21"/>
                <w:sz w:val="24"/>
                <w:szCs w:val="24"/>
                <w:lang w:val="en-US" w:eastAsia="zh-CN" w:bidi="he-IL"/>
              </w:rPr>
              <w:fldChar w:fldCharType="end"/>
            </w:r>
          </w:p>
        </w:tc>
      </w:tr>
      <w:tr w14:paraId="5A4D9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90" w:type="pct"/>
            <w:vMerge w:val="restart"/>
            <w:vAlign w:val="center"/>
          </w:tcPr>
          <w:p w14:paraId="2A5936B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废气</w:t>
            </w:r>
          </w:p>
        </w:tc>
        <w:tc>
          <w:tcPr>
            <w:tcW w:w="785" w:type="pct"/>
            <w:vAlign w:val="center"/>
          </w:tcPr>
          <w:p w14:paraId="5807EE6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lang w:val="en-US" w:eastAsia="zh-CN"/>
              </w:rPr>
              <w:t>非甲烷总烃</w:t>
            </w:r>
          </w:p>
          <w:p w14:paraId="3E2C778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eastAsia" w:ascii="Times New Roman" w:cs="Times New Roman" w:eastAsiaTheme="minorEastAsia"/>
                <w:snapToGrid w:val="0"/>
                <w:color w:val="auto"/>
                <w:kern w:val="21"/>
                <w:sz w:val="24"/>
                <w:szCs w:val="24"/>
                <w:lang w:val="en-US" w:eastAsia="zh-CN"/>
              </w:rPr>
              <w:t>（有组织）</w:t>
            </w:r>
          </w:p>
        </w:tc>
        <w:tc>
          <w:tcPr>
            <w:tcW w:w="470" w:type="pct"/>
            <w:vAlign w:val="center"/>
          </w:tcPr>
          <w:p w14:paraId="6ED4DE1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2E2D139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2C52478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2E8E3C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0.0</w:t>
            </w:r>
            <w:r>
              <w:rPr>
                <w:rFonts w:hint="eastAsia" w:ascii="Times New Roman" w:hAnsi="Times New Roman"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512131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695" w:type="pct"/>
            <w:vAlign w:val="center"/>
          </w:tcPr>
          <w:p w14:paraId="4C9F47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0.0</w:t>
            </w:r>
            <w:r>
              <w:rPr>
                <w:rFonts w:hint="eastAsia" w:ascii="Times New Roman" w:hAnsi="Times New Roman"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val="en-US" w:eastAsia="zh-CN"/>
              </w:rPr>
              <w:t>t/a</w:t>
            </w:r>
          </w:p>
        </w:tc>
        <w:tc>
          <w:tcPr>
            <w:tcW w:w="573" w:type="pct"/>
            <w:vAlign w:val="center"/>
          </w:tcPr>
          <w:p w14:paraId="643A2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z w:val="24"/>
                <w:szCs w:val="24"/>
                <w:lang w:val="en-US" w:eastAsia="zh-CN"/>
              </w:rPr>
              <w:t>0.0</w:t>
            </w:r>
            <w:r>
              <w:rPr>
                <w:rFonts w:hint="eastAsia" w:ascii="Times New Roman" w:hAnsi="Times New Roman"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val="en-US" w:eastAsia="zh-CN"/>
              </w:rPr>
              <w:t>t/a</w:t>
            </w:r>
          </w:p>
        </w:tc>
      </w:tr>
      <w:tr w14:paraId="386474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90" w:type="pct"/>
            <w:vMerge w:val="continue"/>
            <w:vAlign w:val="center"/>
          </w:tcPr>
          <w:p w14:paraId="6FA8482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48A59CB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lang w:val="en-US" w:eastAsia="zh-CN"/>
              </w:rPr>
              <w:t>非甲烷总烃</w:t>
            </w:r>
          </w:p>
          <w:p w14:paraId="7C86317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eastAsia" w:ascii="Times New Roman" w:cs="Times New Roman" w:eastAsiaTheme="minorEastAsia"/>
                <w:snapToGrid w:val="0"/>
                <w:color w:val="auto"/>
                <w:kern w:val="21"/>
                <w:sz w:val="24"/>
                <w:szCs w:val="24"/>
                <w:lang w:val="en-US" w:eastAsia="zh-CN"/>
              </w:rPr>
              <w:t>（无组织）</w:t>
            </w:r>
          </w:p>
        </w:tc>
        <w:tc>
          <w:tcPr>
            <w:tcW w:w="470" w:type="pct"/>
            <w:vAlign w:val="center"/>
          </w:tcPr>
          <w:p w14:paraId="79E4B4A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414" w:type="pct"/>
            <w:vAlign w:val="center"/>
          </w:tcPr>
          <w:p w14:paraId="34BEB46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14" w:type="pct"/>
            <w:vAlign w:val="center"/>
          </w:tcPr>
          <w:p w14:paraId="657DAF8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88" w:type="pct"/>
            <w:vAlign w:val="center"/>
          </w:tcPr>
          <w:p w14:paraId="56842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0.03</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1B19C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p>
        </w:tc>
        <w:tc>
          <w:tcPr>
            <w:tcW w:w="695" w:type="pct"/>
            <w:vAlign w:val="center"/>
          </w:tcPr>
          <w:p w14:paraId="4ED42A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0.0</w:t>
            </w:r>
            <w:r>
              <w:rPr>
                <w:rFonts w:hint="eastAsia" w:ascii="Times New Roman" w:hAnsi="Times New Roman"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val="en-US" w:eastAsia="zh-CN"/>
              </w:rPr>
              <w:t>t/a</w:t>
            </w:r>
          </w:p>
        </w:tc>
        <w:tc>
          <w:tcPr>
            <w:tcW w:w="573" w:type="pct"/>
            <w:vAlign w:val="center"/>
          </w:tcPr>
          <w:p w14:paraId="2F7E8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z w:val="24"/>
                <w:szCs w:val="24"/>
                <w:lang w:val="en-US" w:eastAsia="zh-CN"/>
              </w:rPr>
              <w:t>0.0</w:t>
            </w:r>
            <w:r>
              <w:rPr>
                <w:rFonts w:hint="eastAsia" w:ascii="Times New Roman" w:hAnsi="Times New Roman" w:cs="Times New Roman" w:eastAsiaTheme="minorEastAsia"/>
                <w:b w:val="0"/>
                <w:bCs w:val="0"/>
                <w:color w:val="auto"/>
                <w:sz w:val="24"/>
                <w:szCs w:val="24"/>
                <w:lang w:val="en-US" w:eastAsia="zh-CN"/>
              </w:rPr>
              <w:t>3</w:t>
            </w:r>
            <w:r>
              <w:rPr>
                <w:rFonts w:hint="default" w:ascii="Times New Roman" w:hAnsi="Times New Roman" w:cs="Times New Roman" w:eastAsiaTheme="minorEastAsia"/>
                <w:b w:val="0"/>
                <w:bCs w:val="0"/>
                <w:color w:val="auto"/>
                <w:sz w:val="24"/>
                <w:szCs w:val="24"/>
                <w:lang w:val="en-US" w:eastAsia="zh-CN"/>
              </w:rPr>
              <w:t>t/a</w:t>
            </w:r>
          </w:p>
        </w:tc>
      </w:tr>
      <w:tr w14:paraId="1886C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90" w:type="pct"/>
            <w:vMerge w:val="continue"/>
            <w:vAlign w:val="center"/>
          </w:tcPr>
          <w:p w14:paraId="36EA67D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04AB5B6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lang w:val="en-US" w:eastAsia="zh-CN"/>
              </w:rPr>
              <w:t>苯乙烯</w:t>
            </w:r>
          </w:p>
          <w:p w14:paraId="24EFF4A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eastAsia" w:ascii="Times New Roman" w:cs="Times New Roman" w:eastAsiaTheme="minorEastAsia"/>
                <w:snapToGrid w:val="0"/>
                <w:color w:val="auto"/>
                <w:kern w:val="21"/>
                <w:sz w:val="24"/>
                <w:szCs w:val="24"/>
                <w:lang w:val="en-US" w:eastAsia="zh-CN"/>
              </w:rPr>
              <w:t>（有组织）</w:t>
            </w:r>
          </w:p>
        </w:tc>
        <w:tc>
          <w:tcPr>
            <w:tcW w:w="470" w:type="pct"/>
            <w:vAlign w:val="center"/>
          </w:tcPr>
          <w:p w14:paraId="2EAD705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659A227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22DE6F2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4735A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w:t>
            </w:r>
            <w:r>
              <w:rPr>
                <w:rFonts w:hint="eastAsia"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782CAB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695" w:type="pct"/>
            <w:shd w:val="clear" w:color="auto" w:fill="auto"/>
            <w:vAlign w:val="center"/>
          </w:tcPr>
          <w:p w14:paraId="297D3C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w:t>
            </w:r>
            <w:r>
              <w:rPr>
                <w:rFonts w:hint="eastAsia"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val="en-US" w:eastAsia="zh-CN"/>
              </w:rPr>
              <w:t>t/a</w:t>
            </w:r>
          </w:p>
        </w:tc>
        <w:tc>
          <w:tcPr>
            <w:tcW w:w="573" w:type="pct"/>
            <w:shd w:val="clear" w:color="auto" w:fill="auto"/>
            <w:vAlign w:val="center"/>
          </w:tcPr>
          <w:p w14:paraId="3A071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w:t>
            </w:r>
            <w:r>
              <w:rPr>
                <w:rFonts w:hint="eastAsia" w:cs="Times New Roman" w:eastAsiaTheme="minorEastAsia"/>
                <w:b w:val="0"/>
                <w:bCs w:val="0"/>
                <w:color w:val="auto"/>
                <w:sz w:val="24"/>
                <w:szCs w:val="24"/>
                <w:lang w:val="en-US" w:eastAsia="zh-CN"/>
              </w:rPr>
              <w:t>1</w:t>
            </w:r>
            <w:r>
              <w:rPr>
                <w:rFonts w:hint="default" w:ascii="Times New Roman" w:hAnsi="Times New Roman" w:cs="Times New Roman" w:eastAsiaTheme="minorEastAsia"/>
                <w:b w:val="0"/>
                <w:bCs w:val="0"/>
                <w:color w:val="auto"/>
                <w:sz w:val="24"/>
                <w:szCs w:val="24"/>
                <w:lang w:val="en-US" w:eastAsia="zh-CN"/>
              </w:rPr>
              <w:t>t/a</w:t>
            </w:r>
          </w:p>
        </w:tc>
      </w:tr>
      <w:tr w14:paraId="64BDB0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90" w:type="pct"/>
            <w:vMerge w:val="continue"/>
            <w:vAlign w:val="center"/>
          </w:tcPr>
          <w:p w14:paraId="2AAFE22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1E69CEC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lang w:val="en-US" w:eastAsia="zh-CN"/>
              </w:rPr>
              <w:t>苯乙烯</w:t>
            </w:r>
          </w:p>
          <w:p w14:paraId="641F0CA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eastAsia" w:ascii="Times New Roman" w:cs="Times New Roman" w:eastAsiaTheme="minorEastAsia"/>
                <w:snapToGrid w:val="0"/>
                <w:color w:val="auto"/>
                <w:kern w:val="21"/>
                <w:sz w:val="24"/>
                <w:szCs w:val="24"/>
                <w:lang w:val="en-US" w:eastAsia="zh-CN"/>
              </w:rPr>
              <w:t>（无组织）</w:t>
            </w:r>
          </w:p>
        </w:tc>
        <w:tc>
          <w:tcPr>
            <w:tcW w:w="470" w:type="pct"/>
            <w:vAlign w:val="center"/>
          </w:tcPr>
          <w:p w14:paraId="76C273E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414" w:type="pct"/>
            <w:vAlign w:val="center"/>
          </w:tcPr>
          <w:p w14:paraId="6929619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14" w:type="pct"/>
            <w:vAlign w:val="center"/>
          </w:tcPr>
          <w:p w14:paraId="486974D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88" w:type="pct"/>
            <w:vAlign w:val="center"/>
          </w:tcPr>
          <w:p w14:paraId="5F348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0.0001</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37ABD6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p>
        </w:tc>
        <w:tc>
          <w:tcPr>
            <w:tcW w:w="695" w:type="pct"/>
            <w:shd w:val="clear" w:color="auto" w:fill="auto"/>
            <w:vAlign w:val="center"/>
          </w:tcPr>
          <w:p w14:paraId="5167B3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0.0001</w:t>
            </w:r>
            <w:r>
              <w:rPr>
                <w:rFonts w:hint="default" w:ascii="Times New Roman" w:hAnsi="Times New Roman" w:cs="Times New Roman" w:eastAsiaTheme="minorEastAsia"/>
                <w:b w:val="0"/>
                <w:bCs w:val="0"/>
                <w:color w:val="auto"/>
                <w:sz w:val="24"/>
                <w:szCs w:val="24"/>
                <w:lang w:val="en-US" w:eastAsia="zh-CN"/>
              </w:rPr>
              <w:t>t/a</w:t>
            </w:r>
          </w:p>
        </w:tc>
        <w:tc>
          <w:tcPr>
            <w:tcW w:w="573" w:type="pct"/>
            <w:shd w:val="clear" w:color="auto" w:fill="auto"/>
            <w:vAlign w:val="center"/>
          </w:tcPr>
          <w:p w14:paraId="0E3CAA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+0.0001</w:t>
            </w:r>
            <w:r>
              <w:rPr>
                <w:rFonts w:hint="default" w:ascii="Times New Roman" w:hAnsi="Times New Roman" w:cs="Times New Roman" w:eastAsiaTheme="minorEastAsia"/>
                <w:b w:val="0"/>
                <w:bCs w:val="0"/>
                <w:color w:val="auto"/>
                <w:sz w:val="24"/>
                <w:szCs w:val="24"/>
                <w:lang w:val="en-US" w:eastAsia="zh-CN"/>
              </w:rPr>
              <w:t>t/a</w:t>
            </w:r>
          </w:p>
        </w:tc>
      </w:tr>
      <w:tr w14:paraId="7A8C6F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90" w:type="pct"/>
            <w:vMerge w:val="continue"/>
            <w:vAlign w:val="center"/>
          </w:tcPr>
          <w:p w14:paraId="4A9E6D2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50BFC24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lang w:val="en-US" w:eastAsia="zh-CN"/>
              </w:rPr>
              <w:t>甲苯</w:t>
            </w:r>
            <w:r>
              <w:rPr>
                <w:rFonts w:hint="eastAsia" w:ascii="Times New Roman" w:cs="Times New Roman" w:eastAsiaTheme="minorEastAsia"/>
                <w:snapToGrid w:val="0"/>
                <w:color w:val="auto"/>
                <w:kern w:val="21"/>
                <w:sz w:val="24"/>
                <w:szCs w:val="24"/>
                <w:lang w:val="en-US" w:eastAsia="zh-CN"/>
              </w:rPr>
              <w:t>（有组织）</w:t>
            </w:r>
          </w:p>
        </w:tc>
        <w:tc>
          <w:tcPr>
            <w:tcW w:w="470" w:type="pct"/>
            <w:vAlign w:val="center"/>
          </w:tcPr>
          <w:p w14:paraId="5FB62B5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1431905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3C2133C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3E7D83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w:t>
            </w:r>
            <w:r>
              <w:rPr>
                <w:rFonts w:hint="eastAsia" w:cs="Times New Roman" w:eastAsiaTheme="minorEastAsia"/>
                <w:b w:val="0"/>
                <w:bCs w:val="0"/>
                <w:color w:val="auto"/>
                <w:sz w:val="24"/>
                <w:szCs w:val="24"/>
                <w:lang w:val="en-US" w:eastAsia="zh-CN"/>
              </w:rPr>
              <w:t>9</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3C97BD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695" w:type="pct"/>
            <w:shd w:val="clear" w:color="auto" w:fill="auto"/>
            <w:vAlign w:val="center"/>
          </w:tcPr>
          <w:p w14:paraId="36CA7A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w:t>
            </w:r>
            <w:r>
              <w:rPr>
                <w:rFonts w:hint="eastAsia" w:cs="Times New Roman" w:eastAsiaTheme="minorEastAsia"/>
                <w:b w:val="0"/>
                <w:bCs w:val="0"/>
                <w:color w:val="auto"/>
                <w:sz w:val="24"/>
                <w:szCs w:val="24"/>
                <w:lang w:val="en-US" w:eastAsia="zh-CN"/>
              </w:rPr>
              <w:t>9</w:t>
            </w:r>
            <w:r>
              <w:rPr>
                <w:rFonts w:hint="default" w:ascii="Times New Roman" w:hAnsi="Times New Roman" w:cs="Times New Roman" w:eastAsiaTheme="minorEastAsia"/>
                <w:b w:val="0"/>
                <w:bCs w:val="0"/>
                <w:color w:val="auto"/>
                <w:sz w:val="24"/>
                <w:szCs w:val="24"/>
                <w:lang w:val="en-US" w:eastAsia="zh-CN"/>
              </w:rPr>
              <w:t>t/a</w:t>
            </w:r>
          </w:p>
        </w:tc>
        <w:tc>
          <w:tcPr>
            <w:tcW w:w="573" w:type="pct"/>
            <w:shd w:val="clear" w:color="auto" w:fill="auto"/>
            <w:vAlign w:val="center"/>
          </w:tcPr>
          <w:p w14:paraId="563F66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w:t>
            </w:r>
            <w:r>
              <w:rPr>
                <w:rFonts w:hint="eastAsia" w:cs="Times New Roman" w:eastAsiaTheme="minorEastAsia"/>
                <w:b w:val="0"/>
                <w:bCs w:val="0"/>
                <w:color w:val="auto"/>
                <w:sz w:val="24"/>
                <w:szCs w:val="24"/>
                <w:lang w:val="en-US" w:eastAsia="zh-CN"/>
              </w:rPr>
              <w:t>9</w:t>
            </w:r>
            <w:r>
              <w:rPr>
                <w:rFonts w:hint="default" w:ascii="Times New Roman" w:hAnsi="Times New Roman" w:cs="Times New Roman" w:eastAsiaTheme="minorEastAsia"/>
                <w:b w:val="0"/>
                <w:bCs w:val="0"/>
                <w:color w:val="auto"/>
                <w:sz w:val="24"/>
                <w:szCs w:val="24"/>
                <w:lang w:val="en-US" w:eastAsia="zh-CN"/>
              </w:rPr>
              <w:t>t/a</w:t>
            </w:r>
          </w:p>
        </w:tc>
      </w:tr>
      <w:tr w14:paraId="7703EB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90" w:type="pct"/>
            <w:vMerge w:val="continue"/>
            <w:vAlign w:val="center"/>
          </w:tcPr>
          <w:p w14:paraId="13322B0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2D431F4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lang w:val="en-US" w:eastAsia="zh-CN"/>
              </w:rPr>
              <w:t>甲苯</w:t>
            </w:r>
            <w:r>
              <w:rPr>
                <w:rFonts w:hint="eastAsia" w:ascii="Times New Roman" w:cs="Times New Roman" w:eastAsiaTheme="minorEastAsia"/>
                <w:snapToGrid w:val="0"/>
                <w:color w:val="auto"/>
                <w:kern w:val="21"/>
                <w:sz w:val="24"/>
                <w:szCs w:val="24"/>
                <w:lang w:val="en-US" w:eastAsia="zh-CN"/>
              </w:rPr>
              <w:t>（无组织）</w:t>
            </w:r>
          </w:p>
        </w:tc>
        <w:tc>
          <w:tcPr>
            <w:tcW w:w="470" w:type="pct"/>
            <w:vAlign w:val="center"/>
          </w:tcPr>
          <w:p w14:paraId="15C1358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414" w:type="pct"/>
            <w:vAlign w:val="center"/>
          </w:tcPr>
          <w:p w14:paraId="700BB3D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14" w:type="pct"/>
            <w:vAlign w:val="center"/>
          </w:tcPr>
          <w:p w14:paraId="1516BA0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88" w:type="pct"/>
            <w:vAlign w:val="center"/>
          </w:tcPr>
          <w:p w14:paraId="63C67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0.0008</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7E4456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p>
        </w:tc>
        <w:tc>
          <w:tcPr>
            <w:tcW w:w="695" w:type="pct"/>
            <w:shd w:val="clear" w:color="auto" w:fill="auto"/>
            <w:vAlign w:val="center"/>
          </w:tcPr>
          <w:p w14:paraId="4D8203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0.0008</w:t>
            </w:r>
            <w:r>
              <w:rPr>
                <w:rFonts w:hint="default" w:ascii="Times New Roman" w:hAnsi="Times New Roman" w:cs="Times New Roman" w:eastAsiaTheme="minorEastAsia"/>
                <w:b w:val="0"/>
                <w:bCs w:val="0"/>
                <w:color w:val="auto"/>
                <w:sz w:val="24"/>
                <w:szCs w:val="24"/>
                <w:lang w:val="en-US" w:eastAsia="zh-CN"/>
              </w:rPr>
              <w:t>t/a</w:t>
            </w:r>
          </w:p>
        </w:tc>
        <w:tc>
          <w:tcPr>
            <w:tcW w:w="573" w:type="pct"/>
            <w:shd w:val="clear" w:color="auto" w:fill="auto"/>
            <w:vAlign w:val="center"/>
          </w:tcPr>
          <w:p w14:paraId="6257D9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+0.0008</w:t>
            </w:r>
            <w:r>
              <w:rPr>
                <w:rFonts w:hint="default" w:ascii="Times New Roman" w:hAnsi="Times New Roman" w:cs="Times New Roman" w:eastAsiaTheme="minorEastAsia"/>
                <w:b w:val="0"/>
                <w:bCs w:val="0"/>
                <w:color w:val="auto"/>
                <w:sz w:val="24"/>
                <w:szCs w:val="24"/>
                <w:lang w:val="en-US" w:eastAsia="zh-CN"/>
              </w:rPr>
              <w:t>t/a</w:t>
            </w:r>
          </w:p>
        </w:tc>
      </w:tr>
      <w:tr w14:paraId="63AACF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90" w:type="pct"/>
            <w:vMerge w:val="continue"/>
            <w:vAlign w:val="center"/>
          </w:tcPr>
          <w:p w14:paraId="260C87E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7E3EA21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color w:val="auto"/>
                <w:sz w:val="24"/>
                <w:szCs w:val="24"/>
                <w:lang w:val="en-US" w:eastAsia="zh-CN"/>
              </w:rPr>
              <w:t>乙苯</w:t>
            </w:r>
            <w:r>
              <w:rPr>
                <w:rFonts w:hint="eastAsia" w:ascii="Times New Roman" w:cs="Times New Roman" w:eastAsiaTheme="minorEastAsia"/>
                <w:color w:val="auto"/>
                <w:sz w:val="24"/>
                <w:szCs w:val="24"/>
                <w:lang w:val="en-US" w:eastAsia="zh-CN"/>
              </w:rPr>
              <w:t>（有组织）</w:t>
            </w:r>
          </w:p>
        </w:tc>
        <w:tc>
          <w:tcPr>
            <w:tcW w:w="470" w:type="pct"/>
            <w:vAlign w:val="center"/>
          </w:tcPr>
          <w:p w14:paraId="6D3AB6F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6086A87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2772850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676F20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lang w:val="en-US" w:eastAsia="zh-CN"/>
              </w:rPr>
              <w:t>0004</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550145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695" w:type="pct"/>
            <w:shd w:val="clear" w:color="auto" w:fill="auto"/>
            <w:vAlign w:val="center"/>
          </w:tcPr>
          <w:p w14:paraId="6633C9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lang w:val="en-US" w:eastAsia="zh-CN"/>
              </w:rPr>
              <w:t>0004</w:t>
            </w:r>
            <w:r>
              <w:rPr>
                <w:rFonts w:hint="default" w:ascii="Times New Roman" w:hAnsi="Times New Roman" w:cs="Times New Roman" w:eastAsiaTheme="minorEastAsia"/>
                <w:b w:val="0"/>
                <w:bCs w:val="0"/>
                <w:color w:val="auto"/>
                <w:sz w:val="24"/>
                <w:szCs w:val="24"/>
                <w:lang w:val="en-US" w:eastAsia="zh-CN"/>
              </w:rPr>
              <w:t>t/a</w:t>
            </w:r>
          </w:p>
        </w:tc>
        <w:tc>
          <w:tcPr>
            <w:tcW w:w="573" w:type="pct"/>
            <w:shd w:val="clear" w:color="auto" w:fill="auto"/>
            <w:vAlign w:val="center"/>
          </w:tcPr>
          <w:p w14:paraId="198076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w:t>
            </w:r>
            <w:r>
              <w:rPr>
                <w:rFonts w:hint="default" w:ascii="Times New Roman" w:hAnsi="Times New Roman" w:cs="Times New Roman" w:eastAsiaTheme="minorEastAsia"/>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lang w:val="en-US" w:eastAsia="zh-CN"/>
              </w:rPr>
              <w:t>0004</w:t>
            </w:r>
            <w:r>
              <w:rPr>
                <w:rFonts w:hint="default" w:ascii="Times New Roman" w:hAnsi="Times New Roman" w:cs="Times New Roman" w:eastAsiaTheme="minorEastAsia"/>
                <w:b w:val="0"/>
                <w:bCs w:val="0"/>
                <w:color w:val="auto"/>
                <w:sz w:val="24"/>
                <w:szCs w:val="24"/>
                <w:lang w:val="en-US" w:eastAsia="zh-CN"/>
              </w:rPr>
              <w:t>t/a</w:t>
            </w:r>
          </w:p>
        </w:tc>
      </w:tr>
      <w:tr w14:paraId="2CD6E2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90" w:type="pct"/>
            <w:vMerge w:val="continue"/>
            <w:vAlign w:val="center"/>
          </w:tcPr>
          <w:p w14:paraId="6B4FBFD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3937D05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乙苯</w:t>
            </w:r>
            <w:r>
              <w:rPr>
                <w:rFonts w:hint="eastAsia" w:ascii="Times New Roman" w:cs="Times New Roman" w:eastAsiaTheme="minorEastAsia"/>
                <w:color w:val="auto"/>
                <w:sz w:val="24"/>
                <w:szCs w:val="24"/>
                <w:lang w:val="en-US" w:eastAsia="zh-CN"/>
              </w:rPr>
              <w:t>（无组织）</w:t>
            </w:r>
          </w:p>
        </w:tc>
        <w:tc>
          <w:tcPr>
            <w:tcW w:w="470" w:type="pct"/>
            <w:vAlign w:val="center"/>
          </w:tcPr>
          <w:p w14:paraId="6C20B52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414" w:type="pct"/>
            <w:vAlign w:val="center"/>
          </w:tcPr>
          <w:p w14:paraId="3E1C057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14" w:type="pct"/>
            <w:vAlign w:val="center"/>
          </w:tcPr>
          <w:p w14:paraId="528D18B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88" w:type="pct"/>
            <w:vAlign w:val="center"/>
          </w:tcPr>
          <w:p w14:paraId="70D7CF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0.0004</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3E36F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p>
        </w:tc>
        <w:tc>
          <w:tcPr>
            <w:tcW w:w="695" w:type="pct"/>
            <w:shd w:val="clear" w:color="auto" w:fill="auto"/>
            <w:vAlign w:val="center"/>
          </w:tcPr>
          <w:p w14:paraId="456356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0.0004</w:t>
            </w:r>
            <w:r>
              <w:rPr>
                <w:rFonts w:hint="default" w:ascii="Times New Roman" w:hAnsi="Times New Roman" w:cs="Times New Roman" w:eastAsiaTheme="minorEastAsia"/>
                <w:b w:val="0"/>
                <w:bCs w:val="0"/>
                <w:color w:val="auto"/>
                <w:sz w:val="24"/>
                <w:szCs w:val="24"/>
                <w:lang w:val="en-US" w:eastAsia="zh-CN"/>
              </w:rPr>
              <w:t>t/a</w:t>
            </w:r>
          </w:p>
        </w:tc>
        <w:tc>
          <w:tcPr>
            <w:tcW w:w="573" w:type="pct"/>
            <w:shd w:val="clear" w:color="auto" w:fill="auto"/>
            <w:vAlign w:val="center"/>
          </w:tcPr>
          <w:p w14:paraId="3E242B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+0.0004</w:t>
            </w:r>
            <w:r>
              <w:rPr>
                <w:rFonts w:hint="default" w:ascii="Times New Roman" w:hAnsi="Times New Roman" w:cs="Times New Roman" w:eastAsiaTheme="minorEastAsia"/>
                <w:b w:val="0"/>
                <w:bCs w:val="0"/>
                <w:color w:val="auto"/>
                <w:sz w:val="24"/>
                <w:szCs w:val="24"/>
                <w:lang w:val="en-US" w:eastAsia="zh-CN"/>
              </w:rPr>
              <w:t>t/a</w:t>
            </w:r>
          </w:p>
        </w:tc>
      </w:tr>
      <w:tr w14:paraId="24E4E9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90" w:type="pct"/>
            <w:vMerge w:val="continue"/>
            <w:vAlign w:val="center"/>
          </w:tcPr>
          <w:p w14:paraId="3295C42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48B9A03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eastAsiaTheme="minorEastAsia"/>
                <w:color w:val="auto"/>
                <w:sz w:val="24"/>
                <w:szCs w:val="24"/>
                <w:lang w:val="en-US" w:eastAsia="zh-CN"/>
              </w:rPr>
            </w:pPr>
            <w:r>
              <w:rPr>
                <w:rFonts w:hint="eastAsia" w:ascii="Times New Roman" w:cs="Times New Roman" w:eastAsiaTheme="minorEastAsia"/>
                <w:color w:val="auto"/>
                <w:sz w:val="24"/>
                <w:szCs w:val="24"/>
                <w:lang w:val="en-US" w:eastAsia="zh-CN"/>
              </w:rPr>
              <w:t>颗粒物</w:t>
            </w:r>
          </w:p>
          <w:p w14:paraId="53E2D78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4"/>
                <w:szCs w:val="24"/>
                <w:lang w:val="en-US" w:eastAsia="zh-CN"/>
              </w:rPr>
            </w:pPr>
            <w:r>
              <w:rPr>
                <w:rFonts w:hint="eastAsia" w:ascii="Times New Roman" w:cs="Times New Roman" w:eastAsiaTheme="minorEastAsia"/>
                <w:color w:val="auto"/>
                <w:sz w:val="24"/>
                <w:szCs w:val="24"/>
                <w:lang w:val="en-US" w:eastAsia="zh-CN"/>
              </w:rPr>
              <w:t>（有组织）</w:t>
            </w:r>
          </w:p>
        </w:tc>
        <w:tc>
          <w:tcPr>
            <w:tcW w:w="470" w:type="pct"/>
            <w:vAlign w:val="center"/>
          </w:tcPr>
          <w:p w14:paraId="3B6D090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470CBAE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2467A73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39E23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w:t>
            </w:r>
            <w:r>
              <w:rPr>
                <w:rFonts w:hint="eastAsia" w:cs="Times New Roman" w:eastAsiaTheme="minorEastAsia"/>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lang w:val="en-US" w:eastAsia="zh-CN"/>
              </w:rPr>
              <w:t>564</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5CFFAA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p>
        </w:tc>
        <w:tc>
          <w:tcPr>
            <w:tcW w:w="695" w:type="pct"/>
            <w:vAlign w:val="center"/>
          </w:tcPr>
          <w:p w14:paraId="29E9D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w:t>
            </w:r>
            <w:r>
              <w:rPr>
                <w:rFonts w:hint="eastAsia" w:cs="Times New Roman" w:eastAsiaTheme="minorEastAsia"/>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lang w:val="en-US" w:eastAsia="zh-CN"/>
              </w:rPr>
              <w:t>564</w:t>
            </w:r>
            <w:r>
              <w:rPr>
                <w:rFonts w:hint="default" w:ascii="Times New Roman" w:hAnsi="Times New Roman" w:cs="Times New Roman" w:eastAsiaTheme="minorEastAsia"/>
                <w:b w:val="0"/>
                <w:bCs w:val="0"/>
                <w:color w:val="auto"/>
                <w:sz w:val="24"/>
                <w:szCs w:val="24"/>
                <w:lang w:val="en-US" w:eastAsia="zh-CN"/>
              </w:rPr>
              <w:t>t/a</w:t>
            </w:r>
          </w:p>
        </w:tc>
        <w:tc>
          <w:tcPr>
            <w:tcW w:w="573" w:type="pct"/>
            <w:vAlign w:val="center"/>
          </w:tcPr>
          <w:p w14:paraId="73049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w:t>
            </w:r>
            <w:r>
              <w:rPr>
                <w:rFonts w:hint="eastAsia" w:cs="Times New Roman" w:eastAsiaTheme="minorEastAsia"/>
                <w:b w:val="0"/>
                <w:bCs w:val="0"/>
                <w:color w:val="auto"/>
                <w:sz w:val="24"/>
                <w:szCs w:val="24"/>
                <w:lang w:val="en-US" w:eastAsia="zh-CN"/>
              </w:rPr>
              <w:t>0</w:t>
            </w:r>
            <w:r>
              <w:rPr>
                <w:rFonts w:hint="eastAsia" w:ascii="Times New Roman" w:hAnsi="Times New Roman" w:cs="Times New Roman" w:eastAsiaTheme="minorEastAsia"/>
                <w:b w:val="0"/>
                <w:bCs w:val="0"/>
                <w:color w:val="auto"/>
                <w:sz w:val="24"/>
                <w:szCs w:val="24"/>
                <w:lang w:val="en-US" w:eastAsia="zh-CN"/>
              </w:rPr>
              <w:t>564</w:t>
            </w:r>
            <w:r>
              <w:rPr>
                <w:rFonts w:hint="default" w:ascii="Times New Roman" w:hAnsi="Times New Roman" w:cs="Times New Roman" w:eastAsiaTheme="minorEastAsia"/>
                <w:b w:val="0"/>
                <w:bCs w:val="0"/>
                <w:color w:val="auto"/>
                <w:sz w:val="24"/>
                <w:szCs w:val="24"/>
                <w:lang w:val="en-US" w:eastAsia="zh-CN"/>
              </w:rPr>
              <w:t>t/a</w:t>
            </w:r>
          </w:p>
        </w:tc>
      </w:tr>
      <w:tr w14:paraId="1E51E5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90" w:type="pct"/>
            <w:vMerge w:val="continue"/>
            <w:vAlign w:val="center"/>
          </w:tcPr>
          <w:p w14:paraId="66EE41C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7C1310B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eastAsiaTheme="minorEastAsia"/>
                <w:color w:val="auto"/>
                <w:sz w:val="24"/>
                <w:szCs w:val="24"/>
                <w:lang w:val="en-US" w:eastAsia="zh-CN"/>
              </w:rPr>
            </w:pPr>
            <w:r>
              <w:rPr>
                <w:rFonts w:hint="eastAsia" w:ascii="Times New Roman" w:cs="Times New Roman" w:eastAsiaTheme="minorEastAsia"/>
                <w:color w:val="auto"/>
                <w:sz w:val="24"/>
                <w:szCs w:val="24"/>
                <w:lang w:val="en-US" w:eastAsia="zh-CN"/>
              </w:rPr>
              <w:t>颗粒物</w:t>
            </w:r>
          </w:p>
          <w:p w14:paraId="0BE6AA6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eastAsiaTheme="minorEastAsia"/>
                <w:color w:val="auto"/>
                <w:sz w:val="24"/>
                <w:szCs w:val="24"/>
                <w:lang w:val="en-US" w:eastAsia="zh-CN"/>
              </w:rPr>
            </w:pPr>
            <w:r>
              <w:rPr>
                <w:rFonts w:hint="eastAsia" w:ascii="Times New Roman" w:cs="Times New Roman" w:eastAsiaTheme="minorEastAsia"/>
                <w:color w:val="auto"/>
                <w:sz w:val="24"/>
                <w:szCs w:val="24"/>
                <w:lang w:val="en-US" w:eastAsia="zh-CN"/>
              </w:rPr>
              <w:t>（无组织）</w:t>
            </w:r>
          </w:p>
        </w:tc>
        <w:tc>
          <w:tcPr>
            <w:tcW w:w="470" w:type="pct"/>
            <w:vAlign w:val="center"/>
          </w:tcPr>
          <w:p w14:paraId="02DFE4D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414" w:type="pct"/>
            <w:vAlign w:val="center"/>
          </w:tcPr>
          <w:p w14:paraId="6787ADF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14" w:type="pct"/>
            <w:vAlign w:val="center"/>
          </w:tcPr>
          <w:p w14:paraId="1FB4B61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588" w:type="pct"/>
            <w:vAlign w:val="center"/>
          </w:tcPr>
          <w:p w14:paraId="25B829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w:t>
            </w:r>
            <w:r>
              <w:rPr>
                <w:rFonts w:hint="eastAsia" w:cs="Times New Roman" w:eastAsiaTheme="minorEastAsia"/>
                <w:b w:val="0"/>
                <w:bCs w:val="0"/>
                <w:color w:val="auto"/>
                <w:sz w:val="24"/>
                <w:szCs w:val="24"/>
                <w:lang w:val="en-US" w:eastAsia="zh-CN"/>
              </w:rPr>
              <w:t>2</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2E490D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p>
        </w:tc>
        <w:tc>
          <w:tcPr>
            <w:tcW w:w="695" w:type="pct"/>
            <w:vAlign w:val="center"/>
          </w:tcPr>
          <w:p w14:paraId="138990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w:t>
            </w:r>
            <w:r>
              <w:rPr>
                <w:rFonts w:hint="eastAsia" w:cs="Times New Roman" w:eastAsiaTheme="minorEastAsia"/>
                <w:b w:val="0"/>
                <w:bCs w:val="0"/>
                <w:color w:val="auto"/>
                <w:sz w:val="24"/>
                <w:szCs w:val="24"/>
                <w:lang w:val="en-US" w:eastAsia="zh-CN"/>
              </w:rPr>
              <w:t>2</w:t>
            </w:r>
            <w:r>
              <w:rPr>
                <w:rFonts w:hint="default" w:ascii="Times New Roman" w:hAnsi="Times New Roman" w:cs="Times New Roman" w:eastAsiaTheme="minorEastAsia"/>
                <w:b w:val="0"/>
                <w:bCs w:val="0"/>
                <w:color w:val="auto"/>
                <w:sz w:val="24"/>
                <w:szCs w:val="24"/>
                <w:lang w:val="en-US" w:eastAsia="zh-CN"/>
              </w:rPr>
              <w:t>t/a</w:t>
            </w:r>
          </w:p>
        </w:tc>
        <w:tc>
          <w:tcPr>
            <w:tcW w:w="573" w:type="pct"/>
            <w:vAlign w:val="center"/>
          </w:tcPr>
          <w:p w14:paraId="6B0EA2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w:t>
            </w:r>
            <w:r>
              <w:rPr>
                <w:rFonts w:hint="eastAsia" w:cs="Times New Roman" w:eastAsiaTheme="minorEastAsia"/>
                <w:b w:val="0"/>
                <w:bCs w:val="0"/>
                <w:color w:val="auto"/>
                <w:sz w:val="24"/>
                <w:szCs w:val="24"/>
                <w:lang w:val="en-US" w:eastAsia="zh-CN"/>
              </w:rPr>
              <w:t>2</w:t>
            </w:r>
            <w:r>
              <w:rPr>
                <w:rFonts w:hint="default" w:ascii="Times New Roman" w:hAnsi="Times New Roman" w:cs="Times New Roman" w:eastAsiaTheme="minorEastAsia"/>
                <w:b w:val="0"/>
                <w:bCs w:val="0"/>
                <w:color w:val="auto"/>
                <w:sz w:val="24"/>
                <w:szCs w:val="24"/>
                <w:lang w:val="en-US" w:eastAsia="zh-CN"/>
              </w:rPr>
              <w:t>t/a</w:t>
            </w:r>
          </w:p>
        </w:tc>
      </w:tr>
      <w:tr w14:paraId="4E018E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90" w:type="pct"/>
            <w:vMerge w:val="continue"/>
            <w:vAlign w:val="center"/>
          </w:tcPr>
          <w:p w14:paraId="2AF9A1D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0DCFCB0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二氧化硫</w:t>
            </w:r>
          </w:p>
        </w:tc>
        <w:tc>
          <w:tcPr>
            <w:tcW w:w="470" w:type="pct"/>
            <w:vAlign w:val="center"/>
          </w:tcPr>
          <w:p w14:paraId="43564CB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0887405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63BE86D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2FD51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0.77</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1629E4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695" w:type="pct"/>
            <w:vAlign w:val="center"/>
          </w:tcPr>
          <w:p w14:paraId="5BC49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0.77</w:t>
            </w:r>
            <w:r>
              <w:rPr>
                <w:rFonts w:hint="default" w:ascii="Times New Roman" w:hAnsi="Times New Roman" w:cs="Times New Roman" w:eastAsiaTheme="minorEastAsia"/>
                <w:b w:val="0"/>
                <w:bCs w:val="0"/>
                <w:color w:val="auto"/>
                <w:sz w:val="24"/>
                <w:szCs w:val="24"/>
                <w:lang w:val="en-US" w:eastAsia="zh-CN"/>
              </w:rPr>
              <w:t>t/a</w:t>
            </w:r>
          </w:p>
        </w:tc>
        <w:tc>
          <w:tcPr>
            <w:tcW w:w="573" w:type="pct"/>
            <w:vAlign w:val="center"/>
          </w:tcPr>
          <w:p w14:paraId="4D5D6D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+0.77</w:t>
            </w:r>
            <w:r>
              <w:rPr>
                <w:rFonts w:hint="default" w:ascii="Times New Roman" w:hAnsi="Times New Roman" w:cs="Times New Roman" w:eastAsiaTheme="minorEastAsia"/>
                <w:b w:val="0"/>
                <w:bCs w:val="0"/>
                <w:color w:val="auto"/>
                <w:sz w:val="24"/>
                <w:szCs w:val="24"/>
                <w:lang w:val="en-US" w:eastAsia="zh-CN"/>
              </w:rPr>
              <w:t>t/a</w:t>
            </w:r>
          </w:p>
        </w:tc>
      </w:tr>
      <w:tr w14:paraId="29813E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90" w:type="pct"/>
            <w:vMerge w:val="continue"/>
            <w:vAlign w:val="center"/>
          </w:tcPr>
          <w:p w14:paraId="4936F5B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56AC14C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eastAsia" w:ascii="Times New Roman" w:hAnsi="Times New Roman" w:cs="Times New Roman" w:eastAsiaTheme="minorEastAsia"/>
                <w:b w:val="0"/>
                <w:bCs w:val="0"/>
                <w:color w:val="auto"/>
                <w:kern w:val="2"/>
                <w:sz w:val="24"/>
                <w:szCs w:val="24"/>
                <w:lang w:val="en-US" w:eastAsia="zh-CN" w:bidi="ar-SA"/>
              </w:rPr>
              <w:t>氮氧化物</w:t>
            </w:r>
          </w:p>
        </w:tc>
        <w:tc>
          <w:tcPr>
            <w:tcW w:w="470" w:type="pct"/>
            <w:vAlign w:val="center"/>
          </w:tcPr>
          <w:p w14:paraId="2E4C545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3C5A52B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674B667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0F2DEF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1.53</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124814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695" w:type="pct"/>
            <w:vAlign w:val="center"/>
          </w:tcPr>
          <w:p w14:paraId="07E36E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1.53</w:t>
            </w:r>
            <w:r>
              <w:rPr>
                <w:rFonts w:hint="default" w:ascii="Times New Roman" w:hAnsi="Times New Roman" w:cs="Times New Roman" w:eastAsiaTheme="minorEastAsia"/>
                <w:b w:val="0"/>
                <w:bCs w:val="0"/>
                <w:color w:val="auto"/>
                <w:sz w:val="24"/>
                <w:szCs w:val="24"/>
                <w:lang w:val="en-US" w:eastAsia="zh-CN"/>
              </w:rPr>
              <w:t>t/a</w:t>
            </w:r>
          </w:p>
        </w:tc>
        <w:tc>
          <w:tcPr>
            <w:tcW w:w="573" w:type="pct"/>
            <w:vAlign w:val="center"/>
          </w:tcPr>
          <w:p w14:paraId="48B61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+1.53</w:t>
            </w:r>
            <w:r>
              <w:rPr>
                <w:rFonts w:hint="default" w:ascii="Times New Roman" w:hAnsi="Times New Roman" w:cs="Times New Roman" w:eastAsiaTheme="minorEastAsia"/>
                <w:b w:val="0"/>
                <w:bCs w:val="0"/>
                <w:color w:val="auto"/>
                <w:sz w:val="24"/>
                <w:szCs w:val="24"/>
                <w:lang w:val="en-US" w:eastAsia="zh-CN"/>
              </w:rPr>
              <w:t>t/a</w:t>
            </w:r>
          </w:p>
        </w:tc>
      </w:tr>
      <w:tr w14:paraId="4F348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90" w:type="pct"/>
            <w:vMerge w:val="continue"/>
            <w:vAlign w:val="center"/>
          </w:tcPr>
          <w:p w14:paraId="3B9A6B9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shd w:val="clear" w:color="auto" w:fill="auto"/>
            <w:vAlign w:val="center"/>
          </w:tcPr>
          <w:p w14:paraId="15FF498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eastAsiaTheme="minorEastAsia"/>
                <w:color w:val="auto"/>
                <w:kern w:val="0"/>
                <w:sz w:val="24"/>
                <w:szCs w:val="24"/>
                <w:lang w:val="en-US" w:eastAsia="zh-CN" w:bidi="ar-SA"/>
              </w:rPr>
            </w:pPr>
            <w:r>
              <w:rPr>
                <w:rFonts w:hint="default" w:ascii="Times New Roman" w:hAnsi="Times New Roman" w:cs="Times New Roman" w:eastAsiaTheme="minorEastAsia"/>
                <w:color w:val="auto"/>
                <w:sz w:val="24"/>
                <w:szCs w:val="24"/>
                <w:lang w:val="en-US" w:eastAsia="zh-CN"/>
              </w:rPr>
              <w:t>恶臭浓度</w:t>
            </w:r>
          </w:p>
        </w:tc>
        <w:tc>
          <w:tcPr>
            <w:tcW w:w="470" w:type="pct"/>
            <w:shd w:val="clear" w:color="auto" w:fill="auto"/>
            <w:vAlign w:val="center"/>
          </w:tcPr>
          <w:p w14:paraId="332C24D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bidi="ar-SA"/>
              </w:rPr>
            </w:pPr>
            <w:r>
              <w:rPr>
                <w:rFonts w:hint="default" w:ascii="Times New Roman" w:hAnsi="Times New Roman" w:cs="Times New Roman" w:eastAsiaTheme="minorEastAsia"/>
                <w:snapToGrid w:val="0"/>
                <w:color w:val="auto"/>
                <w:kern w:val="21"/>
                <w:sz w:val="24"/>
                <w:szCs w:val="24"/>
              </w:rPr>
              <w:t>/</w:t>
            </w:r>
          </w:p>
        </w:tc>
        <w:tc>
          <w:tcPr>
            <w:tcW w:w="414" w:type="pct"/>
            <w:shd w:val="clear" w:color="auto" w:fill="auto"/>
            <w:vAlign w:val="center"/>
          </w:tcPr>
          <w:p w14:paraId="4909C3E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bidi="ar-SA"/>
              </w:rPr>
            </w:pPr>
            <w:r>
              <w:rPr>
                <w:rFonts w:hint="default" w:ascii="Times New Roman" w:hAnsi="Times New Roman" w:cs="Times New Roman" w:eastAsiaTheme="minorEastAsia"/>
                <w:snapToGrid w:val="0"/>
                <w:color w:val="auto"/>
                <w:kern w:val="21"/>
                <w:sz w:val="24"/>
                <w:szCs w:val="24"/>
              </w:rPr>
              <w:t>/</w:t>
            </w:r>
          </w:p>
        </w:tc>
        <w:tc>
          <w:tcPr>
            <w:tcW w:w="514" w:type="pct"/>
            <w:shd w:val="clear" w:color="auto" w:fill="auto"/>
            <w:vAlign w:val="center"/>
          </w:tcPr>
          <w:p w14:paraId="6D64E5F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bidi="ar-SA"/>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3B72C34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eastAsiaTheme="minorEastAsia"/>
                <w:snapToGrid w:val="0"/>
                <w:color w:val="auto"/>
                <w:kern w:val="21"/>
                <w:sz w:val="24"/>
                <w:szCs w:val="24"/>
                <w:lang w:val="en-US" w:eastAsia="zh-CN" w:bidi="ar-SA"/>
              </w:rPr>
            </w:pPr>
            <w:r>
              <w:rPr>
                <w:rFonts w:hint="default" w:ascii="Times New Roman" w:hAnsi="Times New Roman" w:cs="Times New Roman" w:eastAsiaTheme="minorEastAsia"/>
                <w:snapToGrid w:val="0"/>
                <w:color w:val="auto"/>
                <w:kern w:val="21"/>
                <w:sz w:val="24"/>
                <w:szCs w:val="24"/>
                <w:lang w:val="en-US" w:eastAsia="zh-CN"/>
              </w:rPr>
              <w:t>/</w:t>
            </w:r>
          </w:p>
        </w:tc>
        <w:tc>
          <w:tcPr>
            <w:tcW w:w="466" w:type="pct"/>
            <w:shd w:val="clear" w:color="auto" w:fill="auto"/>
            <w:vAlign w:val="center"/>
          </w:tcPr>
          <w:p w14:paraId="0530A96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bidi="ar-SA"/>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4CCD080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eastAsiaTheme="minorEastAsia"/>
                <w:snapToGrid w:val="0"/>
                <w:color w:val="auto"/>
                <w:kern w:val="21"/>
                <w:sz w:val="24"/>
                <w:szCs w:val="24"/>
                <w:lang w:val="en-US" w:eastAsia="zh-CN" w:bidi="ar-SA"/>
              </w:rPr>
            </w:pPr>
            <w:r>
              <w:rPr>
                <w:rFonts w:hint="default" w:ascii="Times New Roman" w:hAnsi="Times New Roman" w:cs="Times New Roman" w:eastAsiaTheme="minorEastAsia"/>
                <w:snapToGrid w:val="0"/>
                <w:color w:val="auto"/>
                <w:kern w:val="21"/>
                <w:sz w:val="24"/>
                <w:szCs w:val="24"/>
                <w:lang w:val="en-US" w:eastAsia="zh-CN"/>
              </w:rPr>
              <w:t>/</w:t>
            </w:r>
          </w:p>
        </w:tc>
        <w:tc>
          <w:tcPr>
            <w:tcW w:w="573" w:type="pct"/>
            <w:shd w:val="clear" w:color="auto" w:fill="auto"/>
            <w:vAlign w:val="center"/>
          </w:tcPr>
          <w:p w14:paraId="382446D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cs="Times New Roman" w:eastAsiaTheme="minorEastAsia"/>
                <w:snapToGrid w:val="0"/>
                <w:color w:val="auto"/>
                <w:kern w:val="21"/>
                <w:sz w:val="24"/>
                <w:szCs w:val="24"/>
                <w:lang w:val="en-US" w:eastAsia="zh-CN" w:bidi="ar-SA"/>
              </w:rPr>
            </w:pPr>
            <w:r>
              <w:rPr>
                <w:rFonts w:hint="default" w:ascii="Times New Roman" w:hAnsi="Times New Roman" w:cs="Times New Roman" w:eastAsiaTheme="minorEastAsia"/>
                <w:snapToGrid w:val="0"/>
                <w:color w:val="auto"/>
                <w:kern w:val="21"/>
                <w:sz w:val="24"/>
                <w:szCs w:val="24"/>
                <w:lang w:val="en-US" w:eastAsia="zh-CN"/>
              </w:rPr>
              <w:t>/</w:t>
            </w:r>
          </w:p>
        </w:tc>
      </w:tr>
      <w:tr w14:paraId="17E5BF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90" w:type="pct"/>
            <w:vMerge w:val="continue"/>
            <w:vAlign w:val="center"/>
          </w:tcPr>
          <w:p w14:paraId="355374B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40A7E22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4"/>
                <w:szCs w:val="24"/>
                <w:lang w:val="en-US" w:eastAsia="zh-CN"/>
              </w:rPr>
            </w:pPr>
            <w:r>
              <w:rPr>
                <w:rFonts w:hint="eastAsia" w:ascii="Times New Roman" w:cs="Times New Roman" w:eastAsiaTheme="minorEastAsia"/>
                <w:color w:val="auto"/>
                <w:sz w:val="24"/>
                <w:szCs w:val="24"/>
                <w:lang w:val="en-US" w:eastAsia="zh-CN"/>
              </w:rPr>
              <w:t>食堂油烟</w:t>
            </w:r>
          </w:p>
        </w:tc>
        <w:tc>
          <w:tcPr>
            <w:tcW w:w="470" w:type="pct"/>
            <w:vAlign w:val="center"/>
          </w:tcPr>
          <w:p w14:paraId="7EBE6EC7">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52A50D48">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71593B39">
            <w:pPr>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6D6BF9D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eastAsia" w:ascii="Times New Roman" w:hAnsi="Times New Roman" w:cs="Times New Roman" w:eastAsiaTheme="minorEastAsia"/>
                <w:snapToGrid w:val="0"/>
                <w:color w:val="auto"/>
                <w:kern w:val="21"/>
                <w:sz w:val="24"/>
                <w:szCs w:val="24"/>
                <w:lang w:val="en-US" w:eastAsia="zh-CN"/>
              </w:rPr>
              <w:t>0.0005</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22C4B2E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rPr>
              <w:t>/</w:t>
            </w:r>
          </w:p>
        </w:tc>
        <w:tc>
          <w:tcPr>
            <w:tcW w:w="695" w:type="pct"/>
            <w:vAlign w:val="center"/>
          </w:tcPr>
          <w:p w14:paraId="6B7F17E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eastAsia" w:ascii="Times New Roman" w:hAnsi="Times New Roman" w:cs="Times New Roman" w:eastAsiaTheme="minorEastAsia"/>
                <w:snapToGrid w:val="0"/>
                <w:color w:val="auto"/>
                <w:kern w:val="21"/>
                <w:sz w:val="24"/>
                <w:szCs w:val="24"/>
                <w:lang w:val="en-US" w:eastAsia="zh-CN"/>
              </w:rPr>
              <w:t>0.0005</w:t>
            </w:r>
            <w:r>
              <w:rPr>
                <w:rFonts w:hint="default" w:ascii="Times New Roman" w:hAnsi="Times New Roman" w:cs="Times New Roman" w:eastAsiaTheme="minorEastAsia"/>
                <w:snapToGrid w:val="0"/>
                <w:color w:val="auto"/>
                <w:kern w:val="21"/>
                <w:sz w:val="24"/>
                <w:szCs w:val="24"/>
                <w:lang w:val="en-US" w:eastAsia="zh-CN"/>
              </w:rPr>
              <w:t>t/a</w:t>
            </w:r>
          </w:p>
        </w:tc>
        <w:tc>
          <w:tcPr>
            <w:tcW w:w="573" w:type="pct"/>
            <w:vAlign w:val="center"/>
          </w:tcPr>
          <w:p w14:paraId="50C1292B">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eastAsia" w:ascii="Times New Roman" w:hAnsi="Times New Roman" w:cs="Times New Roman" w:eastAsiaTheme="minorEastAsia"/>
                <w:snapToGrid w:val="0"/>
                <w:color w:val="auto"/>
                <w:kern w:val="21"/>
                <w:sz w:val="24"/>
                <w:szCs w:val="24"/>
                <w:lang w:val="en-US" w:eastAsia="zh-CN"/>
              </w:rPr>
              <w:t>+0.0005</w:t>
            </w:r>
            <w:r>
              <w:rPr>
                <w:rFonts w:hint="default" w:ascii="Times New Roman" w:hAnsi="Times New Roman" w:cs="Times New Roman" w:eastAsiaTheme="minorEastAsia"/>
                <w:snapToGrid w:val="0"/>
                <w:color w:val="auto"/>
                <w:kern w:val="21"/>
                <w:sz w:val="24"/>
                <w:szCs w:val="24"/>
                <w:lang w:val="en-US" w:eastAsia="zh-CN"/>
              </w:rPr>
              <w:t>t/a</w:t>
            </w:r>
          </w:p>
        </w:tc>
      </w:tr>
      <w:tr w14:paraId="1A4DB4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90" w:type="pct"/>
            <w:vMerge w:val="restart"/>
            <w:vAlign w:val="center"/>
          </w:tcPr>
          <w:p w14:paraId="3B8D897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废水</w:t>
            </w:r>
          </w:p>
        </w:tc>
        <w:tc>
          <w:tcPr>
            <w:tcW w:w="785" w:type="pct"/>
            <w:vAlign w:val="center"/>
          </w:tcPr>
          <w:p w14:paraId="16C6104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生产废水</w:t>
            </w:r>
          </w:p>
        </w:tc>
        <w:tc>
          <w:tcPr>
            <w:tcW w:w="470" w:type="pct"/>
            <w:vAlign w:val="center"/>
          </w:tcPr>
          <w:p w14:paraId="56E2602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7447594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35B0D27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2573D94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0</w:t>
            </w:r>
          </w:p>
        </w:tc>
        <w:tc>
          <w:tcPr>
            <w:tcW w:w="466" w:type="pct"/>
            <w:vAlign w:val="center"/>
          </w:tcPr>
          <w:p w14:paraId="044A7BB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695" w:type="pct"/>
            <w:vAlign w:val="center"/>
          </w:tcPr>
          <w:p w14:paraId="0A23158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0</w:t>
            </w:r>
          </w:p>
        </w:tc>
        <w:tc>
          <w:tcPr>
            <w:tcW w:w="573" w:type="pct"/>
            <w:vAlign w:val="center"/>
          </w:tcPr>
          <w:p w14:paraId="5B3A470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0</w:t>
            </w:r>
          </w:p>
        </w:tc>
      </w:tr>
      <w:tr w14:paraId="30965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90" w:type="pct"/>
            <w:vMerge w:val="continue"/>
            <w:vAlign w:val="center"/>
          </w:tcPr>
          <w:p w14:paraId="4B8522F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vAlign w:val="center"/>
          </w:tcPr>
          <w:p w14:paraId="1AE72B5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生活污水</w:t>
            </w:r>
          </w:p>
        </w:tc>
        <w:tc>
          <w:tcPr>
            <w:tcW w:w="470" w:type="pct"/>
            <w:vAlign w:val="center"/>
          </w:tcPr>
          <w:p w14:paraId="353E385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0CFB5D9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72BE24A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vAlign w:val="center"/>
          </w:tcPr>
          <w:p w14:paraId="319B002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rPr>
              <w:t>0</w:t>
            </w:r>
          </w:p>
        </w:tc>
        <w:tc>
          <w:tcPr>
            <w:tcW w:w="466" w:type="pct"/>
            <w:vAlign w:val="center"/>
          </w:tcPr>
          <w:p w14:paraId="728AFC4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695" w:type="pct"/>
            <w:vAlign w:val="center"/>
          </w:tcPr>
          <w:p w14:paraId="277426E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0</w:t>
            </w:r>
          </w:p>
        </w:tc>
        <w:tc>
          <w:tcPr>
            <w:tcW w:w="573" w:type="pct"/>
            <w:vAlign w:val="center"/>
          </w:tcPr>
          <w:p w14:paraId="09DD895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0</w:t>
            </w:r>
          </w:p>
        </w:tc>
      </w:tr>
      <w:tr w14:paraId="34637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90" w:type="pct"/>
            <w:vMerge w:val="restart"/>
            <w:vAlign w:val="center"/>
          </w:tcPr>
          <w:p w14:paraId="477D3F1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both"/>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一般</w:t>
            </w:r>
            <w:r>
              <w:rPr>
                <w:rFonts w:hint="eastAsia" w:ascii="Times New Roman" w:hAnsi="Times New Roman" w:cs="Times New Roman" w:eastAsiaTheme="minorEastAsia"/>
                <w:snapToGrid w:val="0"/>
                <w:color w:val="auto"/>
                <w:kern w:val="21"/>
                <w:sz w:val="24"/>
                <w:szCs w:val="24"/>
                <w:highlight w:val="none"/>
                <w:lang w:val="en-US" w:eastAsia="zh-CN"/>
              </w:rPr>
              <w:t>工业</w:t>
            </w:r>
            <w:r>
              <w:rPr>
                <w:rFonts w:hint="default" w:ascii="Times New Roman" w:hAnsi="Times New Roman" w:cs="Times New Roman" w:eastAsiaTheme="minorEastAsia"/>
                <w:snapToGrid w:val="0"/>
                <w:color w:val="auto"/>
                <w:kern w:val="21"/>
                <w:sz w:val="24"/>
                <w:szCs w:val="24"/>
                <w:highlight w:val="none"/>
              </w:rPr>
              <w:t>固体废物</w:t>
            </w:r>
          </w:p>
        </w:tc>
        <w:tc>
          <w:tcPr>
            <w:tcW w:w="785" w:type="pct"/>
            <w:shd w:val="clear" w:color="auto" w:fill="auto"/>
            <w:vAlign w:val="center"/>
          </w:tcPr>
          <w:p w14:paraId="5D6D6E74">
            <w:pPr>
              <w:pStyle w:val="2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color w:val="auto"/>
                <w:sz w:val="24"/>
                <w:szCs w:val="24"/>
                <w:lang w:val="en-US" w:eastAsia="zh-CN"/>
              </w:rPr>
              <w:t>废弃包装物</w:t>
            </w:r>
          </w:p>
        </w:tc>
        <w:tc>
          <w:tcPr>
            <w:tcW w:w="470" w:type="pct"/>
            <w:vAlign w:val="center"/>
          </w:tcPr>
          <w:p w14:paraId="0FC1EF8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7490E32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24B02E8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42AD02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0.8</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45AF011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6BE32A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0.8</w:t>
            </w:r>
            <w:r>
              <w:rPr>
                <w:rFonts w:hint="default" w:ascii="Times New Roman" w:hAnsi="Times New Roman" w:cs="Times New Roman" w:eastAsiaTheme="minorEastAsia"/>
                <w:snapToGrid w:val="0"/>
                <w:color w:val="auto"/>
                <w:kern w:val="21"/>
                <w:sz w:val="24"/>
                <w:szCs w:val="24"/>
                <w:lang w:val="en-US" w:eastAsia="zh-CN"/>
              </w:rPr>
              <w:t>t/a</w:t>
            </w:r>
          </w:p>
        </w:tc>
        <w:tc>
          <w:tcPr>
            <w:tcW w:w="573" w:type="pct"/>
            <w:shd w:val="clear" w:color="auto" w:fill="auto"/>
            <w:vAlign w:val="center"/>
          </w:tcPr>
          <w:p w14:paraId="232B9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+0.8</w:t>
            </w:r>
            <w:r>
              <w:rPr>
                <w:rFonts w:hint="default" w:ascii="Times New Roman" w:hAnsi="Times New Roman" w:cs="Times New Roman" w:eastAsiaTheme="minorEastAsia"/>
                <w:snapToGrid w:val="0"/>
                <w:color w:val="auto"/>
                <w:kern w:val="21"/>
                <w:sz w:val="24"/>
                <w:szCs w:val="24"/>
                <w:lang w:val="en-US" w:eastAsia="zh-CN"/>
              </w:rPr>
              <w:t>t/a</w:t>
            </w:r>
          </w:p>
        </w:tc>
      </w:tr>
      <w:tr w14:paraId="316BA2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90" w:type="pct"/>
            <w:vMerge w:val="continue"/>
            <w:vAlign w:val="center"/>
          </w:tcPr>
          <w:p w14:paraId="050FD47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785" w:type="pct"/>
            <w:shd w:val="clear" w:color="auto" w:fill="auto"/>
            <w:vAlign w:val="center"/>
          </w:tcPr>
          <w:p w14:paraId="4D8283E7">
            <w:pPr>
              <w:pStyle w:val="104"/>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废布袋</w:t>
            </w:r>
          </w:p>
        </w:tc>
        <w:tc>
          <w:tcPr>
            <w:tcW w:w="470" w:type="pct"/>
            <w:vAlign w:val="center"/>
          </w:tcPr>
          <w:p w14:paraId="2E98998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179BBF1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0EF8DDE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4A28F8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7AB7527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54BFE5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c>
          <w:tcPr>
            <w:tcW w:w="573" w:type="pct"/>
            <w:shd w:val="clear" w:color="auto" w:fill="auto"/>
            <w:vAlign w:val="center"/>
          </w:tcPr>
          <w:p w14:paraId="712D8F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r>
      <w:tr w14:paraId="653536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90" w:type="pct"/>
            <w:vMerge w:val="continue"/>
            <w:vAlign w:val="center"/>
          </w:tcPr>
          <w:p w14:paraId="686EB9B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785" w:type="pct"/>
            <w:shd w:val="clear" w:color="auto" w:fill="auto"/>
            <w:vAlign w:val="center"/>
          </w:tcPr>
          <w:p w14:paraId="592344D3">
            <w:pPr>
              <w:pStyle w:val="104"/>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除尘器</w:t>
            </w:r>
            <w:r>
              <w:rPr>
                <w:rFonts w:hint="eastAsia" w:cs="Times New Roman" w:eastAsiaTheme="minorEastAsia"/>
                <w:color w:val="auto"/>
                <w:kern w:val="2"/>
                <w:sz w:val="24"/>
                <w:szCs w:val="24"/>
                <w:lang w:val="en-US" w:eastAsia="zh-CN" w:bidi="ar-SA"/>
              </w:rPr>
              <w:t>收集的</w:t>
            </w:r>
            <w:r>
              <w:rPr>
                <w:rFonts w:hint="default" w:ascii="Times New Roman" w:hAnsi="Times New Roman" w:cs="Times New Roman" w:eastAsiaTheme="minorEastAsia"/>
                <w:color w:val="auto"/>
                <w:kern w:val="2"/>
                <w:sz w:val="24"/>
                <w:szCs w:val="24"/>
                <w:lang w:val="en-US" w:eastAsia="zh-CN" w:bidi="ar-SA"/>
              </w:rPr>
              <w:t>除尘灰</w:t>
            </w:r>
          </w:p>
        </w:tc>
        <w:tc>
          <w:tcPr>
            <w:tcW w:w="470" w:type="pct"/>
            <w:vAlign w:val="center"/>
          </w:tcPr>
          <w:p w14:paraId="22F4CC0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7EFE4FF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48D0964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37F44F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eastAsia" w:cs="Times New Roman" w:eastAsiaTheme="minorEastAsia"/>
                <w:b w:val="0"/>
                <w:bCs w:val="0"/>
                <w:color w:val="auto"/>
                <w:sz w:val="24"/>
                <w:szCs w:val="24"/>
                <w:lang w:val="en-US" w:eastAsia="zh-CN"/>
              </w:rPr>
              <w:t>56.34</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38A9B8D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5A1043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eastAsia" w:cs="Times New Roman" w:eastAsiaTheme="minorEastAsia"/>
                <w:b w:val="0"/>
                <w:bCs w:val="0"/>
                <w:color w:val="auto"/>
                <w:sz w:val="24"/>
                <w:szCs w:val="24"/>
                <w:lang w:val="en-US" w:eastAsia="zh-CN"/>
              </w:rPr>
              <w:t>56.34</w:t>
            </w:r>
            <w:r>
              <w:rPr>
                <w:rFonts w:hint="default" w:ascii="Times New Roman" w:hAnsi="Times New Roman" w:cs="Times New Roman" w:eastAsiaTheme="minorEastAsia"/>
                <w:snapToGrid w:val="0"/>
                <w:color w:val="auto"/>
                <w:kern w:val="21"/>
                <w:sz w:val="24"/>
                <w:szCs w:val="24"/>
                <w:lang w:val="en-US" w:eastAsia="zh-CN"/>
              </w:rPr>
              <w:t>t/a</w:t>
            </w:r>
          </w:p>
        </w:tc>
        <w:tc>
          <w:tcPr>
            <w:tcW w:w="573" w:type="pct"/>
            <w:shd w:val="clear" w:color="auto" w:fill="auto"/>
            <w:vAlign w:val="center"/>
          </w:tcPr>
          <w:p w14:paraId="132F0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w:t>
            </w:r>
            <w:r>
              <w:rPr>
                <w:rFonts w:hint="eastAsia" w:cs="Times New Roman" w:eastAsiaTheme="minorEastAsia"/>
                <w:b w:val="0"/>
                <w:bCs w:val="0"/>
                <w:color w:val="auto"/>
                <w:sz w:val="24"/>
                <w:szCs w:val="24"/>
                <w:lang w:val="en-US" w:eastAsia="zh-CN"/>
              </w:rPr>
              <w:t>56.34</w:t>
            </w:r>
            <w:r>
              <w:rPr>
                <w:rFonts w:hint="default" w:ascii="Times New Roman" w:hAnsi="Times New Roman" w:cs="Times New Roman" w:eastAsiaTheme="minorEastAsia"/>
                <w:snapToGrid w:val="0"/>
                <w:color w:val="auto"/>
                <w:kern w:val="21"/>
                <w:sz w:val="24"/>
                <w:szCs w:val="24"/>
                <w:lang w:val="en-US" w:eastAsia="zh-CN"/>
              </w:rPr>
              <w:t>t/a</w:t>
            </w:r>
          </w:p>
        </w:tc>
      </w:tr>
      <w:tr w14:paraId="13F8F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90" w:type="pct"/>
            <w:vMerge w:val="continue"/>
            <w:vAlign w:val="center"/>
          </w:tcPr>
          <w:p w14:paraId="3F3193F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785" w:type="pct"/>
            <w:shd w:val="clear" w:color="auto" w:fill="auto"/>
            <w:vAlign w:val="center"/>
          </w:tcPr>
          <w:p w14:paraId="4C2C84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车间内收集的颗粒物</w:t>
            </w:r>
          </w:p>
        </w:tc>
        <w:tc>
          <w:tcPr>
            <w:tcW w:w="470" w:type="pct"/>
            <w:vAlign w:val="center"/>
          </w:tcPr>
          <w:p w14:paraId="69FA61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414" w:type="pct"/>
            <w:vAlign w:val="center"/>
          </w:tcPr>
          <w:p w14:paraId="0D0382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514" w:type="pct"/>
            <w:vAlign w:val="center"/>
          </w:tcPr>
          <w:p w14:paraId="4AFA35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588" w:type="pct"/>
            <w:shd w:val="clear" w:color="auto" w:fill="auto"/>
            <w:vAlign w:val="center"/>
          </w:tcPr>
          <w:p w14:paraId="5CE19A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0.3</w:t>
            </w:r>
            <w:r>
              <w:rPr>
                <w:rFonts w:hint="default" w:ascii="Times New Roman" w:hAnsi="Times New Roman" w:cs="Times New Roman" w:eastAsiaTheme="minorEastAsia"/>
                <w:b w:val="0"/>
                <w:bCs w:val="0"/>
                <w:color w:val="auto"/>
                <w:sz w:val="24"/>
                <w:szCs w:val="24"/>
                <w:lang w:val="en-US" w:eastAsia="zh-CN"/>
              </w:rPr>
              <w:t>t/a</w:t>
            </w:r>
          </w:p>
        </w:tc>
        <w:tc>
          <w:tcPr>
            <w:tcW w:w="466" w:type="pct"/>
            <w:vAlign w:val="center"/>
          </w:tcPr>
          <w:p w14:paraId="25E56F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w:t>
            </w:r>
          </w:p>
        </w:tc>
        <w:tc>
          <w:tcPr>
            <w:tcW w:w="695" w:type="pct"/>
            <w:shd w:val="clear" w:color="auto" w:fill="auto"/>
            <w:vAlign w:val="center"/>
          </w:tcPr>
          <w:p w14:paraId="6A1F0F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0.3</w:t>
            </w:r>
            <w:r>
              <w:rPr>
                <w:rFonts w:hint="default" w:ascii="Times New Roman" w:hAnsi="Times New Roman" w:cs="Times New Roman" w:eastAsiaTheme="minorEastAsia"/>
                <w:b w:val="0"/>
                <w:bCs w:val="0"/>
                <w:color w:val="auto"/>
                <w:sz w:val="24"/>
                <w:szCs w:val="24"/>
                <w:lang w:val="en-US" w:eastAsia="zh-CN"/>
              </w:rPr>
              <w:t>t/a</w:t>
            </w:r>
          </w:p>
        </w:tc>
        <w:tc>
          <w:tcPr>
            <w:tcW w:w="573" w:type="pct"/>
            <w:shd w:val="clear" w:color="auto" w:fill="auto"/>
            <w:vAlign w:val="center"/>
          </w:tcPr>
          <w:p w14:paraId="370C4D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ascii="Times New Roman" w:hAnsi="Times New Roman" w:cs="Times New Roman" w:eastAsiaTheme="minorEastAsia"/>
                <w:b w:val="0"/>
                <w:bCs w:val="0"/>
                <w:color w:val="auto"/>
                <w:sz w:val="24"/>
                <w:szCs w:val="24"/>
                <w:lang w:val="en-US" w:eastAsia="zh-CN"/>
              </w:rPr>
              <w:t>+0.3</w:t>
            </w:r>
            <w:r>
              <w:rPr>
                <w:rFonts w:hint="default" w:ascii="Times New Roman" w:hAnsi="Times New Roman" w:cs="Times New Roman" w:eastAsiaTheme="minorEastAsia"/>
                <w:b w:val="0"/>
                <w:bCs w:val="0"/>
                <w:color w:val="auto"/>
                <w:sz w:val="24"/>
                <w:szCs w:val="24"/>
                <w:lang w:val="en-US" w:eastAsia="zh-CN"/>
              </w:rPr>
              <w:t>t/a</w:t>
            </w:r>
          </w:p>
        </w:tc>
      </w:tr>
      <w:tr w14:paraId="0DFE33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90" w:type="pct"/>
            <w:vMerge w:val="continue"/>
            <w:vAlign w:val="center"/>
          </w:tcPr>
          <w:p w14:paraId="0A27610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785" w:type="pct"/>
            <w:shd w:val="clear" w:color="auto" w:fill="auto"/>
            <w:vAlign w:val="center"/>
          </w:tcPr>
          <w:p w14:paraId="6F38F96F">
            <w:pPr>
              <w:pStyle w:val="2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生物质蒸汽发生器</w:t>
            </w:r>
            <w:r>
              <w:rPr>
                <w:rFonts w:hint="default" w:ascii="Times New Roman" w:hAnsi="Times New Roman" w:cs="Times New Roman" w:eastAsiaTheme="minorEastAsia"/>
                <w:color w:val="auto"/>
                <w:kern w:val="2"/>
                <w:sz w:val="24"/>
                <w:szCs w:val="24"/>
                <w:lang w:val="en-US" w:eastAsia="zh-CN" w:bidi="ar-SA"/>
              </w:rPr>
              <w:t>炉渣</w:t>
            </w:r>
          </w:p>
        </w:tc>
        <w:tc>
          <w:tcPr>
            <w:tcW w:w="470" w:type="pct"/>
            <w:vAlign w:val="center"/>
          </w:tcPr>
          <w:p w14:paraId="73FF5A9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08D57E8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21DACB8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44A818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55.72</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0752E7B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40B75A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55.72</w:t>
            </w:r>
            <w:r>
              <w:rPr>
                <w:rFonts w:hint="default" w:ascii="Times New Roman" w:hAnsi="Times New Roman" w:cs="Times New Roman" w:eastAsiaTheme="minorEastAsia"/>
                <w:snapToGrid w:val="0"/>
                <w:color w:val="auto"/>
                <w:kern w:val="21"/>
                <w:sz w:val="24"/>
                <w:szCs w:val="24"/>
                <w:lang w:val="en-US" w:eastAsia="zh-CN"/>
              </w:rPr>
              <w:t>t/a</w:t>
            </w:r>
          </w:p>
        </w:tc>
        <w:tc>
          <w:tcPr>
            <w:tcW w:w="573" w:type="pct"/>
            <w:shd w:val="clear" w:color="auto" w:fill="auto"/>
            <w:vAlign w:val="center"/>
          </w:tcPr>
          <w:p w14:paraId="04AEE0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+55.72</w:t>
            </w:r>
            <w:r>
              <w:rPr>
                <w:rFonts w:hint="default" w:ascii="Times New Roman" w:hAnsi="Times New Roman" w:cs="Times New Roman" w:eastAsiaTheme="minorEastAsia"/>
                <w:snapToGrid w:val="0"/>
                <w:color w:val="auto"/>
                <w:kern w:val="21"/>
                <w:sz w:val="24"/>
                <w:szCs w:val="24"/>
                <w:lang w:val="en-US" w:eastAsia="zh-CN"/>
              </w:rPr>
              <w:t>t/a</w:t>
            </w:r>
          </w:p>
        </w:tc>
      </w:tr>
      <w:tr w14:paraId="25DF0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0" w:type="pct"/>
            <w:vMerge w:val="continue"/>
            <w:vAlign w:val="center"/>
          </w:tcPr>
          <w:p w14:paraId="3F8D241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785" w:type="pct"/>
            <w:shd w:val="clear" w:color="auto" w:fill="auto"/>
            <w:vAlign w:val="center"/>
          </w:tcPr>
          <w:p w14:paraId="3A883AC6">
            <w:pPr>
              <w:pStyle w:val="2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eastAsiaTheme="minorEastAsia"/>
                <w:color w:val="auto"/>
                <w:kern w:val="2"/>
                <w:sz w:val="24"/>
                <w:szCs w:val="24"/>
                <w:lang w:val="en-US" w:eastAsia="zh-CN" w:bidi="ar-SA"/>
              </w:rPr>
              <w:t>一体化污水处理设施和化粪池污泥</w:t>
            </w:r>
          </w:p>
        </w:tc>
        <w:tc>
          <w:tcPr>
            <w:tcW w:w="470" w:type="pct"/>
            <w:vAlign w:val="center"/>
          </w:tcPr>
          <w:p w14:paraId="44ABE8D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4D94050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7646EAE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3D59B2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4C8DBDD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1A177E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c>
          <w:tcPr>
            <w:tcW w:w="573" w:type="pct"/>
            <w:shd w:val="clear" w:color="auto" w:fill="auto"/>
            <w:vAlign w:val="center"/>
          </w:tcPr>
          <w:p w14:paraId="546B8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r>
      <w:tr w14:paraId="5E1465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490" w:type="pct"/>
            <w:vMerge w:val="continue"/>
            <w:vAlign w:val="center"/>
          </w:tcPr>
          <w:p w14:paraId="3082284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785" w:type="pct"/>
            <w:shd w:val="clear" w:color="auto" w:fill="auto"/>
            <w:vAlign w:val="center"/>
          </w:tcPr>
          <w:p w14:paraId="25A6DBF6">
            <w:pPr>
              <w:pStyle w:val="2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含油废弃抹布和劳保用品</w:t>
            </w:r>
          </w:p>
        </w:tc>
        <w:tc>
          <w:tcPr>
            <w:tcW w:w="470" w:type="pct"/>
            <w:vAlign w:val="center"/>
          </w:tcPr>
          <w:p w14:paraId="4A02ED3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715A56B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55DC4E4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7A8427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少量</w:t>
            </w:r>
          </w:p>
        </w:tc>
        <w:tc>
          <w:tcPr>
            <w:tcW w:w="466" w:type="pct"/>
            <w:vAlign w:val="center"/>
          </w:tcPr>
          <w:p w14:paraId="775E3203">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6EA30B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少量</w:t>
            </w:r>
          </w:p>
        </w:tc>
        <w:tc>
          <w:tcPr>
            <w:tcW w:w="573" w:type="pct"/>
            <w:shd w:val="clear" w:color="auto" w:fill="auto"/>
            <w:vAlign w:val="center"/>
          </w:tcPr>
          <w:p w14:paraId="23474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sz w:val="24"/>
                <w:szCs w:val="24"/>
                <w:lang w:val="en-US" w:eastAsia="zh-CN"/>
              </w:rPr>
            </w:pPr>
            <w:r>
              <w:rPr>
                <w:rFonts w:hint="eastAsia" w:cs="Times New Roman" w:eastAsiaTheme="minorEastAsia"/>
                <w:b w:val="0"/>
                <w:bCs w:val="0"/>
                <w:color w:val="auto"/>
                <w:sz w:val="24"/>
                <w:szCs w:val="24"/>
                <w:lang w:val="en-US" w:eastAsia="zh-CN"/>
              </w:rPr>
              <w:t>少量</w:t>
            </w:r>
          </w:p>
        </w:tc>
      </w:tr>
      <w:tr w14:paraId="04BDB1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90" w:type="pct"/>
            <w:vMerge w:val="continue"/>
            <w:vAlign w:val="center"/>
          </w:tcPr>
          <w:p w14:paraId="4C0935D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785" w:type="pct"/>
            <w:shd w:val="clear" w:color="auto" w:fill="auto"/>
            <w:vAlign w:val="center"/>
          </w:tcPr>
          <w:p w14:paraId="4181948D">
            <w:pPr>
              <w:pStyle w:val="21"/>
              <w:keepNext w:val="0"/>
              <w:keepLines w:val="0"/>
              <w:pageBreakBefore w:val="0"/>
              <w:widowControl w:val="0"/>
              <w:kinsoku/>
              <w:wordWrap/>
              <w:overflowPunct/>
              <w:topLinePunct w:val="0"/>
              <w:autoSpaceDE/>
              <w:autoSpaceDN/>
              <w:bidi w:val="0"/>
              <w:adjustRightInd/>
              <w:snapToGrid/>
              <w:spacing w:beforeLines="0" w:afterLines="0" w:line="240" w:lineRule="auto"/>
              <w:ind w:left="0" w:leftChars="0" w:firstLine="0" w:firstLineChars="0"/>
              <w:jc w:val="center"/>
              <w:textAlignment w:val="auto"/>
              <w:rPr>
                <w:rFonts w:hint="default" w:ascii="Times New Roman" w:hAnsi="Times New Roman" w:cs="Times New Roman" w:eastAsiaTheme="minorEastAsia"/>
                <w:color w:val="auto"/>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废离子交换树脂</w:t>
            </w:r>
          </w:p>
        </w:tc>
        <w:tc>
          <w:tcPr>
            <w:tcW w:w="470" w:type="pct"/>
            <w:vAlign w:val="center"/>
          </w:tcPr>
          <w:p w14:paraId="1995B14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05FCB890">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49C48982">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0182EA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771A9F5F">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54C5A6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c>
          <w:tcPr>
            <w:tcW w:w="573" w:type="pct"/>
            <w:shd w:val="clear" w:color="auto" w:fill="auto"/>
            <w:vAlign w:val="center"/>
          </w:tcPr>
          <w:p w14:paraId="5A4C9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r>
      <w:tr w14:paraId="107A4D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490" w:type="pct"/>
            <w:vMerge w:val="continue"/>
            <w:vAlign w:val="center"/>
          </w:tcPr>
          <w:p w14:paraId="25AE714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p>
        </w:tc>
        <w:tc>
          <w:tcPr>
            <w:tcW w:w="785" w:type="pct"/>
            <w:shd w:val="clear" w:color="auto" w:fill="auto"/>
            <w:vAlign w:val="center"/>
          </w:tcPr>
          <w:p w14:paraId="1B9AB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生活垃圾</w:t>
            </w:r>
          </w:p>
        </w:tc>
        <w:tc>
          <w:tcPr>
            <w:tcW w:w="470" w:type="pct"/>
            <w:vAlign w:val="center"/>
          </w:tcPr>
          <w:p w14:paraId="535A4C1E">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68B8CDAA">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2E708E78">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327181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0.9</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4BB62A67">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34C3A9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0.9</w:t>
            </w:r>
            <w:r>
              <w:rPr>
                <w:rFonts w:hint="default" w:ascii="Times New Roman" w:hAnsi="Times New Roman" w:cs="Times New Roman" w:eastAsiaTheme="minorEastAsia"/>
                <w:snapToGrid w:val="0"/>
                <w:color w:val="auto"/>
                <w:kern w:val="21"/>
                <w:sz w:val="24"/>
                <w:szCs w:val="24"/>
                <w:lang w:val="en-US" w:eastAsia="zh-CN"/>
              </w:rPr>
              <w:t>t/a</w:t>
            </w:r>
          </w:p>
        </w:tc>
        <w:tc>
          <w:tcPr>
            <w:tcW w:w="573" w:type="pct"/>
            <w:shd w:val="clear" w:color="auto" w:fill="auto"/>
            <w:vAlign w:val="center"/>
          </w:tcPr>
          <w:p w14:paraId="5C16F1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+0.9</w:t>
            </w:r>
            <w:r>
              <w:rPr>
                <w:rFonts w:hint="default" w:ascii="Times New Roman" w:hAnsi="Times New Roman" w:cs="Times New Roman" w:eastAsiaTheme="minorEastAsia"/>
                <w:snapToGrid w:val="0"/>
                <w:color w:val="auto"/>
                <w:kern w:val="21"/>
                <w:sz w:val="24"/>
                <w:szCs w:val="24"/>
                <w:lang w:val="en-US" w:eastAsia="zh-CN"/>
              </w:rPr>
              <w:t>t/a</w:t>
            </w:r>
          </w:p>
        </w:tc>
      </w:tr>
      <w:tr w14:paraId="61AA6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90" w:type="pct"/>
            <w:vMerge w:val="restart"/>
            <w:vAlign w:val="center"/>
          </w:tcPr>
          <w:p w14:paraId="5E9F639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highlight w:val="none"/>
              </w:rPr>
              <w:t>危险废物</w:t>
            </w:r>
          </w:p>
        </w:tc>
        <w:tc>
          <w:tcPr>
            <w:tcW w:w="785" w:type="pct"/>
            <w:shd w:val="clear" w:color="auto" w:fill="auto"/>
            <w:vAlign w:val="center"/>
          </w:tcPr>
          <w:p w14:paraId="71CC6A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废机油</w:t>
            </w:r>
          </w:p>
        </w:tc>
        <w:tc>
          <w:tcPr>
            <w:tcW w:w="470" w:type="pct"/>
            <w:vAlign w:val="center"/>
          </w:tcPr>
          <w:p w14:paraId="60792479">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287F5F7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057FB451">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0AA0FD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588A38FD">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highlight w:val="none"/>
                <w:lang w:val="en-US" w:eastAsia="zh-CN"/>
              </w:rPr>
            </w:pPr>
            <w:r>
              <w:rPr>
                <w:rFonts w:hint="default" w:ascii="Times New Roman" w:hAnsi="Times New Roman" w:cs="Times New Roman" w:eastAsiaTheme="minorEastAsia"/>
                <w:snapToGrid w:val="0"/>
                <w:color w:val="auto"/>
                <w:kern w:val="21"/>
                <w:sz w:val="24"/>
                <w:szCs w:val="24"/>
              </w:rPr>
              <w:t>/</w:t>
            </w:r>
          </w:p>
        </w:tc>
        <w:tc>
          <w:tcPr>
            <w:tcW w:w="695" w:type="pct"/>
            <w:shd w:val="clear" w:color="auto" w:fill="auto"/>
            <w:vAlign w:val="center"/>
          </w:tcPr>
          <w:p w14:paraId="6266A7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c>
          <w:tcPr>
            <w:tcW w:w="573" w:type="pct"/>
            <w:shd w:val="clear" w:color="auto" w:fill="auto"/>
            <w:vAlign w:val="center"/>
          </w:tcPr>
          <w:p w14:paraId="0C7053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+0.1</w:t>
            </w:r>
            <w:r>
              <w:rPr>
                <w:rFonts w:hint="default" w:ascii="Times New Roman" w:hAnsi="Times New Roman" w:cs="Times New Roman" w:eastAsiaTheme="minorEastAsia"/>
                <w:snapToGrid w:val="0"/>
                <w:color w:val="auto"/>
                <w:kern w:val="21"/>
                <w:sz w:val="24"/>
                <w:szCs w:val="24"/>
                <w:lang w:val="en-US" w:eastAsia="zh-CN"/>
              </w:rPr>
              <w:t>t/a</w:t>
            </w:r>
          </w:p>
        </w:tc>
      </w:tr>
      <w:tr w14:paraId="7C78F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490" w:type="pct"/>
            <w:vMerge w:val="continue"/>
            <w:vAlign w:val="center"/>
          </w:tcPr>
          <w:p w14:paraId="4CB0E1D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p>
        </w:tc>
        <w:tc>
          <w:tcPr>
            <w:tcW w:w="785" w:type="pct"/>
            <w:shd w:val="clear" w:color="auto" w:fill="auto"/>
            <w:vAlign w:val="center"/>
          </w:tcPr>
          <w:p w14:paraId="50474E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废活性炭</w:t>
            </w:r>
          </w:p>
        </w:tc>
        <w:tc>
          <w:tcPr>
            <w:tcW w:w="470" w:type="pct"/>
            <w:vAlign w:val="center"/>
          </w:tcPr>
          <w:p w14:paraId="39F2F1C4">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414" w:type="pct"/>
            <w:vAlign w:val="center"/>
          </w:tcPr>
          <w:p w14:paraId="38868A46">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14" w:type="pct"/>
            <w:vAlign w:val="center"/>
          </w:tcPr>
          <w:p w14:paraId="43DB2775">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rPr>
            </w:pPr>
            <w:r>
              <w:rPr>
                <w:rFonts w:hint="default" w:ascii="Times New Roman" w:hAnsi="Times New Roman" w:cs="Times New Roman" w:eastAsiaTheme="minorEastAsia"/>
                <w:snapToGrid w:val="0"/>
                <w:color w:val="auto"/>
                <w:kern w:val="21"/>
                <w:sz w:val="24"/>
                <w:szCs w:val="24"/>
              </w:rPr>
              <w:t>/</w:t>
            </w:r>
          </w:p>
        </w:tc>
        <w:tc>
          <w:tcPr>
            <w:tcW w:w="588" w:type="pct"/>
            <w:shd w:val="clear" w:color="auto" w:fill="auto"/>
            <w:vAlign w:val="center"/>
          </w:tcPr>
          <w:p w14:paraId="19EA5C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1.08</w:t>
            </w:r>
            <w:r>
              <w:rPr>
                <w:rFonts w:hint="default" w:ascii="Times New Roman" w:hAnsi="Times New Roman" w:cs="Times New Roman" w:eastAsiaTheme="minorEastAsia"/>
                <w:snapToGrid w:val="0"/>
                <w:color w:val="auto"/>
                <w:kern w:val="21"/>
                <w:sz w:val="24"/>
                <w:szCs w:val="24"/>
                <w:lang w:val="en-US" w:eastAsia="zh-CN"/>
              </w:rPr>
              <w:t>t/a</w:t>
            </w:r>
          </w:p>
        </w:tc>
        <w:tc>
          <w:tcPr>
            <w:tcW w:w="466" w:type="pct"/>
            <w:vAlign w:val="center"/>
          </w:tcPr>
          <w:p w14:paraId="778709FC">
            <w:pPr>
              <w:pStyle w:val="45"/>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cs="Times New Roman" w:eastAsiaTheme="minorEastAsia"/>
                <w:snapToGrid w:val="0"/>
                <w:color w:val="auto"/>
                <w:kern w:val="21"/>
                <w:sz w:val="24"/>
                <w:szCs w:val="24"/>
                <w:lang w:val="en-US" w:eastAsia="zh-CN"/>
              </w:rPr>
            </w:pPr>
            <w:r>
              <w:rPr>
                <w:rFonts w:hint="default" w:ascii="Times New Roman" w:hAnsi="Times New Roman" w:cs="Times New Roman" w:eastAsiaTheme="minorEastAsia"/>
                <w:snapToGrid w:val="0"/>
                <w:color w:val="auto"/>
                <w:kern w:val="21"/>
                <w:sz w:val="24"/>
                <w:szCs w:val="24"/>
                <w:lang w:val="en-US" w:eastAsia="zh-CN"/>
              </w:rPr>
              <w:t>/</w:t>
            </w:r>
          </w:p>
        </w:tc>
        <w:tc>
          <w:tcPr>
            <w:tcW w:w="695" w:type="pct"/>
            <w:shd w:val="clear" w:color="auto" w:fill="auto"/>
            <w:vAlign w:val="center"/>
          </w:tcPr>
          <w:p w14:paraId="3D220A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1.08</w:t>
            </w:r>
            <w:r>
              <w:rPr>
                <w:rFonts w:hint="default" w:ascii="Times New Roman" w:hAnsi="Times New Roman" w:cs="Times New Roman" w:eastAsiaTheme="minorEastAsia"/>
                <w:snapToGrid w:val="0"/>
                <w:color w:val="auto"/>
                <w:kern w:val="21"/>
                <w:sz w:val="24"/>
                <w:szCs w:val="24"/>
                <w:lang w:val="en-US" w:eastAsia="zh-CN"/>
              </w:rPr>
              <w:t>t/a</w:t>
            </w:r>
          </w:p>
        </w:tc>
        <w:tc>
          <w:tcPr>
            <w:tcW w:w="573" w:type="pct"/>
            <w:shd w:val="clear" w:color="auto" w:fill="auto"/>
            <w:vAlign w:val="center"/>
          </w:tcPr>
          <w:p w14:paraId="559303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sz w:val="24"/>
                <w:szCs w:val="24"/>
                <w:lang w:val="en-US" w:eastAsia="zh-CN"/>
              </w:rPr>
              <w:t>+1.08</w:t>
            </w:r>
            <w:r>
              <w:rPr>
                <w:rFonts w:hint="default" w:ascii="Times New Roman" w:hAnsi="Times New Roman" w:cs="Times New Roman" w:eastAsiaTheme="minorEastAsia"/>
                <w:snapToGrid w:val="0"/>
                <w:color w:val="auto"/>
                <w:kern w:val="21"/>
                <w:sz w:val="24"/>
                <w:szCs w:val="24"/>
                <w:lang w:val="en-US" w:eastAsia="zh-CN"/>
              </w:rPr>
              <w:t>t/a</w:t>
            </w:r>
          </w:p>
        </w:tc>
      </w:tr>
    </w:tbl>
    <w:p w14:paraId="41BEA425">
      <w:pPr>
        <w:ind w:firstLine="0" w:firstLineChars="0"/>
        <w:jc w:val="left"/>
        <w:rPr>
          <w:color w:val="auto"/>
        </w:rPr>
      </w:pPr>
      <w:r>
        <w:rPr>
          <w:rFonts w:hint="default" w:ascii="Times New Roman" w:hAnsi="Times New Roman" w:cs="Times New Roman"/>
          <w:color w:val="auto"/>
        </w:rPr>
        <w:t>注：⑥=①+③+④-⑤；⑦=⑥-①</w:t>
      </w:r>
    </w:p>
    <w:p w14:paraId="538DD6ED">
      <w:pPr>
        <w:rPr>
          <w:color w:val="auto"/>
        </w:rPr>
      </w:pPr>
    </w:p>
    <w:sectPr>
      <w:pgSz w:w="16838" w:h="11906" w:orient="landscape"/>
      <w:pgMar w:top="1800" w:right="1440" w:bottom="1800" w:left="1440"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楷体_GBK">
    <w:panose1 w:val="03000509000000000000"/>
    <w:charset w:val="86"/>
    <w:family w:val="script"/>
    <w:pitch w:val="default"/>
    <w:sig w:usb0="00000001" w:usb1="080E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D2CD5">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CC54D">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CB2E9">
    <w:pPr>
      <w:pStyle w:val="26"/>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1E0C23">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91E0C23">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5918">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1F70B5"/>
    <w:multiLevelType w:val="singleLevel"/>
    <w:tmpl w:val="A61F70B5"/>
    <w:lvl w:ilvl="0" w:tentative="0">
      <w:start w:val="4"/>
      <w:numFmt w:val="decimal"/>
      <w:suff w:val="nothing"/>
      <w:lvlText w:val="（%1）"/>
      <w:lvlJc w:val="left"/>
    </w:lvl>
  </w:abstractNum>
  <w:abstractNum w:abstractNumId="1">
    <w:nsid w:val="B57085E6"/>
    <w:multiLevelType w:val="singleLevel"/>
    <w:tmpl w:val="B57085E6"/>
    <w:lvl w:ilvl="0" w:tentative="0">
      <w:start w:val="5"/>
      <w:numFmt w:val="chineseCounting"/>
      <w:suff w:val="nothing"/>
      <w:lvlText w:val="%1、"/>
      <w:lvlJc w:val="left"/>
      <w:rPr>
        <w:rFonts w:hint="eastAsia"/>
      </w:rPr>
    </w:lvl>
  </w:abstractNum>
  <w:abstractNum w:abstractNumId="2">
    <w:nsid w:val="B6FF95E1"/>
    <w:multiLevelType w:val="singleLevel"/>
    <w:tmpl w:val="B6FF95E1"/>
    <w:lvl w:ilvl="0" w:tentative="0">
      <w:start w:val="1"/>
      <w:numFmt w:val="bullet"/>
      <w:pStyle w:val="24"/>
      <w:lvlText w:val=""/>
      <w:lvlJc w:val="left"/>
      <w:pPr>
        <w:tabs>
          <w:tab w:val="left" w:pos="2040"/>
        </w:tabs>
        <w:ind w:left="2040" w:hanging="360"/>
      </w:pPr>
      <w:rPr>
        <w:rFonts w:hint="default" w:ascii="Wingdings" w:hAnsi="Wingdings"/>
      </w:rPr>
    </w:lvl>
  </w:abstractNum>
  <w:abstractNum w:abstractNumId="3">
    <w:nsid w:val="F3A5377C"/>
    <w:multiLevelType w:val="singleLevel"/>
    <w:tmpl w:val="F3A5377C"/>
    <w:lvl w:ilvl="0" w:tentative="0">
      <w:start w:val="1"/>
      <w:numFmt w:val="decimal"/>
      <w:suff w:val="space"/>
      <w:lvlText w:val="%1."/>
      <w:lvlJc w:val="left"/>
    </w:lvl>
  </w:abstractNum>
  <w:abstractNum w:abstractNumId="4">
    <w:nsid w:val="FDF5236C"/>
    <w:multiLevelType w:val="singleLevel"/>
    <w:tmpl w:val="FDF5236C"/>
    <w:lvl w:ilvl="0" w:tentative="0">
      <w:start w:val="3"/>
      <w:numFmt w:val="decimal"/>
      <w:suff w:val="nothing"/>
      <w:lvlText w:val="%1）"/>
      <w:lvlJc w:val="left"/>
    </w:lvl>
  </w:abstractNum>
  <w:abstractNum w:abstractNumId="5">
    <w:nsid w:val="1E869A55"/>
    <w:multiLevelType w:val="singleLevel"/>
    <w:tmpl w:val="1E869A55"/>
    <w:lvl w:ilvl="0" w:tentative="0">
      <w:start w:val="1"/>
      <w:numFmt w:val="chineseCounting"/>
      <w:suff w:val="nothing"/>
      <w:lvlText w:val="（%1）"/>
      <w:lvlJc w:val="left"/>
      <w:rPr>
        <w:rFonts w:hint="eastAsia"/>
      </w:rPr>
    </w:lvl>
  </w:abstractNum>
  <w:abstractNum w:abstractNumId="6">
    <w:nsid w:val="3DFD2211"/>
    <w:multiLevelType w:val="multilevel"/>
    <w:tmpl w:val="3DFD2211"/>
    <w:lvl w:ilvl="0" w:tentative="0">
      <w:start w:val="1"/>
      <w:numFmt w:val="decimal"/>
      <w:lvlText w:val="%1."/>
      <w:lvlJc w:val="left"/>
      <w:pPr>
        <w:ind w:left="425" w:hanging="425"/>
      </w:pPr>
      <w:rPr>
        <w:rFonts w:hint="default"/>
      </w:rPr>
    </w:lvl>
    <w:lvl w:ilvl="1" w:tentative="0">
      <w:start w:val="1"/>
      <w:numFmt w:val="decimal"/>
      <w:pStyle w:val="90"/>
      <w:lvlText w:val="表3-%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683B7576"/>
    <w:multiLevelType w:val="multilevel"/>
    <w:tmpl w:val="683B7576"/>
    <w:lvl w:ilvl="0" w:tentative="0">
      <w:start w:val="1"/>
      <w:numFmt w:val="decimal"/>
      <w:pStyle w:val="59"/>
      <w:lvlText w:val="%1"/>
      <w:lvlJc w:val="center"/>
      <w:pPr>
        <w:ind w:left="420" w:hanging="25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7"/>
  </w:num>
  <w:num w:numId="3">
    <w:abstractNumId w:val="6"/>
  </w:num>
  <w:num w:numId="4">
    <w:abstractNumId w:val="3"/>
  </w:num>
  <w:num w:numId="5">
    <w:abstractNumId w:val="5"/>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lmYTRhNzQxMWQ5MmRlYTkzMzcyNjZhMTVjNmRjYTQifQ=="/>
  </w:docVars>
  <w:rsids>
    <w:rsidRoot w:val="00172A27"/>
    <w:rsid w:val="000C52AA"/>
    <w:rsid w:val="0013735D"/>
    <w:rsid w:val="00172A27"/>
    <w:rsid w:val="001B3201"/>
    <w:rsid w:val="00291665"/>
    <w:rsid w:val="002A63FD"/>
    <w:rsid w:val="002B1068"/>
    <w:rsid w:val="002B328B"/>
    <w:rsid w:val="00386FB5"/>
    <w:rsid w:val="003D5C2E"/>
    <w:rsid w:val="003E5B6D"/>
    <w:rsid w:val="004A2755"/>
    <w:rsid w:val="005638FA"/>
    <w:rsid w:val="0057386C"/>
    <w:rsid w:val="006B636B"/>
    <w:rsid w:val="006E5E2B"/>
    <w:rsid w:val="00776180"/>
    <w:rsid w:val="007C743F"/>
    <w:rsid w:val="0083050D"/>
    <w:rsid w:val="00833313"/>
    <w:rsid w:val="00866A89"/>
    <w:rsid w:val="00885A6C"/>
    <w:rsid w:val="00A24607"/>
    <w:rsid w:val="00A414D1"/>
    <w:rsid w:val="00A46FCB"/>
    <w:rsid w:val="00AC2173"/>
    <w:rsid w:val="00AC31F5"/>
    <w:rsid w:val="00AD7DC8"/>
    <w:rsid w:val="00B25C71"/>
    <w:rsid w:val="00B90973"/>
    <w:rsid w:val="00BF50C8"/>
    <w:rsid w:val="00CA47B1"/>
    <w:rsid w:val="00CD4D6D"/>
    <w:rsid w:val="00CE4330"/>
    <w:rsid w:val="00D01876"/>
    <w:rsid w:val="00D170FC"/>
    <w:rsid w:val="00D3518F"/>
    <w:rsid w:val="00E04200"/>
    <w:rsid w:val="00E35C4A"/>
    <w:rsid w:val="00E645F8"/>
    <w:rsid w:val="00F260E2"/>
    <w:rsid w:val="00FC76D5"/>
    <w:rsid w:val="01253372"/>
    <w:rsid w:val="0160084E"/>
    <w:rsid w:val="017165B7"/>
    <w:rsid w:val="01785B59"/>
    <w:rsid w:val="01E052EF"/>
    <w:rsid w:val="023620F5"/>
    <w:rsid w:val="023A619D"/>
    <w:rsid w:val="024261A6"/>
    <w:rsid w:val="02493090"/>
    <w:rsid w:val="024F5810"/>
    <w:rsid w:val="025A0035"/>
    <w:rsid w:val="02691984"/>
    <w:rsid w:val="027573F1"/>
    <w:rsid w:val="02AB5AF9"/>
    <w:rsid w:val="02C62933"/>
    <w:rsid w:val="02C866AB"/>
    <w:rsid w:val="02FA559D"/>
    <w:rsid w:val="036B5288"/>
    <w:rsid w:val="038E7F70"/>
    <w:rsid w:val="03BB1D6C"/>
    <w:rsid w:val="03BE74E4"/>
    <w:rsid w:val="049C7AC5"/>
    <w:rsid w:val="04A64BD6"/>
    <w:rsid w:val="04C9670A"/>
    <w:rsid w:val="04DC01EC"/>
    <w:rsid w:val="04E15802"/>
    <w:rsid w:val="051B1E0F"/>
    <w:rsid w:val="05542478"/>
    <w:rsid w:val="05543A7C"/>
    <w:rsid w:val="057448C8"/>
    <w:rsid w:val="05986CC9"/>
    <w:rsid w:val="061D2BE7"/>
    <w:rsid w:val="063323F6"/>
    <w:rsid w:val="06426774"/>
    <w:rsid w:val="06450013"/>
    <w:rsid w:val="068467F6"/>
    <w:rsid w:val="06846D8D"/>
    <w:rsid w:val="069F7723"/>
    <w:rsid w:val="06BE76A3"/>
    <w:rsid w:val="06C158EB"/>
    <w:rsid w:val="06D575E9"/>
    <w:rsid w:val="06DA4BFF"/>
    <w:rsid w:val="06ED39C7"/>
    <w:rsid w:val="071A149F"/>
    <w:rsid w:val="073A569E"/>
    <w:rsid w:val="07604774"/>
    <w:rsid w:val="076B5857"/>
    <w:rsid w:val="079B5E86"/>
    <w:rsid w:val="079F2D96"/>
    <w:rsid w:val="07AE6B6B"/>
    <w:rsid w:val="07B92A66"/>
    <w:rsid w:val="07F27D26"/>
    <w:rsid w:val="081A063F"/>
    <w:rsid w:val="08535187"/>
    <w:rsid w:val="08760957"/>
    <w:rsid w:val="088A36CA"/>
    <w:rsid w:val="08B36EF5"/>
    <w:rsid w:val="08E04924"/>
    <w:rsid w:val="0900473C"/>
    <w:rsid w:val="094A79A1"/>
    <w:rsid w:val="09523172"/>
    <w:rsid w:val="09570789"/>
    <w:rsid w:val="09945539"/>
    <w:rsid w:val="09BB76AA"/>
    <w:rsid w:val="09D04097"/>
    <w:rsid w:val="09E62168"/>
    <w:rsid w:val="09E85885"/>
    <w:rsid w:val="0A0A2FD7"/>
    <w:rsid w:val="0A1A1501"/>
    <w:rsid w:val="0A382368"/>
    <w:rsid w:val="0A3D797F"/>
    <w:rsid w:val="0A530095"/>
    <w:rsid w:val="0AA74DF8"/>
    <w:rsid w:val="0AC534D0"/>
    <w:rsid w:val="0AE02867"/>
    <w:rsid w:val="0AE42D88"/>
    <w:rsid w:val="0B031E14"/>
    <w:rsid w:val="0BB579E9"/>
    <w:rsid w:val="0C002B72"/>
    <w:rsid w:val="0C430B50"/>
    <w:rsid w:val="0C4442B8"/>
    <w:rsid w:val="0C4A0131"/>
    <w:rsid w:val="0C5B5542"/>
    <w:rsid w:val="0C63364A"/>
    <w:rsid w:val="0C6A07D3"/>
    <w:rsid w:val="0D1E2B4E"/>
    <w:rsid w:val="0D2278AF"/>
    <w:rsid w:val="0D305C20"/>
    <w:rsid w:val="0D6A6B79"/>
    <w:rsid w:val="0D7A0175"/>
    <w:rsid w:val="0D896A37"/>
    <w:rsid w:val="0D8B67B7"/>
    <w:rsid w:val="0E2A021A"/>
    <w:rsid w:val="0EAC0DA8"/>
    <w:rsid w:val="0ED16099"/>
    <w:rsid w:val="0ED71A24"/>
    <w:rsid w:val="0EDB7766"/>
    <w:rsid w:val="0F4B3EBB"/>
    <w:rsid w:val="0F725054"/>
    <w:rsid w:val="0FC4644C"/>
    <w:rsid w:val="1028084A"/>
    <w:rsid w:val="10294501"/>
    <w:rsid w:val="103E7FAD"/>
    <w:rsid w:val="103F3D25"/>
    <w:rsid w:val="107134FF"/>
    <w:rsid w:val="107514F4"/>
    <w:rsid w:val="108D7572"/>
    <w:rsid w:val="10BE10ED"/>
    <w:rsid w:val="10CA5CE4"/>
    <w:rsid w:val="10FD3096"/>
    <w:rsid w:val="110A60E1"/>
    <w:rsid w:val="111A1AA4"/>
    <w:rsid w:val="112F5DC6"/>
    <w:rsid w:val="1134315E"/>
    <w:rsid w:val="118934A9"/>
    <w:rsid w:val="118F65E6"/>
    <w:rsid w:val="119A6329"/>
    <w:rsid w:val="125606F6"/>
    <w:rsid w:val="127C2C2F"/>
    <w:rsid w:val="128425CD"/>
    <w:rsid w:val="12B17F1B"/>
    <w:rsid w:val="12B55B84"/>
    <w:rsid w:val="12FD6AFC"/>
    <w:rsid w:val="130E16C8"/>
    <w:rsid w:val="131C23FC"/>
    <w:rsid w:val="136F1E65"/>
    <w:rsid w:val="13D510E3"/>
    <w:rsid w:val="13D92A72"/>
    <w:rsid w:val="14025795"/>
    <w:rsid w:val="14076907"/>
    <w:rsid w:val="14180B15"/>
    <w:rsid w:val="14377928"/>
    <w:rsid w:val="144B3333"/>
    <w:rsid w:val="14B7032D"/>
    <w:rsid w:val="14C91E0F"/>
    <w:rsid w:val="14DB4E4E"/>
    <w:rsid w:val="14DE5FC6"/>
    <w:rsid w:val="15054F9B"/>
    <w:rsid w:val="152B1B0C"/>
    <w:rsid w:val="15432B88"/>
    <w:rsid w:val="154D2A40"/>
    <w:rsid w:val="15877D00"/>
    <w:rsid w:val="159929D6"/>
    <w:rsid w:val="15A86440"/>
    <w:rsid w:val="15FB67E9"/>
    <w:rsid w:val="164707AB"/>
    <w:rsid w:val="1680360B"/>
    <w:rsid w:val="169A0EAB"/>
    <w:rsid w:val="16AB2114"/>
    <w:rsid w:val="172A258E"/>
    <w:rsid w:val="172B220C"/>
    <w:rsid w:val="173739A8"/>
    <w:rsid w:val="17407CA5"/>
    <w:rsid w:val="17473311"/>
    <w:rsid w:val="176D1177"/>
    <w:rsid w:val="17850760"/>
    <w:rsid w:val="17CF5BF3"/>
    <w:rsid w:val="17DF4C38"/>
    <w:rsid w:val="18172AEF"/>
    <w:rsid w:val="18BC23B6"/>
    <w:rsid w:val="18D1649C"/>
    <w:rsid w:val="194F3416"/>
    <w:rsid w:val="19650358"/>
    <w:rsid w:val="19793E03"/>
    <w:rsid w:val="19D379B8"/>
    <w:rsid w:val="19D63004"/>
    <w:rsid w:val="19D746CF"/>
    <w:rsid w:val="19DB2D10"/>
    <w:rsid w:val="19DD7858"/>
    <w:rsid w:val="19DF2163"/>
    <w:rsid w:val="19FB2F01"/>
    <w:rsid w:val="1A402B73"/>
    <w:rsid w:val="1A495ECC"/>
    <w:rsid w:val="1A692D82"/>
    <w:rsid w:val="1A8769F4"/>
    <w:rsid w:val="1AA532C5"/>
    <w:rsid w:val="1AD61242"/>
    <w:rsid w:val="1B1A33C4"/>
    <w:rsid w:val="1B250AED"/>
    <w:rsid w:val="1BAF4334"/>
    <w:rsid w:val="1BBB57F5"/>
    <w:rsid w:val="1BCD4E08"/>
    <w:rsid w:val="1BF956CF"/>
    <w:rsid w:val="1C267CAA"/>
    <w:rsid w:val="1C381D54"/>
    <w:rsid w:val="1C3E4FC9"/>
    <w:rsid w:val="1C4E2245"/>
    <w:rsid w:val="1C6A1CAD"/>
    <w:rsid w:val="1C6B3968"/>
    <w:rsid w:val="1C6E7E6B"/>
    <w:rsid w:val="1C8C015E"/>
    <w:rsid w:val="1CAE64BA"/>
    <w:rsid w:val="1CB304A3"/>
    <w:rsid w:val="1CD2070C"/>
    <w:rsid w:val="1D1F6A6C"/>
    <w:rsid w:val="1D415231"/>
    <w:rsid w:val="1DC17025"/>
    <w:rsid w:val="1DFD488C"/>
    <w:rsid w:val="1E4C7D38"/>
    <w:rsid w:val="1E5906A7"/>
    <w:rsid w:val="1E5B01E4"/>
    <w:rsid w:val="1EB759C3"/>
    <w:rsid w:val="1EBF7350"/>
    <w:rsid w:val="1F461EA1"/>
    <w:rsid w:val="1F525822"/>
    <w:rsid w:val="1F6F087E"/>
    <w:rsid w:val="1F772A3E"/>
    <w:rsid w:val="1F821EDD"/>
    <w:rsid w:val="1F88258D"/>
    <w:rsid w:val="1FA47700"/>
    <w:rsid w:val="1FA92F69"/>
    <w:rsid w:val="1FA94D17"/>
    <w:rsid w:val="1FBE4C66"/>
    <w:rsid w:val="1FE6617D"/>
    <w:rsid w:val="203A616A"/>
    <w:rsid w:val="205B4D92"/>
    <w:rsid w:val="208F145D"/>
    <w:rsid w:val="20E64474"/>
    <w:rsid w:val="21025026"/>
    <w:rsid w:val="210C4B81"/>
    <w:rsid w:val="2124660D"/>
    <w:rsid w:val="213276BA"/>
    <w:rsid w:val="215018EE"/>
    <w:rsid w:val="21823C0B"/>
    <w:rsid w:val="21DF2C72"/>
    <w:rsid w:val="21FB7C8E"/>
    <w:rsid w:val="21FE4862"/>
    <w:rsid w:val="222F1E4B"/>
    <w:rsid w:val="22807704"/>
    <w:rsid w:val="232E3EB1"/>
    <w:rsid w:val="23867849"/>
    <w:rsid w:val="23DD32F6"/>
    <w:rsid w:val="24066BDB"/>
    <w:rsid w:val="24242183"/>
    <w:rsid w:val="244020ED"/>
    <w:rsid w:val="246032AD"/>
    <w:rsid w:val="246456B0"/>
    <w:rsid w:val="2496286C"/>
    <w:rsid w:val="24A41649"/>
    <w:rsid w:val="24BB5C18"/>
    <w:rsid w:val="25070E5D"/>
    <w:rsid w:val="253D487F"/>
    <w:rsid w:val="25476E30"/>
    <w:rsid w:val="257162D7"/>
    <w:rsid w:val="25A05A71"/>
    <w:rsid w:val="25DC7319"/>
    <w:rsid w:val="25EF0DD5"/>
    <w:rsid w:val="261B73BC"/>
    <w:rsid w:val="263A2B6C"/>
    <w:rsid w:val="2654589A"/>
    <w:rsid w:val="267829F8"/>
    <w:rsid w:val="26995227"/>
    <w:rsid w:val="26CD39E1"/>
    <w:rsid w:val="26DA7CC8"/>
    <w:rsid w:val="273E043A"/>
    <w:rsid w:val="27545CBD"/>
    <w:rsid w:val="2777374E"/>
    <w:rsid w:val="277C7C54"/>
    <w:rsid w:val="27856069"/>
    <w:rsid w:val="27C9610F"/>
    <w:rsid w:val="27CB67BB"/>
    <w:rsid w:val="27EB0254"/>
    <w:rsid w:val="27F06652"/>
    <w:rsid w:val="27F76AAA"/>
    <w:rsid w:val="28940A26"/>
    <w:rsid w:val="28A66EF9"/>
    <w:rsid w:val="28E06A1B"/>
    <w:rsid w:val="290832A9"/>
    <w:rsid w:val="293124F7"/>
    <w:rsid w:val="29425C50"/>
    <w:rsid w:val="297F369E"/>
    <w:rsid w:val="298962E5"/>
    <w:rsid w:val="299407E6"/>
    <w:rsid w:val="29A37D6F"/>
    <w:rsid w:val="29C42E79"/>
    <w:rsid w:val="29D6334A"/>
    <w:rsid w:val="2A173322"/>
    <w:rsid w:val="2A431A0B"/>
    <w:rsid w:val="2A862448"/>
    <w:rsid w:val="2B1111F7"/>
    <w:rsid w:val="2B45448D"/>
    <w:rsid w:val="2B5905BB"/>
    <w:rsid w:val="2B9E76FA"/>
    <w:rsid w:val="2BCA6741"/>
    <w:rsid w:val="2BF8505C"/>
    <w:rsid w:val="2C132596"/>
    <w:rsid w:val="2C1B1B52"/>
    <w:rsid w:val="2C412EA7"/>
    <w:rsid w:val="2D1C2FCC"/>
    <w:rsid w:val="2D41649D"/>
    <w:rsid w:val="2D6316AE"/>
    <w:rsid w:val="2DAB32A3"/>
    <w:rsid w:val="2DBD655D"/>
    <w:rsid w:val="2DE0224B"/>
    <w:rsid w:val="2DE67B11"/>
    <w:rsid w:val="2E0F43E2"/>
    <w:rsid w:val="2E390E23"/>
    <w:rsid w:val="2E513149"/>
    <w:rsid w:val="2E696838"/>
    <w:rsid w:val="2E7D7A9A"/>
    <w:rsid w:val="2EB931C8"/>
    <w:rsid w:val="2EBA2A9C"/>
    <w:rsid w:val="2EF53AD4"/>
    <w:rsid w:val="2F2C5070"/>
    <w:rsid w:val="2F5C391C"/>
    <w:rsid w:val="2F5F53F2"/>
    <w:rsid w:val="2FA23C5C"/>
    <w:rsid w:val="2FE33A3E"/>
    <w:rsid w:val="30006BD5"/>
    <w:rsid w:val="307750E9"/>
    <w:rsid w:val="307B14CA"/>
    <w:rsid w:val="308C0468"/>
    <w:rsid w:val="30B5761C"/>
    <w:rsid w:val="30D2231F"/>
    <w:rsid w:val="30D54712"/>
    <w:rsid w:val="310658A8"/>
    <w:rsid w:val="312F0460"/>
    <w:rsid w:val="31374F07"/>
    <w:rsid w:val="313C59EB"/>
    <w:rsid w:val="31937CDE"/>
    <w:rsid w:val="31BB7257"/>
    <w:rsid w:val="31D9377A"/>
    <w:rsid w:val="31DC565C"/>
    <w:rsid w:val="31DF6550"/>
    <w:rsid w:val="31E64538"/>
    <w:rsid w:val="31F44517"/>
    <w:rsid w:val="32222E32"/>
    <w:rsid w:val="322E5C7B"/>
    <w:rsid w:val="324D7C39"/>
    <w:rsid w:val="32537490"/>
    <w:rsid w:val="325E4C4C"/>
    <w:rsid w:val="327D3308"/>
    <w:rsid w:val="32B35E00"/>
    <w:rsid w:val="32ED6C2C"/>
    <w:rsid w:val="33244988"/>
    <w:rsid w:val="33430E83"/>
    <w:rsid w:val="337F21AD"/>
    <w:rsid w:val="339C4E66"/>
    <w:rsid w:val="33AB6B62"/>
    <w:rsid w:val="33E31994"/>
    <w:rsid w:val="346C07FD"/>
    <w:rsid w:val="34825181"/>
    <w:rsid w:val="34CA6D0D"/>
    <w:rsid w:val="34CF6B76"/>
    <w:rsid w:val="34ED5335"/>
    <w:rsid w:val="34FB5BBD"/>
    <w:rsid w:val="351B730E"/>
    <w:rsid w:val="353077F4"/>
    <w:rsid w:val="354C23CF"/>
    <w:rsid w:val="35996A0E"/>
    <w:rsid w:val="35B51550"/>
    <w:rsid w:val="35B77D36"/>
    <w:rsid w:val="35DF5E07"/>
    <w:rsid w:val="362D7FF8"/>
    <w:rsid w:val="36624145"/>
    <w:rsid w:val="366924F2"/>
    <w:rsid w:val="367E2601"/>
    <w:rsid w:val="368074B5"/>
    <w:rsid w:val="368A71F8"/>
    <w:rsid w:val="36BD5820"/>
    <w:rsid w:val="36D36DF1"/>
    <w:rsid w:val="36E96615"/>
    <w:rsid w:val="36F9612C"/>
    <w:rsid w:val="371E6084"/>
    <w:rsid w:val="37555A58"/>
    <w:rsid w:val="37CA2C1C"/>
    <w:rsid w:val="37E92DD0"/>
    <w:rsid w:val="38366915"/>
    <w:rsid w:val="38625327"/>
    <w:rsid w:val="38A66669"/>
    <w:rsid w:val="38C34C43"/>
    <w:rsid w:val="38DB3D3B"/>
    <w:rsid w:val="38F83426"/>
    <w:rsid w:val="39496332"/>
    <w:rsid w:val="39755F3E"/>
    <w:rsid w:val="39825984"/>
    <w:rsid w:val="39AA4B00"/>
    <w:rsid w:val="39C06C2C"/>
    <w:rsid w:val="3A180F3D"/>
    <w:rsid w:val="3A8C40B2"/>
    <w:rsid w:val="3A940F42"/>
    <w:rsid w:val="3A9A0B8B"/>
    <w:rsid w:val="3AFD7283"/>
    <w:rsid w:val="3B0C45C7"/>
    <w:rsid w:val="3B295232"/>
    <w:rsid w:val="3B5B5607"/>
    <w:rsid w:val="3B7F4E62"/>
    <w:rsid w:val="3B9817AB"/>
    <w:rsid w:val="3BA50AE5"/>
    <w:rsid w:val="3BBB2F06"/>
    <w:rsid w:val="3C277297"/>
    <w:rsid w:val="3C42348F"/>
    <w:rsid w:val="3C6A5B02"/>
    <w:rsid w:val="3CB53363"/>
    <w:rsid w:val="3CCF4271"/>
    <w:rsid w:val="3CEC2801"/>
    <w:rsid w:val="3D0A16C6"/>
    <w:rsid w:val="3D0C5BF5"/>
    <w:rsid w:val="3D17730C"/>
    <w:rsid w:val="3D4A148F"/>
    <w:rsid w:val="3D5B544A"/>
    <w:rsid w:val="3D791099"/>
    <w:rsid w:val="3D8C4848"/>
    <w:rsid w:val="3D9D5A63"/>
    <w:rsid w:val="3DB23F14"/>
    <w:rsid w:val="3DD2289E"/>
    <w:rsid w:val="3E1E2BFE"/>
    <w:rsid w:val="3E522CF1"/>
    <w:rsid w:val="3E7A5925"/>
    <w:rsid w:val="3E810E14"/>
    <w:rsid w:val="3E88226F"/>
    <w:rsid w:val="3EE659E3"/>
    <w:rsid w:val="3F012022"/>
    <w:rsid w:val="3F0833B0"/>
    <w:rsid w:val="3F220916"/>
    <w:rsid w:val="3F4724E2"/>
    <w:rsid w:val="3F582D08"/>
    <w:rsid w:val="3FC37CBE"/>
    <w:rsid w:val="3FEC6175"/>
    <w:rsid w:val="402B55A8"/>
    <w:rsid w:val="403722C4"/>
    <w:rsid w:val="406D585F"/>
    <w:rsid w:val="409F4241"/>
    <w:rsid w:val="40CF0629"/>
    <w:rsid w:val="40DB2B19"/>
    <w:rsid w:val="41840A17"/>
    <w:rsid w:val="41D27521"/>
    <w:rsid w:val="41EE7738"/>
    <w:rsid w:val="41F45E6E"/>
    <w:rsid w:val="422B5D33"/>
    <w:rsid w:val="42C21874"/>
    <w:rsid w:val="42E62F60"/>
    <w:rsid w:val="42E93066"/>
    <w:rsid w:val="43000F6E"/>
    <w:rsid w:val="43174EA2"/>
    <w:rsid w:val="43321EBF"/>
    <w:rsid w:val="43987951"/>
    <w:rsid w:val="43CE0943"/>
    <w:rsid w:val="43E26547"/>
    <w:rsid w:val="4425424B"/>
    <w:rsid w:val="44585C00"/>
    <w:rsid w:val="44935E12"/>
    <w:rsid w:val="44A816D7"/>
    <w:rsid w:val="44B75E57"/>
    <w:rsid w:val="44D53D34"/>
    <w:rsid w:val="44E35051"/>
    <w:rsid w:val="45097968"/>
    <w:rsid w:val="452E275D"/>
    <w:rsid w:val="453155CF"/>
    <w:rsid w:val="45444653"/>
    <w:rsid w:val="457605E2"/>
    <w:rsid w:val="458D771D"/>
    <w:rsid w:val="45930526"/>
    <w:rsid w:val="45A8769B"/>
    <w:rsid w:val="45AA02FB"/>
    <w:rsid w:val="45C63752"/>
    <w:rsid w:val="45E537B9"/>
    <w:rsid w:val="45EE1552"/>
    <w:rsid w:val="4646310A"/>
    <w:rsid w:val="46717A8D"/>
    <w:rsid w:val="46933EA7"/>
    <w:rsid w:val="46E666CD"/>
    <w:rsid w:val="46ED6394"/>
    <w:rsid w:val="46F11B84"/>
    <w:rsid w:val="46F54A94"/>
    <w:rsid w:val="46FD6269"/>
    <w:rsid w:val="4700603B"/>
    <w:rsid w:val="475A5D99"/>
    <w:rsid w:val="478163F5"/>
    <w:rsid w:val="47947ED7"/>
    <w:rsid w:val="47D327AC"/>
    <w:rsid w:val="47F44E19"/>
    <w:rsid w:val="4806696C"/>
    <w:rsid w:val="482A25E9"/>
    <w:rsid w:val="48594C7C"/>
    <w:rsid w:val="489363E0"/>
    <w:rsid w:val="49117C21"/>
    <w:rsid w:val="493327A5"/>
    <w:rsid w:val="494E32A4"/>
    <w:rsid w:val="4968786D"/>
    <w:rsid w:val="49707B29"/>
    <w:rsid w:val="49B4660E"/>
    <w:rsid w:val="49F15273"/>
    <w:rsid w:val="4A5006EC"/>
    <w:rsid w:val="4A86659B"/>
    <w:rsid w:val="4AB205E4"/>
    <w:rsid w:val="4AD10481"/>
    <w:rsid w:val="4AE50A49"/>
    <w:rsid w:val="4B0F6A57"/>
    <w:rsid w:val="4B38326F"/>
    <w:rsid w:val="4B686CC4"/>
    <w:rsid w:val="4BA406A7"/>
    <w:rsid w:val="4BBD5D5F"/>
    <w:rsid w:val="4BC06E0D"/>
    <w:rsid w:val="4BEC5109"/>
    <w:rsid w:val="4C995832"/>
    <w:rsid w:val="4CB242B5"/>
    <w:rsid w:val="4CCE2137"/>
    <w:rsid w:val="4CED0449"/>
    <w:rsid w:val="4D3D7F0E"/>
    <w:rsid w:val="4DB04BB4"/>
    <w:rsid w:val="4DF27705"/>
    <w:rsid w:val="4E085F12"/>
    <w:rsid w:val="4E2B0E50"/>
    <w:rsid w:val="4E435DED"/>
    <w:rsid w:val="4E45017D"/>
    <w:rsid w:val="4E5E5567"/>
    <w:rsid w:val="4E624465"/>
    <w:rsid w:val="4EB765EE"/>
    <w:rsid w:val="4EF32CBD"/>
    <w:rsid w:val="4F0D0A8C"/>
    <w:rsid w:val="4F4930DF"/>
    <w:rsid w:val="4F4E3061"/>
    <w:rsid w:val="4F5236C4"/>
    <w:rsid w:val="4F72619B"/>
    <w:rsid w:val="4FBC3D0F"/>
    <w:rsid w:val="4FC92959"/>
    <w:rsid w:val="4FEB4D54"/>
    <w:rsid w:val="501C315F"/>
    <w:rsid w:val="50670C63"/>
    <w:rsid w:val="507E7A1A"/>
    <w:rsid w:val="50947199"/>
    <w:rsid w:val="50995AFC"/>
    <w:rsid w:val="50D21B35"/>
    <w:rsid w:val="51273B6A"/>
    <w:rsid w:val="515B1A65"/>
    <w:rsid w:val="51646B6C"/>
    <w:rsid w:val="51833C10"/>
    <w:rsid w:val="51A1629D"/>
    <w:rsid w:val="51F36142"/>
    <w:rsid w:val="52304CF0"/>
    <w:rsid w:val="52350C09"/>
    <w:rsid w:val="528F0FF9"/>
    <w:rsid w:val="52BA5EAA"/>
    <w:rsid w:val="52BE405A"/>
    <w:rsid w:val="52C27FEE"/>
    <w:rsid w:val="52CC1B99"/>
    <w:rsid w:val="52F32691"/>
    <w:rsid w:val="53040F24"/>
    <w:rsid w:val="539478C8"/>
    <w:rsid w:val="53A05E55"/>
    <w:rsid w:val="54213643"/>
    <w:rsid w:val="54302D35"/>
    <w:rsid w:val="5443245D"/>
    <w:rsid w:val="547869B3"/>
    <w:rsid w:val="5494097E"/>
    <w:rsid w:val="54A13C33"/>
    <w:rsid w:val="54F97FA7"/>
    <w:rsid w:val="55244849"/>
    <w:rsid w:val="5525381E"/>
    <w:rsid w:val="55676C2B"/>
    <w:rsid w:val="55850EFA"/>
    <w:rsid w:val="558857F9"/>
    <w:rsid w:val="559127F9"/>
    <w:rsid w:val="55991528"/>
    <w:rsid w:val="55A25260"/>
    <w:rsid w:val="55C71477"/>
    <w:rsid w:val="560D00C2"/>
    <w:rsid w:val="563A60ED"/>
    <w:rsid w:val="56D4209E"/>
    <w:rsid w:val="56F619C9"/>
    <w:rsid w:val="570C445A"/>
    <w:rsid w:val="572D2DD3"/>
    <w:rsid w:val="573974DD"/>
    <w:rsid w:val="574865E8"/>
    <w:rsid w:val="574B60D8"/>
    <w:rsid w:val="57622102"/>
    <w:rsid w:val="57790CA6"/>
    <w:rsid w:val="57803FD4"/>
    <w:rsid w:val="57B60ADC"/>
    <w:rsid w:val="57C472EF"/>
    <w:rsid w:val="57C9587D"/>
    <w:rsid w:val="57FF139C"/>
    <w:rsid w:val="581D7A74"/>
    <w:rsid w:val="5851771E"/>
    <w:rsid w:val="58711B6E"/>
    <w:rsid w:val="5875340D"/>
    <w:rsid w:val="58A27F7A"/>
    <w:rsid w:val="58B8779D"/>
    <w:rsid w:val="58D74620"/>
    <w:rsid w:val="58FB664F"/>
    <w:rsid w:val="59103135"/>
    <w:rsid w:val="595A2602"/>
    <w:rsid w:val="59897464"/>
    <w:rsid w:val="59A06760"/>
    <w:rsid w:val="59C53D4A"/>
    <w:rsid w:val="59CD4775"/>
    <w:rsid w:val="59D2488F"/>
    <w:rsid w:val="59F24535"/>
    <w:rsid w:val="5A0A227A"/>
    <w:rsid w:val="5A3F7BAF"/>
    <w:rsid w:val="5A846EE5"/>
    <w:rsid w:val="5A9F72E5"/>
    <w:rsid w:val="5ADB3FD8"/>
    <w:rsid w:val="5AE7736B"/>
    <w:rsid w:val="5B024B2E"/>
    <w:rsid w:val="5B2D4472"/>
    <w:rsid w:val="5B55668C"/>
    <w:rsid w:val="5B7D4360"/>
    <w:rsid w:val="5B873FBF"/>
    <w:rsid w:val="5BBC3D86"/>
    <w:rsid w:val="5C2B156D"/>
    <w:rsid w:val="5C474011"/>
    <w:rsid w:val="5C4749E1"/>
    <w:rsid w:val="5CBD6817"/>
    <w:rsid w:val="5CEF649D"/>
    <w:rsid w:val="5D1F7DEB"/>
    <w:rsid w:val="5D4B5084"/>
    <w:rsid w:val="5D575C2A"/>
    <w:rsid w:val="5D5A0E23"/>
    <w:rsid w:val="5D6A3548"/>
    <w:rsid w:val="5D8660BC"/>
    <w:rsid w:val="5EAA6DDD"/>
    <w:rsid w:val="5EDB6A04"/>
    <w:rsid w:val="5F2979F3"/>
    <w:rsid w:val="5F2D100D"/>
    <w:rsid w:val="5F87573B"/>
    <w:rsid w:val="5FF643C0"/>
    <w:rsid w:val="600F690F"/>
    <w:rsid w:val="60624BBE"/>
    <w:rsid w:val="609C752C"/>
    <w:rsid w:val="60DD4245"/>
    <w:rsid w:val="613E042E"/>
    <w:rsid w:val="61A52050"/>
    <w:rsid w:val="61FB61B5"/>
    <w:rsid w:val="620F042E"/>
    <w:rsid w:val="6223037D"/>
    <w:rsid w:val="6229397E"/>
    <w:rsid w:val="62425328"/>
    <w:rsid w:val="624258F8"/>
    <w:rsid w:val="626369CC"/>
    <w:rsid w:val="62CF4061"/>
    <w:rsid w:val="63113C6B"/>
    <w:rsid w:val="63296167"/>
    <w:rsid w:val="63392C9B"/>
    <w:rsid w:val="63A72A6F"/>
    <w:rsid w:val="63B079F2"/>
    <w:rsid w:val="63D33424"/>
    <w:rsid w:val="63DE187D"/>
    <w:rsid w:val="64072270"/>
    <w:rsid w:val="64145061"/>
    <w:rsid w:val="642531F0"/>
    <w:rsid w:val="642E6E8E"/>
    <w:rsid w:val="64656A2B"/>
    <w:rsid w:val="646A68E9"/>
    <w:rsid w:val="646F32C2"/>
    <w:rsid w:val="648D7D30"/>
    <w:rsid w:val="64942E6C"/>
    <w:rsid w:val="64A3323C"/>
    <w:rsid w:val="654E19BF"/>
    <w:rsid w:val="65817AE9"/>
    <w:rsid w:val="65C37EAD"/>
    <w:rsid w:val="65D774B5"/>
    <w:rsid w:val="660C2B7A"/>
    <w:rsid w:val="660E68F6"/>
    <w:rsid w:val="66771ED6"/>
    <w:rsid w:val="66AE5EA4"/>
    <w:rsid w:val="66AF21DF"/>
    <w:rsid w:val="66C832A1"/>
    <w:rsid w:val="66C84AFF"/>
    <w:rsid w:val="66D460EA"/>
    <w:rsid w:val="678D79C8"/>
    <w:rsid w:val="67A91325"/>
    <w:rsid w:val="67AF7FBD"/>
    <w:rsid w:val="67CB129B"/>
    <w:rsid w:val="67D4755D"/>
    <w:rsid w:val="67D7258B"/>
    <w:rsid w:val="67FC76A6"/>
    <w:rsid w:val="683C009B"/>
    <w:rsid w:val="68BA171A"/>
    <w:rsid w:val="68DF3E21"/>
    <w:rsid w:val="69230C63"/>
    <w:rsid w:val="693076BD"/>
    <w:rsid w:val="69377459"/>
    <w:rsid w:val="69406C8B"/>
    <w:rsid w:val="69714C08"/>
    <w:rsid w:val="69D95D98"/>
    <w:rsid w:val="69F54873"/>
    <w:rsid w:val="69F55085"/>
    <w:rsid w:val="6A042842"/>
    <w:rsid w:val="6A0842BB"/>
    <w:rsid w:val="6A273D88"/>
    <w:rsid w:val="6A536DBB"/>
    <w:rsid w:val="6B063CCB"/>
    <w:rsid w:val="6B0E31D8"/>
    <w:rsid w:val="6B211C67"/>
    <w:rsid w:val="6B347990"/>
    <w:rsid w:val="6B540550"/>
    <w:rsid w:val="6B611204"/>
    <w:rsid w:val="6B76046A"/>
    <w:rsid w:val="6B7D7CB3"/>
    <w:rsid w:val="6B811C71"/>
    <w:rsid w:val="6BA02D93"/>
    <w:rsid w:val="6BF568E6"/>
    <w:rsid w:val="6BFD532C"/>
    <w:rsid w:val="6C31349F"/>
    <w:rsid w:val="6C3A49A8"/>
    <w:rsid w:val="6C3C2D18"/>
    <w:rsid w:val="6C501D6F"/>
    <w:rsid w:val="6C506213"/>
    <w:rsid w:val="6CC84627"/>
    <w:rsid w:val="6CF77892"/>
    <w:rsid w:val="6D1A4C04"/>
    <w:rsid w:val="6D30394E"/>
    <w:rsid w:val="6D6F091A"/>
    <w:rsid w:val="6DA62C6F"/>
    <w:rsid w:val="6DBD2011"/>
    <w:rsid w:val="6E15695F"/>
    <w:rsid w:val="6EBE3907"/>
    <w:rsid w:val="6EDA1DC4"/>
    <w:rsid w:val="6EDD0ED1"/>
    <w:rsid w:val="6EFB697D"/>
    <w:rsid w:val="6F4C01A0"/>
    <w:rsid w:val="700A7EA9"/>
    <w:rsid w:val="707F4553"/>
    <w:rsid w:val="70A24B63"/>
    <w:rsid w:val="70E96194"/>
    <w:rsid w:val="71597917"/>
    <w:rsid w:val="716F59BA"/>
    <w:rsid w:val="71A16BC9"/>
    <w:rsid w:val="72253C9E"/>
    <w:rsid w:val="722A4E10"/>
    <w:rsid w:val="72677E12"/>
    <w:rsid w:val="726E2C6A"/>
    <w:rsid w:val="727E6F0A"/>
    <w:rsid w:val="72986AFA"/>
    <w:rsid w:val="72AF6F9A"/>
    <w:rsid w:val="72BF574A"/>
    <w:rsid w:val="72DB17AA"/>
    <w:rsid w:val="72DE1996"/>
    <w:rsid w:val="72E61EA5"/>
    <w:rsid w:val="7374234C"/>
    <w:rsid w:val="738D1D56"/>
    <w:rsid w:val="73EE2ABF"/>
    <w:rsid w:val="73FE369D"/>
    <w:rsid w:val="73FE6554"/>
    <w:rsid w:val="74212E4D"/>
    <w:rsid w:val="74420ABE"/>
    <w:rsid w:val="74525BA4"/>
    <w:rsid w:val="74736F42"/>
    <w:rsid w:val="74D96450"/>
    <w:rsid w:val="74DF258B"/>
    <w:rsid w:val="751706C1"/>
    <w:rsid w:val="754643C6"/>
    <w:rsid w:val="756248C1"/>
    <w:rsid w:val="75714B4A"/>
    <w:rsid w:val="75B726F1"/>
    <w:rsid w:val="764E1FE1"/>
    <w:rsid w:val="769A6B13"/>
    <w:rsid w:val="76C67AB1"/>
    <w:rsid w:val="76D652E1"/>
    <w:rsid w:val="76F375E0"/>
    <w:rsid w:val="773A78A3"/>
    <w:rsid w:val="775448D8"/>
    <w:rsid w:val="777A7420"/>
    <w:rsid w:val="778925D9"/>
    <w:rsid w:val="778A0233"/>
    <w:rsid w:val="77A256AB"/>
    <w:rsid w:val="77B75B23"/>
    <w:rsid w:val="77D5581E"/>
    <w:rsid w:val="77DB67A7"/>
    <w:rsid w:val="781A0B29"/>
    <w:rsid w:val="7831514A"/>
    <w:rsid w:val="78351976"/>
    <w:rsid w:val="78782D79"/>
    <w:rsid w:val="78DB02B6"/>
    <w:rsid w:val="791D747D"/>
    <w:rsid w:val="79827ED0"/>
    <w:rsid w:val="79A3198F"/>
    <w:rsid w:val="79C42887"/>
    <w:rsid w:val="79D1053A"/>
    <w:rsid w:val="79E61F64"/>
    <w:rsid w:val="79E72641"/>
    <w:rsid w:val="79FB5304"/>
    <w:rsid w:val="79FF26FF"/>
    <w:rsid w:val="7A102B3D"/>
    <w:rsid w:val="7A173ECC"/>
    <w:rsid w:val="7A2E2C70"/>
    <w:rsid w:val="7A3409F8"/>
    <w:rsid w:val="7A340F22"/>
    <w:rsid w:val="7A7A2AED"/>
    <w:rsid w:val="7AC8166A"/>
    <w:rsid w:val="7AFB1AF2"/>
    <w:rsid w:val="7B4A54AD"/>
    <w:rsid w:val="7B5257E0"/>
    <w:rsid w:val="7B777FF9"/>
    <w:rsid w:val="7B8722C2"/>
    <w:rsid w:val="7BA31958"/>
    <w:rsid w:val="7BB8348D"/>
    <w:rsid w:val="7BBC46B6"/>
    <w:rsid w:val="7C2470D1"/>
    <w:rsid w:val="7C3F770A"/>
    <w:rsid w:val="7C5533D1"/>
    <w:rsid w:val="7C684EB3"/>
    <w:rsid w:val="7C887FC5"/>
    <w:rsid w:val="7CAF5249"/>
    <w:rsid w:val="7CBB76D8"/>
    <w:rsid w:val="7CF91FAF"/>
    <w:rsid w:val="7D004396"/>
    <w:rsid w:val="7D1B0177"/>
    <w:rsid w:val="7D237A6B"/>
    <w:rsid w:val="7D5611AF"/>
    <w:rsid w:val="7D660289"/>
    <w:rsid w:val="7D774BD4"/>
    <w:rsid w:val="7D843A55"/>
    <w:rsid w:val="7D8E0949"/>
    <w:rsid w:val="7D8E26F7"/>
    <w:rsid w:val="7DA751E9"/>
    <w:rsid w:val="7DB7511E"/>
    <w:rsid w:val="7DCA2988"/>
    <w:rsid w:val="7DD6409E"/>
    <w:rsid w:val="7DDE1ECD"/>
    <w:rsid w:val="7DF911F8"/>
    <w:rsid w:val="7E1A2ED4"/>
    <w:rsid w:val="7E755B18"/>
    <w:rsid w:val="7E7F40E9"/>
    <w:rsid w:val="7EC01328"/>
    <w:rsid w:val="7EE451DE"/>
    <w:rsid w:val="7F57564C"/>
    <w:rsid w:val="7F6D458E"/>
    <w:rsid w:val="7F7B41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602" w:firstLineChars="200"/>
      <w:jc w:val="both"/>
    </w:pPr>
    <w:rPr>
      <w:rFonts w:ascii="Times New Roman" w:hAnsi="Times New Roman" w:eastAsia="宋体" w:cs="黑体"/>
      <w:kern w:val="2"/>
      <w:sz w:val="24"/>
      <w:szCs w:val="24"/>
      <w:lang w:val="en-US" w:eastAsia="zh-CN" w:bidi="ar-SA"/>
    </w:rPr>
  </w:style>
  <w:style w:type="paragraph" w:styleId="4">
    <w:name w:val="heading 1"/>
    <w:basedOn w:val="1"/>
    <w:next w:val="1"/>
    <w:link w:val="85"/>
    <w:autoRedefine/>
    <w:qFormat/>
    <w:uiPriority w:val="0"/>
    <w:pPr>
      <w:keepNext/>
      <w:pageBreakBefore/>
      <w:ind w:firstLine="0" w:firstLineChars="0"/>
      <w:jc w:val="left"/>
      <w:outlineLvl w:val="0"/>
    </w:pPr>
    <w:rPr>
      <w:b/>
      <w:kern w:val="44"/>
      <w:sz w:val="28"/>
    </w:rPr>
  </w:style>
  <w:style w:type="paragraph" w:styleId="5">
    <w:name w:val="heading 2"/>
    <w:basedOn w:val="1"/>
    <w:next w:val="1"/>
    <w:link w:val="72"/>
    <w:autoRedefine/>
    <w:unhideWhenUsed/>
    <w:qFormat/>
    <w:uiPriority w:val="0"/>
    <w:pPr>
      <w:snapToGrid w:val="0"/>
      <w:ind w:firstLine="0" w:firstLineChars="0"/>
      <w:jc w:val="left"/>
      <w:outlineLvl w:val="1"/>
    </w:pPr>
    <w:rPr>
      <w:rFonts w:hint="eastAsia" w:cs="Times New Roman"/>
      <w:b/>
      <w:bCs/>
      <w:kern w:val="0"/>
    </w:rPr>
  </w:style>
  <w:style w:type="paragraph" w:styleId="6">
    <w:name w:val="heading 3"/>
    <w:basedOn w:val="1"/>
    <w:next w:val="1"/>
    <w:link w:val="77"/>
    <w:autoRedefine/>
    <w:unhideWhenUsed/>
    <w:qFormat/>
    <w:uiPriority w:val="0"/>
    <w:pPr>
      <w:keepNext/>
      <w:keepLines/>
      <w:spacing w:before="260" w:after="260" w:line="413" w:lineRule="auto"/>
      <w:outlineLvl w:val="2"/>
    </w:pPr>
    <w:rPr>
      <w:b/>
      <w:sz w:val="32"/>
    </w:rPr>
  </w:style>
  <w:style w:type="paragraph" w:styleId="7">
    <w:name w:val="heading 4"/>
    <w:basedOn w:val="1"/>
    <w:next w:val="1"/>
    <w:autoRedefine/>
    <w:unhideWhenUsed/>
    <w:qFormat/>
    <w:uiPriority w:val="0"/>
    <w:pPr>
      <w:keepNext/>
      <w:keepLines/>
      <w:spacing w:before="280" w:after="290" w:line="372" w:lineRule="auto"/>
      <w:outlineLvl w:val="3"/>
    </w:pPr>
    <w:rPr>
      <w:rFonts w:ascii="Arial" w:hAnsi="Arial" w:eastAsia="黑体"/>
      <w:b/>
      <w:sz w:val="28"/>
    </w:rPr>
  </w:style>
  <w:style w:type="character" w:default="1" w:styleId="35">
    <w:name w:val="Default Paragraph Font"/>
    <w:autoRedefine/>
    <w:semiHidden/>
    <w:unhideWhenUsed/>
    <w:qFormat/>
    <w:uiPriority w:val="1"/>
  </w:style>
  <w:style w:type="table" w:default="1" w:styleId="33">
    <w:name w:val="Normal Table"/>
    <w:autoRedefine/>
    <w:semiHidden/>
    <w:unhideWhenUsed/>
    <w:qFormat/>
    <w:uiPriority w:val="99"/>
    <w:tblPr>
      <w:tblCellMar>
        <w:top w:w="0" w:type="dxa"/>
        <w:left w:w="108" w:type="dxa"/>
        <w:bottom w:w="0" w:type="dxa"/>
        <w:right w:w="108" w:type="dxa"/>
      </w:tblCellMar>
    </w:tblPr>
  </w:style>
  <w:style w:type="paragraph" w:customStyle="1" w:styleId="2">
    <w:name w:val="样式 标题 1 + 四号 段前: 0 磅 段后: 0 磅 行距: 1.5 倍行距"/>
    <w:basedOn w:val="3"/>
    <w:autoRedefine/>
    <w:qFormat/>
    <w:uiPriority w:val="0"/>
    <w:pPr>
      <w:spacing w:line="360" w:lineRule="auto"/>
      <w:jc w:val="center"/>
    </w:pPr>
  </w:style>
  <w:style w:type="paragraph" w:customStyle="1" w:styleId="3">
    <w:name w:val="1正文"/>
    <w:basedOn w:val="1"/>
    <w:autoRedefine/>
    <w:qFormat/>
    <w:uiPriority w:val="0"/>
    <w:pPr>
      <w:ind w:firstLine="200"/>
    </w:pPr>
  </w:style>
  <w:style w:type="paragraph" w:styleId="8">
    <w:name w:val="List 3"/>
    <w:basedOn w:val="1"/>
    <w:autoRedefine/>
    <w:unhideWhenUsed/>
    <w:qFormat/>
    <w:uiPriority w:val="99"/>
    <w:pPr>
      <w:ind w:left="1260" w:hanging="420"/>
    </w:pPr>
  </w:style>
  <w:style w:type="paragraph" w:styleId="9">
    <w:name w:val="index 8"/>
    <w:basedOn w:val="1"/>
    <w:next w:val="1"/>
    <w:autoRedefine/>
    <w:qFormat/>
    <w:uiPriority w:val="0"/>
    <w:pPr>
      <w:shd w:val="clear" w:color="auto" w:fill="FFFFFF"/>
    </w:pPr>
  </w:style>
  <w:style w:type="paragraph" w:styleId="10">
    <w:name w:val="Normal Indent"/>
    <w:basedOn w:val="1"/>
    <w:autoRedefine/>
    <w:qFormat/>
    <w:uiPriority w:val="0"/>
    <w:pPr>
      <w:ind w:firstLine="420"/>
    </w:pPr>
  </w:style>
  <w:style w:type="paragraph" w:styleId="11">
    <w:name w:val="caption"/>
    <w:basedOn w:val="1"/>
    <w:next w:val="1"/>
    <w:unhideWhenUsed/>
    <w:qFormat/>
    <w:uiPriority w:val="35"/>
    <w:rPr>
      <w:rFonts w:ascii="Arial" w:hAnsi="Arial" w:eastAsia="黑体"/>
      <w:sz w:val="20"/>
    </w:rPr>
  </w:style>
  <w:style w:type="paragraph" w:styleId="12">
    <w:name w:val="Document Map"/>
    <w:basedOn w:val="1"/>
    <w:link w:val="67"/>
    <w:autoRedefine/>
    <w:qFormat/>
    <w:uiPriority w:val="0"/>
    <w:rPr>
      <w:rFonts w:ascii="宋体"/>
      <w:sz w:val="18"/>
      <w:szCs w:val="18"/>
    </w:rPr>
  </w:style>
  <w:style w:type="paragraph" w:styleId="13">
    <w:name w:val="annotation text"/>
    <w:basedOn w:val="1"/>
    <w:link w:val="68"/>
    <w:autoRedefine/>
    <w:qFormat/>
    <w:uiPriority w:val="0"/>
    <w:pPr>
      <w:jc w:val="left"/>
    </w:pPr>
  </w:style>
  <w:style w:type="paragraph" w:styleId="14">
    <w:name w:val="Salutation"/>
    <w:basedOn w:val="1"/>
    <w:next w:val="1"/>
    <w:autoRedefine/>
    <w:qFormat/>
    <w:uiPriority w:val="0"/>
    <w:pPr>
      <w:widowControl/>
    </w:pPr>
    <w:rPr>
      <w:kern w:val="0"/>
      <w:szCs w:val="20"/>
    </w:rPr>
  </w:style>
  <w:style w:type="paragraph" w:styleId="15">
    <w:name w:val="Body Text"/>
    <w:basedOn w:val="1"/>
    <w:next w:val="16"/>
    <w:autoRedefine/>
    <w:qFormat/>
    <w:uiPriority w:val="0"/>
    <w:pPr>
      <w:widowControl/>
      <w:snapToGrid w:val="0"/>
    </w:pPr>
    <w:rPr>
      <w:rFonts w:ascii="宋体" w:hAnsi="宋体"/>
      <w:i/>
    </w:rPr>
  </w:style>
  <w:style w:type="paragraph" w:customStyle="1" w:styleId="16">
    <w:name w:val="明显引用1"/>
    <w:next w:val="1"/>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paragraph" w:styleId="17">
    <w:name w:val="Body Text Indent"/>
    <w:basedOn w:val="1"/>
    <w:next w:val="18"/>
    <w:autoRedefine/>
    <w:qFormat/>
    <w:uiPriority w:val="0"/>
    <w:pPr>
      <w:spacing w:after="120"/>
      <w:ind w:left="420" w:leftChars="200"/>
    </w:pPr>
  </w:style>
  <w:style w:type="paragraph" w:styleId="18">
    <w:name w:val="Body Text Indent 2"/>
    <w:basedOn w:val="1"/>
    <w:next w:val="19"/>
    <w:unhideWhenUsed/>
    <w:qFormat/>
    <w:uiPriority w:val="99"/>
    <w:pPr>
      <w:ind w:firstLine="560" w:firstLineChars="200"/>
    </w:pPr>
    <w:rPr>
      <w:rFonts w:ascii="宋体" w:hAnsi="宋体"/>
      <w:color w:val="FF0000"/>
      <w:sz w:val="28"/>
    </w:rPr>
  </w:style>
  <w:style w:type="paragraph" w:styleId="19">
    <w:name w:val="Body Text First Indent 2"/>
    <w:basedOn w:val="1"/>
    <w:next w:val="20"/>
    <w:autoRedefine/>
    <w:qFormat/>
    <w:uiPriority w:val="0"/>
    <w:pPr>
      <w:ind w:firstLine="420"/>
    </w:pPr>
  </w:style>
  <w:style w:type="paragraph" w:styleId="20">
    <w:name w:val="Body Text First Indent"/>
    <w:basedOn w:val="15"/>
    <w:next w:val="1"/>
    <w:autoRedefine/>
    <w:qFormat/>
    <w:uiPriority w:val="0"/>
    <w:pPr>
      <w:ind w:firstLine="420" w:firstLineChars="100"/>
    </w:pPr>
  </w:style>
  <w:style w:type="paragraph" w:styleId="21">
    <w:name w:val="Plain Text"/>
    <w:basedOn w:val="1"/>
    <w:next w:val="22"/>
    <w:autoRedefine/>
    <w:unhideWhenUsed/>
    <w:qFormat/>
    <w:uiPriority w:val="99"/>
    <w:pPr>
      <w:spacing w:beforeLines="0" w:afterLines="0" w:line="240" w:lineRule="atLeast"/>
    </w:pPr>
    <w:rPr>
      <w:rFonts w:hint="eastAsia" w:ascii="宋体" w:hAnsi="Courier New" w:eastAsia="宋体"/>
      <w:sz w:val="28"/>
      <w:szCs w:val="20"/>
    </w:rPr>
  </w:style>
  <w:style w:type="paragraph" w:customStyle="1" w:styleId="22">
    <w:name w:val="Default"/>
    <w:basedOn w:val="23"/>
    <w:next w:val="8"/>
    <w:autoRedefine/>
    <w:unhideWhenUsed/>
    <w:qFormat/>
    <w:uiPriority w:val="99"/>
    <w:pPr>
      <w:autoSpaceDE w:val="0"/>
      <w:autoSpaceDN w:val="0"/>
    </w:pPr>
    <w:rPr>
      <w:rFonts w:hint="eastAsia" w:hAnsi="宋体" w:cs="Times New Roman"/>
      <w:color w:val="000000"/>
    </w:rPr>
  </w:style>
  <w:style w:type="paragraph" w:customStyle="1" w:styleId="23">
    <w:name w:val="纯文本1"/>
    <w:basedOn w:val="1"/>
    <w:autoRedefine/>
    <w:qFormat/>
    <w:uiPriority w:val="0"/>
    <w:pPr>
      <w:adjustRightInd w:val="0"/>
    </w:pPr>
    <w:rPr>
      <w:rFonts w:ascii="宋体" w:hAnsi="Courier New"/>
    </w:rPr>
  </w:style>
  <w:style w:type="paragraph" w:styleId="24">
    <w:name w:val="List Bullet 5"/>
    <w:basedOn w:val="1"/>
    <w:autoRedefine/>
    <w:qFormat/>
    <w:uiPriority w:val="0"/>
    <w:pPr>
      <w:numPr>
        <w:ilvl w:val="0"/>
        <w:numId w:val="1"/>
      </w:numPr>
    </w:pPr>
  </w:style>
  <w:style w:type="paragraph" w:styleId="25">
    <w:name w:val="Balloon Text"/>
    <w:basedOn w:val="1"/>
    <w:link w:val="70"/>
    <w:autoRedefine/>
    <w:qFormat/>
    <w:uiPriority w:val="0"/>
    <w:pPr>
      <w:spacing w:line="240" w:lineRule="auto"/>
    </w:pPr>
    <w:rPr>
      <w:sz w:val="18"/>
      <w:szCs w:val="18"/>
    </w:rPr>
  </w:style>
  <w:style w:type="paragraph" w:styleId="26">
    <w:name w:val="footer"/>
    <w:basedOn w:val="1"/>
    <w:link w:val="83"/>
    <w:autoRedefine/>
    <w:qFormat/>
    <w:uiPriority w:val="0"/>
    <w:pPr>
      <w:tabs>
        <w:tab w:val="center" w:pos="4153"/>
        <w:tab w:val="right" w:pos="8306"/>
      </w:tabs>
      <w:snapToGrid w:val="0"/>
      <w:jc w:val="left"/>
    </w:pPr>
    <w:rPr>
      <w:sz w:val="18"/>
    </w:rPr>
  </w:style>
  <w:style w:type="paragraph" w:styleId="27">
    <w:name w:val="header"/>
    <w:basedOn w:val="1"/>
    <w:next w:val="11"/>
    <w:link w:val="78"/>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28">
    <w:name w:val="toc 1"/>
    <w:basedOn w:val="1"/>
    <w:next w:val="1"/>
    <w:autoRedefine/>
    <w:qFormat/>
    <w:uiPriority w:val="0"/>
  </w:style>
  <w:style w:type="paragraph" w:styleId="29">
    <w:name w:val="index heading"/>
    <w:basedOn w:val="1"/>
    <w:next w:val="30"/>
    <w:autoRedefine/>
    <w:qFormat/>
    <w:uiPriority w:val="0"/>
    <w:rPr>
      <w:rFonts w:ascii="Arial" w:hAnsi="Arial"/>
      <w:b/>
    </w:rPr>
  </w:style>
  <w:style w:type="paragraph" w:styleId="30">
    <w:name w:val="index 1"/>
    <w:basedOn w:val="1"/>
    <w:next w:val="1"/>
    <w:autoRedefine/>
    <w:qFormat/>
    <w:uiPriority w:val="0"/>
    <w:pPr>
      <w:spacing w:line="240" w:lineRule="exact"/>
      <w:jc w:val="left"/>
    </w:pPr>
    <w:rPr>
      <w:b/>
      <w:kern w:val="0"/>
      <w:szCs w:val="21"/>
    </w:rPr>
  </w:style>
  <w:style w:type="paragraph" w:styleId="31">
    <w:name w:val="Normal (Web)"/>
    <w:basedOn w:val="1"/>
    <w:autoRedefine/>
    <w:qFormat/>
    <w:uiPriority w:val="0"/>
    <w:pPr>
      <w:spacing w:beforeAutospacing="1" w:afterAutospacing="1"/>
      <w:jc w:val="left"/>
    </w:pPr>
    <w:rPr>
      <w:rFonts w:cs="Times New Roman"/>
      <w:kern w:val="0"/>
    </w:rPr>
  </w:style>
  <w:style w:type="paragraph" w:styleId="32">
    <w:name w:val="annotation subject"/>
    <w:basedOn w:val="13"/>
    <w:next w:val="13"/>
    <w:link w:val="69"/>
    <w:autoRedefine/>
    <w:qFormat/>
    <w:uiPriority w:val="0"/>
    <w:rPr>
      <w:b/>
      <w:bCs/>
    </w:rPr>
  </w:style>
  <w:style w:type="table" w:styleId="34">
    <w:name w:val="Table Grid"/>
    <w:basedOn w:val="3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basedOn w:val="35"/>
    <w:autoRedefine/>
    <w:qFormat/>
    <w:uiPriority w:val="0"/>
    <w:rPr>
      <w:b/>
    </w:rPr>
  </w:style>
  <w:style w:type="character" w:styleId="37">
    <w:name w:val="FollowedHyperlink"/>
    <w:basedOn w:val="35"/>
    <w:autoRedefine/>
    <w:qFormat/>
    <w:uiPriority w:val="0"/>
    <w:rPr>
      <w:color w:val="900B09"/>
      <w:u w:val="none"/>
    </w:rPr>
  </w:style>
  <w:style w:type="character" w:styleId="38">
    <w:name w:val="Hyperlink"/>
    <w:basedOn w:val="35"/>
    <w:autoRedefine/>
    <w:qFormat/>
    <w:uiPriority w:val="0"/>
    <w:rPr>
      <w:color w:val="0000FF"/>
      <w:u w:val="single"/>
    </w:rPr>
  </w:style>
  <w:style w:type="character" w:styleId="39">
    <w:name w:val="annotation reference"/>
    <w:basedOn w:val="35"/>
    <w:autoRedefine/>
    <w:qFormat/>
    <w:uiPriority w:val="0"/>
    <w:rPr>
      <w:sz w:val="21"/>
      <w:szCs w:val="21"/>
    </w:rPr>
  </w:style>
  <w:style w:type="paragraph" w:customStyle="1" w:styleId="40">
    <w:name w:val="xl27"/>
    <w:basedOn w:val="1"/>
    <w:autoRedefine/>
    <w:qFormat/>
    <w:uiPriority w:val="0"/>
    <w:pPr>
      <w:widowControl/>
      <w:pBdr>
        <w:bottom w:val="single" w:color="auto" w:sz="12" w:space="0"/>
      </w:pBdr>
      <w:spacing w:before="100" w:after="100"/>
      <w:jc w:val="center"/>
    </w:pPr>
    <w:rPr>
      <w:rFonts w:ascii="宋体"/>
      <w:kern w:val="0"/>
      <w:sz w:val="20"/>
      <w:szCs w:val="20"/>
    </w:rPr>
  </w:style>
  <w:style w:type="paragraph" w:customStyle="1" w:styleId="41">
    <w:name w:val="样式 正文文本缩进 + 行距: 1.5 倍行距"/>
    <w:basedOn w:val="17"/>
    <w:autoRedefine/>
    <w:qFormat/>
    <w:uiPriority w:val="0"/>
    <w:pPr>
      <w:spacing w:line="360" w:lineRule="auto"/>
      <w:ind w:left="0" w:leftChars="0" w:firstLine="560" w:firstLineChars="200"/>
    </w:pPr>
    <w:rPr>
      <w:rFonts w:cs="宋体"/>
      <w:b/>
      <w:bCs/>
      <w:sz w:val="28"/>
      <w:szCs w:val="20"/>
    </w:rPr>
  </w:style>
  <w:style w:type="paragraph" w:customStyle="1" w:styleId="42">
    <w:name w:val="正文1"/>
    <w:basedOn w:val="20"/>
    <w:autoRedefine/>
    <w:qFormat/>
    <w:uiPriority w:val="0"/>
    <w:pPr>
      <w:spacing w:line="240" w:lineRule="auto"/>
      <w:ind w:firstLine="0" w:firstLineChars="0"/>
      <w:jc w:val="center"/>
    </w:pPr>
  </w:style>
  <w:style w:type="paragraph" w:customStyle="1" w:styleId="43">
    <w:name w:val="Default1"/>
    <w:autoRedefine/>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paragraph" w:customStyle="1" w:styleId="44">
    <w:name w:val="标题2"/>
    <w:basedOn w:val="1"/>
    <w:next w:val="1"/>
    <w:autoRedefine/>
    <w:qFormat/>
    <w:uiPriority w:val="0"/>
    <w:pPr>
      <w:snapToGrid w:val="0"/>
      <w:spacing w:line="590" w:lineRule="atLeast"/>
      <w:jc w:val="center"/>
    </w:pPr>
    <w:rPr>
      <w:rFonts w:eastAsia="方正楷体_GBK"/>
      <w:snapToGrid/>
      <w:sz w:val="32"/>
    </w:rPr>
  </w:style>
  <w:style w:type="paragraph" w:customStyle="1" w:styleId="45">
    <w:name w:val="表格"/>
    <w:basedOn w:val="10"/>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46">
    <w:name w:val="表格内容"/>
    <w:basedOn w:val="47"/>
    <w:next w:val="4"/>
    <w:link w:val="84"/>
    <w:autoRedefine/>
    <w:qFormat/>
    <w:uiPriority w:val="0"/>
    <w:pPr>
      <w:spacing w:line="240" w:lineRule="auto"/>
    </w:pPr>
    <w:rPr>
      <w:b w:val="0"/>
    </w:rPr>
  </w:style>
  <w:style w:type="paragraph" w:customStyle="1" w:styleId="47">
    <w:name w:val="表格标题"/>
    <w:basedOn w:val="1"/>
    <w:next w:val="1"/>
    <w:link w:val="62"/>
    <w:autoRedefine/>
    <w:qFormat/>
    <w:uiPriority w:val="0"/>
    <w:pPr>
      <w:ind w:firstLine="0" w:firstLineChars="0"/>
      <w:jc w:val="center"/>
    </w:pPr>
    <w:rPr>
      <w:rFonts w:hint="eastAsia" w:ascii="Times New Roman" w:hAnsi="Times New Roman" w:eastAsia="宋体"/>
      <w:b/>
      <w:sz w:val="21"/>
    </w:rPr>
  </w:style>
  <w:style w:type="paragraph" w:customStyle="1" w:styleId="48">
    <w:name w:val="加粗标题"/>
    <w:basedOn w:val="1"/>
    <w:autoRedefine/>
    <w:qFormat/>
    <w:uiPriority w:val="0"/>
    <w:pPr>
      <w:ind w:firstLine="0" w:firstLineChars="0"/>
      <w:jc w:val="left"/>
    </w:pPr>
    <w:rPr>
      <w:rFonts w:hint="eastAsia"/>
      <w:b/>
    </w:rPr>
  </w:style>
  <w:style w:type="paragraph" w:customStyle="1" w:styleId="49">
    <w:name w:val="小标题"/>
    <w:basedOn w:val="1"/>
    <w:autoRedefine/>
    <w:qFormat/>
    <w:uiPriority w:val="0"/>
    <w:pPr>
      <w:ind w:firstLine="0" w:firstLineChars="0"/>
    </w:pPr>
    <w:rPr>
      <w:rFonts w:hint="eastAsia"/>
      <w:b/>
    </w:rPr>
  </w:style>
  <w:style w:type="paragraph" w:customStyle="1" w:styleId="50">
    <w:name w:val="表格（修）"/>
    <w:basedOn w:val="1"/>
    <w:autoRedefine/>
    <w:qFormat/>
    <w:uiPriority w:val="0"/>
    <w:pPr>
      <w:snapToGrid w:val="0"/>
      <w:jc w:val="center"/>
    </w:pPr>
    <w:rPr>
      <w:rFonts w:ascii="宋体" w:hAnsi="宋体" w:cs="Times New Roman"/>
      <w:kern w:val="0"/>
      <w:sz w:val="20"/>
      <w:szCs w:val="20"/>
    </w:rPr>
  </w:style>
  <w:style w:type="paragraph" w:customStyle="1" w:styleId="51">
    <w:name w:val="111正文"/>
    <w:basedOn w:val="1"/>
    <w:autoRedefine/>
    <w:qFormat/>
    <w:uiPriority w:val="0"/>
    <w:pPr>
      <w:jc w:val="left"/>
    </w:pPr>
    <w:rPr>
      <w:rFonts w:ascii="Calibri" w:hAnsi="Calibri"/>
    </w:rPr>
  </w:style>
  <w:style w:type="paragraph" w:customStyle="1" w:styleId="52">
    <w:name w:val="ZH正文"/>
    <w:basedOn w:val="1"/>
    <w:autoRedefine/>
    <w:qFormat/>
    <w:uiPriority w:val="0"/>
  </w:style>
  <w:style w:type="paragraph" w:customStyle="1" w:styleId="53">
    <w:name w:val="WPSOffice手动目录 1"/>
    <w:autoRedefine/>
    <w:qFormat/>
    <w:uiPriority w:val="0"/>
    <w:rPr>
      <w:rFonts w:ascii="Calibri" w:hAnsi="Calibri" w:eastAsia="宋体" w:cs="黑体"/>
      <w:lang w:val="en-US" w:eastAsia="zh-CN" w:bidi="ar-SA"/>
    </w:rPr>
  </w:style>
  <w:style w:type="paragraph" w:customStyle="1" w:styleId="54">
    <w:name w:val="表头"/>
    <w:basedOn w:val="55"/>
    <w:next w:val="1"/>
    <w:autoRedefine/>
    <w:qFormat/>
    <w:uiPriority w:val="0"/>
    <w:pPr>
      <w:tabs>
        <w:tab w:val="left" w:pos="3780"/>
      </w:tabs>
      <w:adjustRightInd w:val="0"/>
      <w:spacing w:line="360" w:lineRule="auto"/>
      <w:textAlignment w:val="baseline"/>
    </w:pPr>
    <w:rPr>
      <w:b/>
      <w:szCs w:val="20"/>
    </w:rPr>
  </w:style>
  <w:style w:type="paragraph" w:customStyle="1" w:styleId="55">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6">
    <w:name w:val="表格文字"/>
    <w:basedOn w:val="10"/>
    <w:next w:val="1"/>
    <w:autoRedefine/>
    <w:qFormat/>
    <w:uiPriority w:val="1"/>
    <w:pPr>
      <w:tabs>
        <w:tab w:val="left" w:pos="3780"/>
      </w:tabs>
      <w:spacing w:line="240" w:lineRule="auto"/>
      <w:ind w:firstLine="0" w:firstLineChars="0"/>
      <w:jc w:val="center"/>
    </w:pPr>
    <w:rPr>
      <w:sz w:val="21"/>
      <w:szCs w:val="22"/>
    </w:rPr>
  </w:style>
  <w:style w:type="paragraph" w:customStyle="1" w:styleId="57">
    <w:name w:val="样式1"/>
    <w:basedOn w:val="1"/>
    <w:autoRedefine/>
    <w:qFormat/>
    <w:uiPriority w:val="0"/>
    <w:pPr>
      <w:ind w:firstLine="510"/>
    </w:pPr>
    <w:rPr>
      <w:rFonts w:cs="Times New Roman"/>
      <w:szCs w:val="20"/>
    </w:rPr>
  </w:style>
  <w:style w:type="paragraph" w:customStyle="1" w:styleId="58">
    <w:name w:val="表格居中"/>
    <w:basedOn w:val="1"/>
    <w:autoRedefine/>
    <w:qFormat/>
    <w:uiPriority w:val="0"/>
    <w:pPr>
      <w:spacing w:line="0" w:lineRule="atLeast"/>
      <w:jc w:val="center"/>
    </w:pPr>
    <w:rPr>
      <w:rFonts w:ascii="Calibri" w:hAnsi="Calibri" w:cs="Arial"/>
      <w:kern w:val="0"/>
      <w:sz w:val="21"/>
      <w:szCs w:val="21"/>
    </w:rPr>
  </w:style>
  <w:style w:type="paragraph" w:customStyle="1" w:styleId="59">
    <w:name w:val="表格内序号"/>
    <w:basedOn w:val="58"/>
    <w:autoRedefine/>
    <w:qFormat/>
    <w:uiPriority w:val="0"/>
    <w:pPr>
      <w:numPr>
        <w:ilvl w:val="0"/>
        <w:numId w:val="2"/>
      </w:numPr>
    </w:pPr>
    <w:rPr>
      <w:rFonts w:cs="Times New Roman"/>
    </w:rPr>
  </w:style>
  <w:style w:type="paragraph" w:customStyle="1" w:styleId="60">
    <w:name w:val="加粗"/>
    <w:basedOn w:val="45"/>
    <w:autoRedefine/>
    <w:qFormat/>
    <w:uiPriority w:val="0"/>
    <w:pPr>
      <w:spacing w:line="360" w:lineRule="auto"/>
      <w:jc w:val="left"/>
    </w:pPr>
    <w:rPr>
      <w:rFonts w:cs="宋体"/>
      <w:b/>
      <w:color w:val="000000"/>
      <w:kern w:val="21"/>
    </w:rPr>
  </w:style>
  <w:style w:type="paragraph" w:customStyle="1" w:styleId="61">
    <w:name w:val="hp正文"/>
    <w:basedOn w:val="1"/>
    <w:autoRedefine/>
    <w:qFormat/>
    <w:uiPriority w:val="0"/>
    <w:pPr>
      <w:adjustRightInd w:val="0"/>
      <w:jc w:val="left"/>
      <w:textAlignment w:val="baseline"/>
    </w:pPr>
    <w:rPr>
      <w:kern w:val="21"/>
      <w:szCs w:val="20"/>
    </w:rPr>
  </w:style>
  <w:style w:type="character" w:customStyle="1" w:styleId="62">
    <w:name w:val="表格标题 Char Char"/>
    <w:link w:val="47"/>
    <w:autoRedefine/>
    <w:qFormat/>
    <w:uiPriority w:val="0"/>
    <w:rPr>
      <w:rFonts w:hint="eastAsia" w:ascii="Times New Roman" w:hAnsi="Times New Roman" w:eastAsia="宋体"/>
      <w:b/>
      <w:sz w:val="21"/>
    </w:rPr>
  </w:style>
  <w:style w:type="paragraph" w:customStyle="1" w:styleId="63">
    <w:name w:val="表头文字"/>
    <w:basedOn w:val="64"/>
    <w:autoRedefine/>
    <w:qFormat/>
    <w:uiPriority w:val="0"/>
    <w:rPr>
      <w:b/>
    </w:rPr>
  </w:style>
  <w:style w:type="paragraph" w:customStyle="1" w:styleId="64">
    <w:name w:val="表文字"/>
    <w:basedOn w:val="1"/>
    <w:autoRedefine/>
    <w:qFormat/>
    <w:uiPriority w:val="0"/>
    <w:pPr>
      <w:spacing w:line="240" w:lineRule="auto"/>
      <w:ind w:firstLine="0" w:firstLineChars="0"/>
      <w:jc w:val="center"/>
    </w:pPr>
    <w:rPr>
      <w:rFonts w:cs="Times New Roman"/>
      <w:sz w:val="21"/>
      <w:szCs w:val="20"/>
    </w:rPr>
  </w:style>
  <w:style w:type="paragraph" w:customStyle="1" w:styleId="65">
    <w:name w:val="表内容"/>
    <w:autoRedefine/>
    <w:qFormat/>
    <w:uiPriority w:val="0"/>
    <w:pPr>
      <w:widowControl w:val="0"/>
      <w:adjustRightInd w:val="0"/>
      <w:snapToGrid w:val="0"/>
      <w:spacing w:line="288" w:lineRule="auto"/>
      <w:jc w:val="center"/>
    </w:pPr>
    <w:rPr>
      <w:rFonts w:ascii="Times New Roman" w:hAnsi="Times New Roman" w:eastAsia="仿宋" w:cs="Times New Roman"/>
      <w:color w:val="000000"/>
      <w:sz w:val="24"/>
      <w:szCs w:val="24"/>
      <w:lang w:val="en-US" w:eastAsia="zh-CN" w:bidi="ar-SA"/>
    </w:rPr>
  </w:style>
  <w:style w:type="paragraph" w:customStyle="1" w:styleId="66">
    <w:name w:val="Table Paragraph"/>
    <w:basedOn w:val="1"/>
    <w:autoRedefine/>
    <w:qFormat/>
    <w:uiPriority w:val="1"/>
    <w:rPr>
      <w:rFonts w:ascii="宋体" w:hAnsi="宋体" w:cs="宋体"/>
      <w:lang w:val="zh-CN" w:bidi="zh-CN"/>
    </w:rPr>
  </w:style>
  <w:style w:type="character" w:customStyle="1" w:styleId="67">
    <w:name w:val="文档结构图 字符"/>
    <w:basedOn w:val="35"/>
    <w:link w:val="12"/>
    <w:autoRedefine/>
    <w:qFormat/>
    <w:uiPriority w:val="0"/>
    <w:rPr>
      <w:rFonts w:ascii="宋体" w:cs="黑体"/>
      <w:kern w:val="2"/>
      <w:sz w:val="18"/>
      <w:szCs w:val="18"/>
    </w:rPr>
  </w:style>
  <w:style w:type="character" w:customStyle="1" w:styleId="68">
    <w:name w:val="批注文字 字符"/>
    <w:basedOn w:val="35"/>
    <w:link w:val="13"/>
    <w:autoRedefine/>
    <w:qFormat/>
    <w:uiPriority w:val="0"/>
    <w:rPr>
      <w:rFonts w:cs="黑体"/>
      <w:kern w:val="2"/>
      <w:sz w:val="24"/>
      <w:szCs w:val="24"/>
    </w:rPr>
  </w:style>
  <w:style w:type="character" w:customStyle="1" w:styleId="69">
    <w:name w:val="批注主题 字符"/>
    <w:basedOn w:val="68"/>
    <w:link w:val="32"/>
    <w:autoRedefine/>
    <w:qFormat/>
    <w:uiPriority w:val="0"/>
    <w:rPr>
      <w:rFonts w:cs="黑体"/>
      <w:kern w:val="2"/>
      <w:sz w:val="24"/>
      <w:szCs w:val="24"/>
    </w:rPr>
  </w:style>
  <w:style w:type="character" w:customStyle="1" w:styleId="70">
    <w:name w:val="批注框文本 字符"/>
    <w:basedOn w:val="35"/>
    <w:link w:val="25"/>
    <w:autoRedefine/>
    <w:qFormat/>
    <w:uiPriority w:val="0"/>
    <w:rPr>
      <w:rFonts w:cs="黑体"/>
      <w:kern w:val="2"/>
      <w:sz w:val="18"/>
      <w:szCs w:val="18"/>
    </w:rPr>
  </w:style>
  <w:style w:type="paragraph" w:customStyle="1" w:styleId="71">
    <w:name w:val="修订1"/>
    <w:autoRedefine/>
    <w:hidden/>
    <w:unhideWhenUsed/>
    <w:qFormat/>
    <w:uiPriority w:val="99"/>
    <w:rPr>
      <w:rFonts w:ascii="Times New Roman" w:hAnsi="Times New Roman" w:eastAsia="宋体" w:cs="黑体"/>
      <w:kern w:val="2"/>
      <w:sz w:val="24"/>
      <w:szCs w:val="24"/>
      <w:lang w:val="en-US" w:eastAsia="zh-CN" w:bidi="ar-SA"/>
    </w:rPr>
  </w:style>
  <w:style w:type="character" w:customStyle="1" w:styleId="72">
    <w:name w:val="标题 2 字符"/>
    <w:link w:val="5"/>
    <w:autoRedefine/>
    <w:qFormat/>
    <w:uiPriority w:val="0"/>
    <w:rPr>
      <w:rFonts w:hint="eastAsia" w:ascii="Times New Roman" w:hAnsi="Times New Roman" w:eastAsia="宋体" w:cs="Times New Roman"/>
      <w:b/>
      <w:bCs/>
      <w:kern w:val="0"/>
    </w:rPr>
  </w:style>
  <w:style w:type="character" w:customStyle="1" w:styleId="73">
    <w:name w:val="font21"/>
    <w:basedOn w:val="35"/>
    <w:autoRedefine/>
    <w:qFormat/>
    <w:uiPriority w:val="0"/>
    <w:rPr>
      <w:rFonts w:hint="default" w:ascii="Times New Roman" w:hAnsi="Times New Roman" w:cs="Times New Roman"/>
      <w:color w:val="000000"/>
      <w:sz w:val="21"/>
      <w:szCs w:val="21"/>
      <w:u w:val="none"/>
    </w:rPr>
  </w:style>
  <w:style w:type="character" w:customStyle="1" w:styleId="74">
    <w:name w:val="font01"/>
    <w:basedOn w:val="35"/>
    <w:autoRedefine/>
    <w:qFormat/>
    <w:uiPriority w:val="0"/>
    <w:rPr>
      <w:rFonts w:hint="eastAsia" w:ascii="宋体" w:hAnsi="宋体" w:eastAsia="宋体" w:cs="宋体"/>
      <w:color w:val="000000"/>
      <w:sz w:val="21"/>
      <w:szCs w:val="21"/>
      <w:u w:val="none"/>
    </w:rPr>
  </w:style>
  <w:style w:type="character" w:customStyle="1" w:styleId="75">
    <w:name w:val="font31"/>
    <w:basedOn w:val="35"/>
    <w:autoRedefine/>
    <w:qFormat/>
    <w:uiPriority w:val="0"/>
    <w:rPr>
      <w:rFonts w:hint="default" w:ascii="Times New Roman" w:hAnsi="Times New Roman" w:cs="Times New Roman"/>
      <w:color w:val="000000"/>
      <w:sz w:val="20"/>
      <w:szCs w:val="20"/>
      <w:u w:val="none"/>
    </w:rPr>
  </w:style>
  <w:style w:type="character" w:customStyle="1" w:styleId="76">
    <w:name w:val="font11"/>
    <w:basedOn w:val="35"/>
    <w:autoRedefine/>
    <w:qFormat/>
    <w:uiPriority w:val="0"/>
    <w:rPr>
      <w:rFonts w:hint="eastAsia" w:ascii="宋体" w:hAnsi="宋体" w:eastAsia="宋体" w:cs="宋体"/>
      <w:color w:val="000000"/>
      <w:sz w:val="21"/>
      <w:szCs w:val="21"/>
      <w:u w:val="none"/>
    </w:rPr>
  </w:style>
  <w:style w:type="character" w:customStyle="1" w:styleId="77">
    <w:name w:val="标题 3 字符"/>
    <w:link w:val="6"/>
    <w:autoRedefine/>
    <w:qFormat/>
    <w:uiPriority w:val="0"/>
    <w:rPr>
      <w:b/>
      <w:sz w:val="32"/>
    </w:rPr>
  </w:style>
  <w:style w:type="character" w:customStyle="1" w:styleId="78">
    <w:name w:val="页眉 字符"/>
    <w:basedOn w:val="35"/>
    <w:link w:val="27"/>
    <w:autoRedefine/>
    <w:qFormat/>
    <w:uiPriority w:val="0"/>
    <w:rPr>
      <w:rFonts w:hint="default" w:ascii="Calibri" w:hAnsi="Calibri" w:cs="Calibri"/>
    </w:rPr>
  </w:style>
  <w:style w:type="character" w:customStyle="1" w:styleId="79">
    <w:name w:val="radio-btn"/>
    <w:basedOn w:val="35"/>
    <w:autoRedefine/>
    <w:qFormat/>
    <w:uiPriority w:val="0"/>
  </w:style>
  <w:style w:type="character" w:customStyle="1" w:styleId="80">
    <w:name w:val="lable"/>
    <w:basedOn w:val="35"/>
    <w:autoRedefine/>
    <w:qFormat/>
    <w:uiPriority w:val="0"/>
  </w:style>
  <w:style w:type="character" w:customStyle="1" w:styleId="81">
    <w:name w:val="hover28"/>
    <w:basedOn w:val="35"/>
    <w:autoRedefine/>
    <w:qFormat/>
    <w:uiPriority w:val="0"/>
  </w:style>
  <w:style w:type="character" w:customStyle="1" w:styleId="82">
    <w:name w:val="cur1"/>
    <w:basedOn w:val="35"/>
    <w:autoRedefine/>
    <w:qFormat/>
    <w:uiPriority w:val="0"/>
    <w:rPr>
      <w:color w:val="FFFFFF"/>
      <w:shd w:val="clear" w:color="auto" w:fill="0C79CC"/>
    </w:rPr>
  </w:style>
  <w:style w:type="character" w:customStyle="1" w:styleId="83">
    <w:name w:val="页脚 字符"/>
    <w:basedOn w:val="35"/>
    <w:link w:val="26"/>
    <w:autoRedefine/>
    <w:qFormat/>
    <w:uiPriority w:val="0"/>
    <w:rPr>
      <w:rFonts w:hint="default" w:ascii="Calibri" w:hAnsi="Calibri" w:cs="Calibri"/>
    </w:rPr>
  </w:style>
  <w:style w:type="character" w:customStyle="1" w:styleId="84">
    <w:name w:val="表格内容 Char"/>
    <w:link w:val="46"/>
    <w:autoRedefine/>
    <w:qFormat/>
    <w:uiPriority w:val="0"/>
  </w:style>
  <w:style w:type="character" w:customStyle="1" w:styleId="85">
    <w:name w:val="标题 1 Char"/>
    <w:link w:val="4"/>
    <w:autoRedefine/>
    <w:qFormat/>
    <w:uiPriority w:val="0"/>
    <w:rPr>
      <w:b/>
      <w:kern w:val="44"/>
      <w:sz w:val="28"/>
    </w:rPr>
  </w:style>
  <w:style w:type="paragraph" w:customStyle="1" w:styleId="86">
    <w:name w:val="1正文-报告表"/>
    <w:basedOn w:val="1"/>
    <w:autoRedefine/>
    <w:qFormat/>
    <w:uiPriority w:val="0"/>
    <w:pPr>
      <w:ind w:firstLine="480" w:firstLineChars="200"/>
    </w:pPr>
    <w:rPr>
      <w:kern w:val="0"/>
      <w:sz w:val="24"/>
    </w:rPr>
  </w:style>
  <w:style w:type="paragraph" w:customStyle="1" w:styleId="87">
    <w:name w:val="无间隔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8">
    <w:name w:val="表图"/>
    <w:basedOn w:val="1"/>
    <w:autoRedefine/>
    <w:qFormat/>
    <w:uiPriority w:val="0"/>
    <w:pPr>
      <w:spacing w:line="320" w:lineRule="exact"/>
      <w:jc w:val="center"/>
    </w:pPr>
    <w:rPr>
      <w:szCs w:val="20"/>
    </w:rPr>
  </w:style>
  <w:style w:type="paragraph" w:customStyle="1" w:styleId="89">
    <w:name w:val="Normal Indent1"/>
    <w:basedOn w:val="1"/>
    <w:autoRedefine/>
    <w:qFormat/>
    <w:uiPriority w:val="0"/>
    <w:pPr>
      <w:ind w:firstLine="420" w:firstLineChars="200"/>
    </w:pPr>
  </w:style>
  <w:style w:type="paragraph" w:customStyle="1" w:styleId="90">
    <w:name w:val="5表名3"/>
    <w:basedOn w:val="1"/>
    <w:autoRedefine/>
    <w:qFormat/>
    <w:uiPriority w:val="0"/>
    <w:pPr>
      <w:numPr>
        <w:ilvl w:val="1"/>
        <w:numId w:val="3"/>
      </w:numPr>
      <w:jc w:val="center"/>
    </w:pPr>
    <w:rPr>
      <w:rFonts w:hint="eastAsia"/>
      <w:b/>
      <w:sz w:val="24"/>
    </w:rPr>
  </w:style>
  <w:style w:type="paragraph" w:customStyle="1" w:styleId="91">
    <w:name w:val="7表格文字"/>
    <w:basedOn w:val="1"/>
    <w:next w:val="1"/>
    <w:autoRedefine/>
    <w:qFormat/>
    <w:uiPriority w:val="0"/>
    <w:pPr>
      <w:adjustRightInd w:val="0"/>
      <w:snapToGrid w:val="0"/>
      <w:spacing w:before="10" w:beforeLines="10" w:after="10" w:afterLines="10" w:line="259" w:lineRule="auto"/>
      <w:jc w:val="center"/>
    </w:pPr>
    <w:rPr>
      <w:kern w:val="0"/>
      <w:szCs w:val="20"/>
    </w:rPr>
  </w:style>
  <w:style w:type="paragraph" w:customStyle="1" w:styleId="92">
    <w:name w:val="正文LTT"/>
    <w:basedOn w:val="1"/>
    <w:link w:val="111"/>
    <w:autoRedefine/>
    <w:qFormat/>
    <w:uiPriority w:val="0"/>
    <w:pPr>
      <w:spacing w:line="360" w:lineRule="auto"/>
      <w:ind w:firstLine="440" w:firstLineChars="200"/>
    </w:pPr>
    <w:rPr>
      <w:sz w:val="24"/>
    </w:rPr>
  </w:style>
  <w:style w:type="paragraph" w:customStyle="1" w:styleId="93">
    <w:name w:val="正文（首行缩进两字）m"/>
    <w:basedOn w:val="10"/>
    <w:autoRedefine/>
    <w:qFormat/>
    <w:uiPriority w:val="0"/>
    <w:pPr>
      <w:tabs>
        <w:tab w:val="left" w:pos="1848"/>
        <w:tab w:val="left" w:pos="6061"/>
        <w:tab w:val="left" w:pos="8665"/>
      </w:tabs>
      <w:adjustRightInd w:val="0"/>
      <w:snapToGrid w:val="0"/>
      <w:spacing w:before="156" w:beforeLines="50" w:line="460" w:lineRule="exact"/>
      <w:ind w:firstLine="480"/>
    </w:pPr>
    <w:rPr>
      <w:color w:val="339966"/>
    </w:rPr>
  </w:style>
  <w:style w:type="paragraph" w:customStyle="1" w:styleId="94">
    <w:name w:val="正文环评"/>
    <w:basedOn w:val="1"/>
    <w:autoRedefine/>
    <w:qFormat/>
    <w:uiPriority w:val="0"/>
    <w:pPr>
      <w:spacing w:line="360" w:lineRule="auto"/>
      <w:ind w:firstLine="200" w:firstLineChars="200"/>
    </w:pPr>
    <w:rPr>
      <w:sz w:val="24"/>
      <w:szCs w:val="22"/>
    </w:rPr>
  </w:style>
  <w:style w:type="paragraph" w:customStyle="1" w:styleId="95">
    <w:name w:val="AA正文"/>
    <w:basedOn w:val="1"/>
    <w:autoRedefine/>
    <w:qFormat/>
    <w:uiPriority w:val="0"/>
    <w:pPr>
      <w:ind w:firstLine="800"/>
    </w:pPr>
    <w:rPr>
      <w:sz w:val="28"/>
    </w:rPr>
  </w:style>
  <w:style w:type="paragraph" w:customStyle="1" w:styleId="96">
    <w:name w:val="样式 正文缩进正文缩进2正文缩进 Char Char正文缩进 Char Char Char Char正文缩进 Char ..."/>
    <w:basedOn w:val="10"/>
    <w:autoRedefine/>
    <w:qFormat/>
    <w:uiPriority w:val="0"/>
    <w:pPr>
      <w:spacing w:line="360" w:lineRule="auto"/>
      <w:ind w:firstLine="200"/>
    </w:pPr>
    <w:rPr>
      <w:rFonts w:cs="宋体"/>
    </w:rPr>
  </w:style>
  <w:style w:type="paragraph" w:customStyle="1" w:styleId="97">
    <w:name w:val="123456"/>
    <w:basedOn w:val="1"/>
    <w:autoRedefine/>
    <w:qFormat/>
    <w:uiPriority w:val="0"/>
  </w:style>
  <w:style w:type="paragraph" w:styleId="98">
    <w:name w:val="List Paragraph"/>
    <w:basedOn w:val="1"/>
    <w:autoRedefine/>
    <w:qFormat/>
    <w:uiPriority w:val="1"/>
    <w:pPr>
      <w:ind w:left="1602" w:hanging="527"/>
    </w:pPr>
    <w:rPr>
      <w:rFonts w:ascii="宋体" w:hAnsi="宋体" w:eastAsia="宋体" w:cs="宋体"/>
      <w:lang w:val="zh-CN" w:eastAsia="zh-CN" w:bidi="zh-CN"/>
    </w:rPr>
  </w:style>
  <w:style w:type="paragraph" w:customStyle="1" w:styleId="99">
    <w:name w:val="正文文本 (2)1"/>
    <w:basedOn w:val="1"/>
    <w:autoRedefine/>
    <w:qFormat/>
    <w:uiPriority w:val="0"/>
    <w:pPr>
      <w:shd w:val="clear" w:color="auto" w:fill="FFFFFF"/>
      <w:spacing w:line="240" w:lineRule="atLeast"/>
      <w:ind w:hanging="600"/>
      <w:jc w:val="left"/>
    </w:pPr>
    <w:rPr>
      <w:rFonts w:ascii="宋体" w:hAnsi="宋体"/>
      <w:kern w:val="0"/>
      <w:sz w:val="26"/>
      <w:szCs w:val="26"/>
    </w:rPr>
  </w:style>
  <w:style w:type="character" w:customStyle="1" w:styleId="100">
    <w:name w:val="正文文本 (2)2"/>
    <w:autoRedefine/>
    <w:qFormat/>
    <w:uiPriority w:val="0"/>
    <w:rPr>
      <w:rFonts w:ascii="宋体" w:hAnsi="宋体" w:eastAsia="宋体" w:cs="宋体"/>
      <w:spacing w:val="10"/>
      <w:kern w:val="2"/>
      <w:sz w:val="26"/>
      <w:szCs w:val="26"/>
      <w:u w:val="none"/>
      <w:lang w:val="en-US" w:eastAsia="zh-CN" w:bidi="ar-SA"/>
    </w:rPr>
  </w:style>
  <w:style w:type="table" w:customStyle="1" w:styleId="101">
    <w:name w:val="Table Normal"/>
    <w:autoRedefine/>
    <w:unhideWhenUsed/>
    <w:qFormat/>
    <w:uiPriority w:val="0"/>
    <w:tblPr>
      <w:tblCellMar>
        <w:top w:w="0" w:type="dxa"/>
        <w:left w:w="0" w:type="dxa"/>
        <w:bottom w:w="0" w:type="dxa"/>
        <w:right w:w="0" w:type="dxa"/>
      </w:tblCellMar>
    </w:tblPr>
  </w:style>
  <w:style w:type="paragraph" w:customStyle="1" w:styleId="102">
    <w:name w:val="Table Text"/>
    <w:basedOn w:val="1"/>
    <w:autoRedefine/>
    <w:semiHidden/>
    <w:qFormat/>
    <w:uiPriority w:val="0"/>
    <w:rPr>
      <w:rFonts w:ascii="宋体" w:hAnsi="宋体" w:eastAsia="宋体" w:cs="宋体"/>
      <w:sz w:val="20"/>
      <w:szCs w:val="20"/>
      <w:lang w:val="en-US" w:eastAsia="en-US" w:bidi="ar-SA"/>
    </w:rPr>
  </w:style>
  <w:style w:type="paragraph" w:customStyle="1" w:styleId="103">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04">
    <w:name w:val="表格文字LTT0磅"/>
    <w:basedOn w:val="105"/>
    <w:qFormat/>
    <w:uiPriority w:val="0"/>
    <w:pPr>
      <w:spacing w:line="240" w:lineRule="auto"/>
      <w:ind w:firstLine="0"/>
      <w:jc w:val="center"/>
    </w:pPr>
    <w:rPr>
      <w:rFonts w:ascii="Times New Roman" w:hAnsi="Times New Roman" w:eastAsia="宋体"/>
      <w:sz w:val="21"/>
    </w:rPr>
  </w:style>
  <w:style w:type="paragraph" w:customStyle="1" w:styleId="105">
    <w:name w:val="正 文"/>
    <w:qFormat/>
    <w:uiPriority w:val="0"/>
    <w:pPr>
      <w:widowControl w:val="0"/>
      <w:spacing w:line="480" w:lineRule="exact"/>
      <w:ind w:firstLine="471"/>
      <w:jc w:val="both"/>
    </w:pPr>
    <w:rPr>
      <w:rFonts w:ascii="Arial" w:hAnsi="Arial" w:eastAsia="Times New Roman" w:cs="Times New Roman"/>
      <w:kern w:val="2"/>
      <w:sz w:val="24"/>
      <w:lang w:val="en-US" w:eastAsia="zh-CN" w:bidi="ar-SA"/>
    </w:rPr>
  </w:style>
  <w:style w:type="paragraph" w:customStyle="1" w:styleId="106">
    <w:name w:val="表格标题LTT"/>
    <w:basedOn w:val="1"/>
    <w:next w:val="92"/>
    <w:qFormat/>
    <w:uiPriority w:val="0"/>
    <w:pPr>
      <w:spacing w:before="120"/>
      <w:jc w:val="center"/>
    </w:pPr>
    <w:rPr>
      <w:b/>
    </w:rPr>
  </w:style>
  <w:style w:type="paragraph" w:customStyle="1" w:styleId="107">
    <w:name w:val="翔一表格"/>
    <w:basedOn w:val="1"/>
    <w:next w:val="1"/>
    <w:qFormat/>
    <w:uiPriority w:val="0"/>
    <w:pPr>
      <w:autoSpaceDE w:val="0"/>
      <w:autoSpaceDN w:val="0"/>
      <w:jc w:val="center"/>
      <w:textAlignment w:val="baseline"/>
    </w:pPr>
    <w:rPr>
      <w:kern w:val="0"/>
      <w:szCs w:val="21"/>
    </w:rPr>
  </w:style>
  <w:style w:type="paragraph" w:customStyle="1" w:styleId="108">
    <w:name w:val="表格文字LTT2磅"/>
    <w:basedOn w:val="1"/>
    <w:qFormat/>
    <w:uiPriority w:val="0"/>
    <w:pPr>
      <w:widowControl/>
      <w:spacing w:before="40" w:after="40"/>
      <w:jc w:val="center"/>
    </w:pPr>
    <w:rPr>
      <w:bCs/>
      <w:szCs w:val="21"/>
    </w:rPr>
  </w:style>
  <w:style w:type="paragraph" w:customStyle="1" w:styleId="109">
    <w:name w:val="表题LTT"/>
    <w:basedOn w:val="1"/>
    <w:next w:val="1"/>
    <w:qFormat/>
    <w:uiPriority w:val="0"/>
    <w:pPr>
      <w:widowControl/>
      <w:spacing w:before="120"/>
      <w:jc w:val="center"/>
    </w:pPr>
    <w:rPr>
      <w:b/>
      <w:bCs/>
    </w:rPr>
  </w:style>
  <w:style w:type="paragraph" w:customStyle="1" w:styleId="110">
    <w:name w:val="表标题LTT"/>
    <w:basedOn w:val="1"/>
    <w:next w:val="92"/>
    <w:qFormat/>
    <w:uiPriority w:val="0"/>
    <w:pPr>
      <w:spacing w:before="60"/>
      <w:jc w:val="center"/>
    </w:pPr>
    <w:rPr>
      <w:b/>
    </w:rPr>
  </w:style>
  <w:style w:type="character" w:customStyle="1" w:styleId="111">
    <w:name w:val="正文LTT Char"/>
    <w:link w:val="92"/>
    <w:qFormat/>
    <w:uiPriority w:val="0"/>
    <w:rPr>
      <w:sz w:val="24"/>
    </w:rPr>
  </w:style>
  <w:style w:type="paragraph" w:customStyle="1" w:styleId="112">
    <w:name w:val="表格文字LTT"/>
    <w:basedOn w:val="1"/>
    <w:next w:val="1"/>
    <w:qFormat/>
    <w:uiPriority w:val="0"/>
    <w:pPr>
      <w:spacing w:before="40" w:after="40"/>
      <w:jc w:val="center"/>
    </w:pPr>
  </w:style>
  <w:style w:type="paragraph" w:customStyle="1" w:styleId="113">
    <w:name w:val="报告表格内中"/>
    <w:basedOn w:val="1"/>
    <w:qFormat/>
    <w:uiPriority w:val="0"/>
    <w:pPr>
      <w:spacing w:before="100" w:beforeAutospacing="1"/>
      <w:ind w:firstLine="1440" w:firstLineChars="200"/>
      <w:jc w:val="center"/>
    </w:pPr>
    <w:rPr>
      <w:bCs/>
      <w:sz w:val="24"/>
    </w:rPr>
  </w:style>
  <w:style w:type="paragraph" w:customStyle="1" w:styleId="114">
    <w:name w:val="文本内容"/>
    <w:basedOn w:val="1"/>
    <w:qFormat/>
    <w:uiPriority w:val="0"/>
    <w:pPr>
      <w:ind w:firstLine="480"/>
    </w:pPr>
    <w:rPr>
      <w:rFonts w:cs="宋体"/>
    </w:rPr>
  </w:style>
  <w:style w:type="character" w:customStyle="1" w:styleId="115">
    <w:name w:val="正文文本_"/>
    <w:link w:val="116"/>
    <w:qFormat/>
    <w:locked/>
    <w:uiPriority w:val="99"/>
    <w:rPr>
      <w:rFonts w:ascii="MingLiU" w:hAnsi="MingLiU" w:eastAsia="MingLiU"/>
      <w:spacing w:val="10"/>
      <w:kern w:val="0"/>
      <w:szCs w:val="21"/>
    </w:rPr>
  </w:style>
  <w:style w:type="paragraph" w:customStyle="1" w:styleId="116">
    <w:name w:val="正文文本3"/>
    <w:basedOn w:val="1"/>
    <w:link w:val="115"/>
    <w:qFormat/>
    <w:uiPriority w:val="99"/>
    <w:pPr>
      <w:shd w:val="clear" w:color="auto" w:fill="FFFFFF"/>
      <w:spacing w:before="240" w:line="466" w:lineRule="exact"/>
      <w:ind w:hanging="480"/>
      <w:jc w:val="distribute"/>
    </w:pPr>
    <w:rPr>
      <w:rFonts w:ascii="MingLiU" w:hAnsi="MingLiU" w:eastAsia="MingLiU"/>
      <w:spacing w:val="10"/>
      <w:kern w:val="0"/>
      <w:szCs w:val="21"/>
    </w:rPr>
  </w:style>
  <w:style w:type="paragraph" w:customStyle="1" w:styleId="117">
    <w:name w:val="文本正文"/>
    <w:basedOn w:val="1"/>
    <w:qFormat/>
    <w:uiPriority w:val="0"/>
    <w:pPr>
      <w:snapToGrid w:val="0"/>
      <w:spacing w:line="360" w:lineRule="auto"/>
      <w:ind w:firstLine="510"/>
      <w:jc w:val="left"/>
    </w:pPr>
    <w:rPr>
      <w:spacing w:val="4"/>
      <w:kern w:val="24"/>
      <w:szCs w:val="24"/>
      <w:lang w:val="zh-CN"/>
    </w:rPr>
  </w:style>
  <w:style w:type="paragraph" w:customStyle="1" w:styleId="118">
    <w:name w:val="555 方正仿宋_GBK 三号 行距: 固定值 28 磅"/>
    <w:basedOn w:val="1"/>
    <w:qFormat/>
    <w:uiPriority w:val="99"/>
    <w:pPr>
      <w:spacing w:line="560" w:lineRule="exact"/>
      <w:ind w:firstLine="640" w:firstLineChars="200"/>
    </w:pPr>
    <w:rPr>
      <w:rFonts w:eastAsia="方正仿宋_GBK"/>
      <w:sz w:val="32"/>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32.jpeg"/><Relationship Id="rId53" Type="http://schemas.openxmlformats.org/officeDocument/2006/relationships/image" Target="media/image31.png"/><Relationship Id="rId52" Type="http://schemas.openxmlformats.org/officeDocument/2006/relationships/image" Target="media/image30.wmf"/><Relationship Id="rId51" Type="http://schemas.openxmlformats.org/officeDocument/2006/relationships/oleObject" Target="embeddings/oleObject13.bin"/><Relationship Id="rId50" Type="http://schemas.openxmlformats.org/officeDocument/2006/relationships/image" Target="media/image29.png"/><Relationship Id="rId5" Type="http://schemas.openxmlformats.org/officeDocument/2006/relationships/header" Target="head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pn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wmf"/><Relationship Id="rId43" Type="http://schemas.openxmlformats.org/officeDocument/2006/relationships/oleObject" Target="embeddings/oleObject12.bin"/><Relationship Id="rId42" Type="http://schemas.openxmlformats.org/officeDocument/2006/relationships/image" Target="media/image22.wmf"/><Relationship Id="rId41" Type="http://schemas.openxmlformats.org/officeDocument/2006/relationships/oleObject" Target="embeddings/oleObject11.bin"/><Relationship Id="rId40" Type="http://schemas.openxmlformats.org/officeDocument/2006/relationships/image" Target="media/image21.wmf"/><Relationship Id="rId4" Type="http://schemas.openxmlformats.org/officeDocument/2006/relationships/endnotes" Target="endnotes.xml"/><Relationship Id="rId39" Type="http://schemas.openxmlformats.org/officeDocument/2006/relationships/oleObject" Target="embeddings/oleObject10.bin"/><Relationship Id="rId38" Type="http://schemas.openxmlformats.org/officeDocument/2006/relationships/image" Target="media/image20.wmf"/><Relationship Id="rId37" Type="http://schemas.openxmlformats.org/officeDocument/2006/relationships/oleObject" Target="embeddings/oleObject9.bin"/><Relationship Id="rId36" Type="http://schemas.openxmlformats.org/officeDocument/2006/relationships/image" Target="media/image19.wmf"/><Relationship Id="rId35" Type="http://schemas.openxmlformats.org/officeDocument/2006/relationships/oleObject" Target="embeddings/oleObject8.bin"/><Relationship Id="rId34" Type="http://schemas.openxmlformats.org/officeDocument/2006/relationships/image" Target="media/image18.wmf"/><Relationship Id="rId33" Type="http://schemas.openxmlformats.org/officeDocument/2006/relationships/oleObject" Target="embeddings/oleObject7.bin"/><Relationship Id="rId32" Type="http://schemas.openxmlformats.org/officeDocument/2006/relationships/image" Target="media/image17.emf"/><Relationship Id="rId31" Type="http://schemas.openxmlformats.org/officeDocument/2006/relationships/oleObject" Target="embeddings/oleObject6.bin"/><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emf"/><Relationship Id="rId26" Type="http://schemas.openxmlformats.org/officeDocument/2006/relationships/oleObject" Target="embeddings/oleObject5.bin"/><Relationship Id="rId25" Type="http://schemas.openxmlformats.org/officeDocument/2006/relationships/image" Target="media/image12.emf"/><Relationship Id="rId24" Type="http://schemas.openxmlformats.org/officeDocument/2006/relationships/oleObject" Target="embeddings/oleObject4.bin"/><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110</Pages>
  <Words>26562</Words>
  <Characters>27784</Characters>
  <Lines>268</Lines>
  <Paragraphs>75</Paragraphs>
  <TotalTime>1</TotalTime>
  <ScaleCrop>false</ScaleCrop>
  <LinksUpToDate>false</LinksUpToDate>
  <CharactersWithSpaces>27979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2021-05-24T03:38:00Z</dcterms:created>
  <dc:creator>Administrator</dc:creator>
  <cp:lastModifiedBy>DELL</cp:lastModifiedBy>
  <cp:lastPrinted>2021-08-25T06:08:00Z</cp:lastPrinted>
  <dcterms:modified xsi:type="dcterms:W3CDTF">2025-08-18T08:32:24Z</dcterms:modified>
  <dc:title>前言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7137AEC00F9B4F01B649BFB467328BE6_13</vt:lpwstr>
  </property>
  <property fmtid="{D5CDD505-2E9C-101B-9397-08002B2CF9AE}" pid="4" name="KSOTemplateDocerSaveRecord">
    <vt:lpwstr>eyJoZGlkIjoiOTlmYTRhNzQxMWQ5MmRlYTkzMzcyNjZhMTVjNmRjYTQiLCJ1c2VySWQiOiI0MjQyOTAxNDMifQ==</vt:lpwstr>
  </property>
</Properties>
</file>